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B173AC">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效</w:t>
            </w:r>
            <w:proofErr w:type="gramEnd"/>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550782"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C41506"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94</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7C0BE3" w:rsidP="00162440">
            <w:pPr>
              <w:spacing w:line="440" w:lineRule="exact"/>
              <w:jc w:val="center"/>
              <w:rPr>
                <w:rFonts w:ascii="仿宋" w:eastAsia="仿宋" w:hAnsi="仿宋"/>
              </w:rPr>
            </w:pPr>
            <w:r>
              <w:rPr>
                <w:rFonts w:ascii="仿宋" w:eastAsia="仿宋" w:hAnsi="仿宋" w:hint="eastAsia"/>
              </w:rPr>
              <w:t>136</w:t>
            </w:r>
          </w:p>
        </w:tc>
        <w:tc>
          <w:tcPr>
            <w:tcW w:w="2292" w:type="dxa"/>
            <w:tcBorders>
              <w:top w:val="single" w:sz="4" w:space="0" w:color="000000"/>
              <w:left w:val="nil"/>
              <w:bottom w:val="single" w:sz="4" w:space="0" w:color="000000"/>
              <w:right w:val="single" w:sz="4" w:space="0" w:color="000000"/>
            </w:tcBorders>
            <w:vAlign w:val="center"/>
          </w:tcPr>
          <w:p w:rsidR="00C72139" w:rsidRDefault="007C0BE3" w:rsidP="00162440">
            <w:pPr>
              <w:spacing w:line="440" w:lineRule="exact"/>
              <w:jc w:val="center"/>
              <w:rPr>
                <w:rFonts w:ascii="仿宋" w:eastAsia="仿宋" w:hAnsi="仿宋"/>
              </w:rPr>
            </w:pPr>
            <w:r>
              <w:rPr>
                <w:rFonts w:ascii="仿宋" w:eastAsia="仿宋" w:hAnsi="仿宋" w:hint="eastAsia"/>
              </w:rPr>
              <w:t>109</w:t>
            </w:r>
            <w:r w:rsidR="00BB3212">
              <w:rPr>
                <w:rFonts w:ascii="仿宋" w:eastAsia="仿宋" w:hAnsi="仿宋" w:hint="eastAsia"/>
              </w:rPr>
              <w:t xml:space="preserve"> </w:t>
            </w:r>
          </w:p>
        </w:tc>
        <w:tc>
          <w:tcPr>
            <w:tcW w:w="2244" w:type="dxa"/>
            <w:tcBorders>
              <w:top w:val="single" w:sz="4" w:space="0" w:color="000000"/>
              <w:left w:val="nil"/>
              <w:bottom w:val="single" w:sz="4" w:space="0" w:color="000000"/>
              <w:right w:val="single" w:sz="4" w:space="0" w:color="000000"/>
            </w:tcBorders>
            <w:vAlign w:val="center"/>
          </w:tcPr>
          <w:p w:rsidR="00C72139" w:rsidRDefault="007C0BE3" w:rsidP="00162440">
            <w:pPr>
              <w:spacing w:line="440" w:lineRule="exact"/>
              <w:jc w:val="center"/>
              <w:rPr>
                <w:rFonts w:ascii="仿宋" w:eastAsia="仿宋" w:hAnsi="仿宋"/>
              </w:rPr>
            </w:pPr>
            <w:r>
              <w:rPr>
                <w:rFonts w:ascii="仿宋" w:eastAsia="仿宋" w:hAnsi="仿宋" w:hint="eastAsia"/>
              </w:rPr>
              <w:t>80.14%</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B3933"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141142.3</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170000</w:t>
            </w: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99065.76</w:t>
            </w:r>
          </w:p>
        </w:tc>
      </w:tr>
      <w:tr w:rsidR="00CB3933"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138089.3</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150000</w:t>
            </w: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98465.76</w:t>
            </w:r>
          </w:p>
        </w:tc>
      </w:tr>
      <w:tr w:rsidR="00CB3933"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138089.3</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150000</w:t>
            </w: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98465.76</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3053</w:t>
            </w:r>
          </w:p>
        </w:tc>
        <w:tc>
          <w:tcPr>
            <w:tcW w:w="2292"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20000</w:t>
            </w:r>
          </w:p>
        </w:tc>
        <w:tc>
          <w:tcPr>
            <w:tcW w:w="2244"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600</w:t>
            </w:r>
          </w:p>
        </w:tc>
      </w:tr>
      <w:tr w:rsidR="00CB3933"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1379190</w:t>
            </w:r>
          </w:p>
        </w:tc>
        <w:tc>
          <w:tcPr>
            <w:tcW w:w="2292" w:type="dxa"/>
            <w:tcBorders>
              <w:top w:val="single" w:sz="4" w:space="0" w:color="000000"/>
              <w:left w:val="nil"/>
              <w:bottom w:val="single" w:sz="4" w:space="0" w:color="000000"/>
              <w:right w:val="single" w:sz="4" w:space="0" w:color="000000"/>
            </w:tcBorders>
          </w:tcPr>
          <w:p w:rsidR="00CB3933" w:rsidRDefault="007D7385" w:rsidP="00162440">
            <w:pPr>
              <w:spacing w:line="440" w:lineRule="exact"/>
              <w:rPr>
                <w:rFonts w:ascii="仿宋" w:eastAsia="仿宋" w:hAnsi="仿宋"/>
              </w:rPr>
            </w:pPr>
            <w:r>
              <w:rPr>
                <w:rFonts w:ascii="仿宋" w:eastAsia="仿宋" w:hAnsi="仿宋" w:hint="eastAsia"/>
              </w:rPr>
              <w:t>727600</w:t>
            </w:r>
          </w:p>
        </w:tc>
        <w:tc>
          <w:tcPr>
            <w:tcW w:w="2244" w:type="dxa"/>
            <w:tcBorders>
              <w:top w:val="single" w:sz="4" w:space="0" w:color="000000"/>
              <w:left w:val="nil"/>
              <w:bottom w:val="single" w:sz="4" w:space="0" w:color="000000"/>
              <w:right w:val="single" w:sz="4" w:space="0" w:color="000000"/>
            </w:tcBorders>
          </w:tcPr>
          <w:p w:rsidR="00CB3933" w:rsidRDefault="00D061A8" w:rsidP="00162440">
            <w:pPr>
              <w:spacing w:line="440" w:lineRule="exact"/>
              <w:rPr>
                <w:rFonts w:ascii="仿宋" w:eastAsia="仿宋" w:hAnsi="仿宋"/>
              </w:rPr>
            </w:pPr>
            <w:r>
              <w:rPr>
                <w:rFonts w:ascii="仿宋" w:eastAsia="仿宋" w:hAnsi="仿宋" w:hint="eastAsia"/>
              </w:rPr>
              <w:t>117</w:t>
            </w:r>
            <w:r w:rsidR="008A25D8">
              <w:rPr>
                <w:rFonts w:ascii="仿宋" w:eastAsia="仿宋" w:hAnsi="仿宋" w:hint="eastAsia"/>
              </w:rPr>
              <w:t>9266.21</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4860465.63</w:t>
            </w:r>
          </w:p>
        </w:tc>
        <w:tc>
          <w:tcPr>
            <w:tcW w:w="2292" w:type="dxa"/>
            <w:tcBorders>
              <w:top w:val="single" w:sz="4" w:space="0" w:color="000000"/>
              <w:left w:val="nil"/>
              <w:bottom w:val="single" w:sz="4" w:space="0" w:color="000000"/>
              <w:right w:val="single" w:sz="4" w:space="0" w:color="000000"/>
            </w:tcBorders>
          </w:tcPr>
          <w:p w:rsidR="00CB3933" w:rsidRDefault="007D7385" w:rsidP="00162440">
            <w:pPr>
              <w:spacing w:line="440" w:lineRule="exact"/>
              <w:rPr>
                <w:rFonts w:ascii="仿宋" w:eastAsia="仿宋" w:hAnsi="仿宋"/>
              </w:rPr>
            </w:pPr>
            <w:r>
              <w:rPr>
                <w:rFonts w:ascii="仿宋" w:eastAsia="仿宋" w:hAnsi="仿宋" w:hint="eastAsia"/>
              </w:rPr>
              <w:t>17422224</w:t>
            </w:r>
          </w:p>
        </w:tc>
        <w:tc>
          <w:tcPr>
            <w:tcW w:w="2244" w:type="dxa"/>
            <w:tcBorders>
              <w:top w:val="single" w:sz="4" w:space="0" w:color="000000"/>
              <w:left w:val="nil"/>
              <w:bottom w:val="single" w:sz="4" w:space="0" w:color="000000"/>
              <w:right w:val="single" w:sz="4" w:space="0" w:color="000000"/>
            </w:tcBorders>
          </w:tcPr>
          <w:p w:rsidR="00CB3933" w:rsidRDefault="008A25D8" w:rsidP="00162440">
            <w:pPr>
              <w:spacing w:line="440" w:lineRule="exact"/>
              <w:rPr>
                <w:rFonts w:ascii="仿宋" w:eastAsia="仿宋" w:hAnsi="仿宋"/>
              </w:rPr>
            </w:pPr>
            <w:r>
              <w:rPr>
                <w:rFonts w:ascii="仿宋" w:eastAsia="仿宋" w:hAnsi="仿宋" w:hint="eastAsia"/>
              </w:rPr>
              <w:t>30158390.6</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421505.3</w:t>
            </w:r>
          </w:p>
        </w:tc>
        <w:tc>
          <w:tcPr>
            <w:tcW w:w="2292" w:type="dxa"/>
            <w:tcBorders>
              <w:top w:val="single" w:sz="4" w:space="0" w:color="000000"/>
              <w:left w:val="nil"/>
              <w:bottom w:val="single" w:sz="4" w:space="0" w:color="000000"/>
              <w:right w:val="single" w:sz="4" w:space="0" w:color="000000"/>
            </w:tcBorders>
          </w:tcPr>
          <w:p w:rsidR="00CB3933" w:rsidRDefault="007D7385" w:rsidP="00162440">
            <w:pPr>
              <w:spacing w:line="440" w:lineRule="exact"/>
              <w:rPr>
                <w:rFonts w:ascii="仿宋" w:eastAsia="仿宋" w:hAnsi="仿宋"/>
              </w:rPr>
            </w:pPr>
            <w:r>
              <w:rPr>
                <w:rFonts w:ascii="仿宋" w:eastAsia="仿宋" w:hAnsi="仿宋" w:hint="eastAsia"/>
              </w:rPr>
              <w:t>60000</w:t>
            </w:r>
          </w:p>
        </w:tc>
        <w:tc>
          <w:tcPr>
            <w:tcW w:w="2244" w:type="dxa"/>
            <w:tcBorders>
              <w:top w:val="single" w:sz="4" w:space="0" w:color="000000"/>
              <w:left w:val="nil"/>
              <w:bottom w:val="single" w:sz="4" w:space="0" w:color="000000"/>
              <w:right w:val="single" w:sz="4" w:space="0" w:color="000000"/>
            </w:tcBorders>
          </w:tcPr>
          <w:p w:rsidR="00CB3933" w:rsidRDefault="006E69B4" w:rsidP="00162440">
            <w:pPr>
              <w:spacing w:line="440" w:lineRule="exact"/>
              <w:rPr>
                <w:rFonts w:ascii="仿宋" w:eastAsia="仿宋" w:hAnsi="仿宋"/>
              </w:rPr>
            </w:pPr>
            <w:r>
              <w:rPr>
                <w:rFonts w:ascii="仿宋" w:eastAsia="仿宋" w:hAnsi="仿宋" w:hint="eastAsia"/>
              </w:rPr>
              <w:t>49028.82</w:t>
            </w:r>
          </w:p>
        </w:tc>
      </w:tr>
      <w:tr w:rsidR="00CB3933"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171678.22</w:t>
            </w:r>
          </w:p>
        </w:tc>
        <w:tc>
          <w:tcPr>
            <w:tcW w:w="2292" w:type="dxa"/>
            <w:tcBorders>
              <w:top w:val="single" w:sz="4" w:space="0" w:color="000000"/>
              <w:left w:val="nil"/>
              <w:bottom w:val="single" w:sz="4" w:space="0" w:color="000000"/>
              <w:right w:val="single" w:sz="4" w:space="0" w:color="000000"/>
            </w:tcBorders>
          </w:tcPr>
          <w:p w:rsidR="00CB3933" w:rsidRDefault="007D7385" w:rsidP="00162440">
            <w:pPr>
              <w:spacing w:line="440" w:lineRule="exact"/>
              <w:rPr>
                <w:rFonts w:ascii="仿宋" w:eastAsia="仿宋" w:hAnsi="仿宋"/>
              </w:rPr>
            </w:pPr>
            <w:r>
              <w:rPr>
                <w:rFonts w:ascii="仿宋" w:eastAsia="仿宋" w:hAnsi="仿宋" w:hint="eastAsia"/>
              </w:rPr>
              <w:t>220000</w:t>
            </w:r>
          </w:p>
        </w:tc>
        <w:tc>
          <w:tcPr>
            <w:tcW w:w="2244" w:type="dxa"/>
            <w:tcBorders>
              <w:top w:val="single" w:sz="4" w:space="0" w:color="000000"/>
              <w:left w:val="nil"/>
              <w:bottom w:val="single" w:sz="4" w:space="0" w:color="000000"/>
              <w:right w:val="single" w:sz="4" w:space="0" w:color="000000"/>
            </w:tcBorders>
          </w:tcPr>
          <w:p w:rsidR="00CB3933" w:rsidRDefault="006E69B4" w:rsidP="00162440">
            <w:pPr>
              <w:spacing w:line="440" w:lineRule="exact"/>
              <w:rPr>
                <w:rFonts w:ascii="仿宋" w:eastAsia="仿宋" w:hAnsi="仿宋"/>
              </w:rPr>
            </w:pPr>
            <w:r>
              <w:rPr>
                <w:rFonts w:ascii="仿宋" w:eastAsia="仿宋" w:hAnsi="仿宋" w:hint="eastAsia"/>
              </w:rPr>
              <w:t>41262.29</w:t>
            </w:r>
          </w:p>
        </w:tc>
      </w:tr>
      <w:tr w:rsidR="00CB3933"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1900</w:t>
            </w:r>
          </w:p>
        </w:tc>
        <w:tc>
          <w:tcPr>
            <w:tcW w:w="2292" w:type="dxa"/>
            <w:tcBorders>
              <w:top w:val="single" w:sz="4" w:space="0" w:color="000000"/>
              <w:left w:val="nil"/>
              <w:bottom w:val="single" w:sz="4" w:space="0" w:color="000000"/>
              <w:right w:val="single" w:sz="4" w:space="0" w:color="000000"/>
            </w:tcBorders>
          </w:tcPr>
          <w:p w:rsidR="00CB3933" w:rsidRDefault="007D7385" w:rsidP="00162440">
            <w:pPr>
              <w:spacing w:line="440" w:lineRule="exact"/>
              <w:rPr>
                <w:rFonts w:ascii="仿宋" w:eastAsia="仿宋" w:hAnsi="仿宋"/>
              </w:rPr>
            </w:pPr>
            <w:r>
              <w:rPr>
                <w:rFonts w:ascii="仿宋" w:eastAsia="仿宋" w:hAnsi="仿宋" w:hint="eastAsia"/>
              </w:rPr>
              <w:t>40000</w:t>
            </w: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r w:rsidR="00CB3933" w:rsidTr="00C45CA4">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tcPr>
          <w:p w:rsidR="00CB3933" w:rsidRDefault="00CB3933" w:rsidP="00C45CA4">
            <w:pPr>
              <w:spacing w:line="440" w:lineRule="exact"/>
              <w:rPr>
                <w:rFonts w:ascii="仿宋" w:eastAsia="仿宋" w:hAnsi="仿宋"/>
              </w:rPr>
            </w:pPr>
            <w:r>
              <w:rPr>
                <w:rFonts w:ascii="仿宋" w:eastAsia="仿宋" w:hAnsi="仿宋" w:hint="eastAsia"/>
              </w:rPr>
              <w:t>2697000</w:t>
            </w:r>
          </w:p>
        </w:tc>
        <w:tc>
          <w:tcPr>
            <w:tcW w:w="2292" w:type="dxa"/>
            <w:tcBorders>
              <w:top w:val="single" w:sz="4" w:space="0" w:color="000000"/>
              <w:left w:val="nil"/>
              <w:bottom w:val="single" w:sz="4" w:space="0" w:color="000000"/>
              <w:right w:val="single" w:sz="4" w:space="0" w:color="000000"/>
            </w:tcBorders>
          </w:tcPr>
          <w:p w:rsidR="00CB3933" w:rsidRDefault="006E69B4" w:rsidP="00162440">
            <w:pPr>
              <w:spacing w:line="440" w:lineRule="exact"/>
              <w:rPr>
                <w:rFonts w:ascii="仿宋" w:eastAsia="仿宋" w:hAnsi="仿宋"/>
              </w:rPr>
            </w:pPr>
            <w:r>
              <w:rPr>
                <w:rFonts w:ascii="仿宋" w:eastAsia="仿宋" w:hAnsi="仿宋" w:hint="eastAsia"/>
              </w:rPr>
              <w:t>2512224</w:t>
            </w:r>
          </w:p>
        </w:tc>
        <w:tc>
          <w:tcPr>
            <w:tcW w:w="2244" w:type="dxa"/>
            <w:tcBorders>
              <w:top w:val="single" w:sz="4" w:space="0" w:color="000000"/>
              <w:left w:val="nil"/>
              <w:bottom w:val="single" w:sz="4" w:space="0" w:color="000000"/>
              <w:right w:val="single" w:sz="4" w:space="0" w:color="000000"/>
            </w:tcBorders>
          </w:tcPr>
          <w:p w:rsidR="00CB3933" w:rsidRDefault="00FA01E7" w:rsidP="00162440">
            <w:pPr>
              <w:spacing w:line="440" w:lineRule="exact"/>
              <w:rPr>
                <w:rFonts w:ascii="仿宋" w:eastAsia="仿宋" w:hAnsi="仿宋"/>
              </w:rPr>
            </w:pPr>
            <w:r>
              <w:rPr>
                <w:rFonts w:ascii="仿宋" w:eastAsia="仿宋" w:hAnsi="仿宋" w:hint="eastAsia"/>
              </w:rPr>
              <w:t>2300000</w:t>
            </w:r>
          </w:p>
        </w:tc>
      </w:tr>
      <w:tr w:rsidR="00CB3933"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B3933" w:rsidRDefault="00CB3933"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B3933" w:rsidRDefault="00CB3933"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Pr="00A3605E" w:rsidRDefault="00C72139" w:rsidP="00C72139">
      <w:pPr>
        <w:widowControl/>
        <w:spacing w:line="600" w:lineRule="exact"/>
        <w:ind w:firstLine="645"/>
        <w:jc w:val="left"/>
        <w:rPr>
          <w:rFonts w:eastAsia="仿宋_GB2312"/>
          <w:sz w:val="32"/>
          <w:szCs w:val="32"/>
        </w:rPr>
      </w:pPr>
    </w:p>
    <w:p w:rsidR="00C3391C" w:rsidRPr="00F47E94" w:rsidRDefault="00C3391C" w:rsidP="00F47E94">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B173AC">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lastRenderedPageBreak/>
              <w:t>（</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按指标说明评价要点，每缺一项扣1</w:t>
            </w:r>
            <w:r>
              <w:rPr>
                <w:rFonts w:ascii="仿宋_GB2312" w:eastAsia="仿宋_GB2312" w:hint="eastAsia"/>
                <w:szCs w:val="21"/>
              </w:rPr>
              <w:lastRenderedPageBreak/>
              <w:t>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lastRenderedPageBreak/>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lastRenderedPageBreak/>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lastRenderedPageBreak/>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w:t>
            </w:r>
            <w:proofErr w:type="gramStart"/>
            <w:r w:rsidRPr="005C2ACF">
              <w:rPr>
                <w:rFonts w:ascii="仿宋_GB2312" w:eastAsia="仿宋_GB2312" w:hint="eastAsia"/>
                <w:szCs w:val="21"/>
              </w:rPr>
              <w:t>虐</w:t>
            </w:r>
            <w:proofErr w:type="gramEnd"/>
            <w:r w:rsidRPr="005C2ACF">
              <w:rPr>
                <w:rFonts w:ascii="仿宋_GB2312" w:eastAsia="仿宋_GB2312" w:hint="eastAsia"/>
                <w:szCs w:val="21"/>
              </w:rPr>
              <w:t>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762C9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AE3ED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159"/>
        <w:gridCol w:w="1224"/>
        <w:gridCol w:w="1319"/>
        <w:gridCol w:w="1319"/>
        <w:gridCol w:w="828"/>
        <w:gridCol w:w="969"/>
        <w:gridCol w:w="1055"/>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E94E49" w:rsidP="00BB6107">
            <w:pPr>
              <w:widowControl/>
              <w:spacing w:line="320" w:lineRule="exact"/>
              <w:jc w:val="center"/>
              <w:rPr>
                <w:rFonts w:eastAsia="仿宋_GB2312"/>
                <w:color w:val="000000"/>
                <w:kern w:val="0"/>
                <w:szCs w:val="21"/>
              </w:rPr>
            </w:pPr>
            <w:r>
              <w:rPr>
                <w:rFonts w:eastAsia="仿宋_GB2312" w:hint="eastAsia"/>
                <w:color w:val="000000"/>
                <w:kern w:val="0"/>
                <w:szCs w:val="21"/>
              </w:rPr>
              <w:t>鹤城区公路建设养护中心整体支出</w:t>
            </w:r>
          </w:p>
        </w:tc>
      </w:tr>
      <w:tr w:rsidR="00BB6107" w:rsidRPr="00A3605E" w:rsidTr="0055078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654839" w:rsidP="00654839">
            <w:pPr>
              <w:widowControl/>
              <w:spacing w:line="320" w:lineRule="exact"/>
              <w:jc w:val="left"/>
              <w:rPr>
                <w:rFonts w:eastAsia="仿宋_GB2312"/>
                <w:color w:val="000000"/>
                <w:kern w:val="0"/>
                <w:szCs w:val="21"/>
              </w:rPr>
            </w:pPr>
            <w:r>
              <w:rPr>
                <w:rFonts w:eastAsia="仿宋_GB2312" w:hint="eastAsia"/>
                <w:color w:val="000000"/>
                <w:kern w:val="0"/>
                <w:szCs w:val="21"/>
              </w:rPr>
              <w:t>29523057</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54839">
              <w:rPr>
                <w:rFonts w:eastAsia="仿宋_GB2312" w:hint="eastAsia"/>
                <w:color w:val="000000"/>
                <w:kern w:val="0"/>
                <w:szCs w:val="21"/>
              </w:rPr>
              <w:t>36715827.68</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54839">
              <w:rPr>
                <w:rFonts w:eastAsia="仿宋_GB2312" w:hint="eastAsia"/>
                <w:color w:val="000000"/>
                <w:kern w:val="0"/>
                <w:szCs w:val="21"/>
              </w:rPr>
              <w:t>36715827.68</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54839">
              <w:rPr>
                <w:rFonts w:eastAsia="仿宋_GB2312" w:hint="eastAsia"/>
                <w:color w:val="000000"/>
                <w:kern w:val="0"/>
                <w:szCs w:val="21"/>
              </w:rPr>
              <w:t>124.36%</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5483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056D7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56D7C" w:rsidRPr="0020701B" w:rsidRDefault="00056D7C" w:rsidP="00056D7C">
            <w:pPr>
              <w:ind w:firstLineChars="200" w:firstLine="420"/>
              <w:rPr>
                <w:rFonts w:ascii="仿宋_GB2312" w:eastAsia="仿宋_GB2312" w:hAnsi="宋体"/>
                <w:szCs w:val="21"/>
              </w:rPr>
            </w:pPr>
            <w:r w:rsidRPr="0020701B">
              <w:rPr>
                <w:rFonts w:ascii="仿宋_GB2312" w:eastAsia="仿宋_GB2312" w:hAnsi="宋体" w:hint="eastAsia"/>
                <w:szCs w:val="21"/>
              </w:rPr>
              <w:t>全年国省干线公路及农村公路优良路率达</w:t>
            </w:r>
            <w:r w:rsidR="003A32AE">
              <w:rPr>
                <w:rFonts w:ascii="仿宋_GB2312" w:eastAsia="仿宋_GB2312" w:hAnsi="宋体" w:hint="eastAsia"/>
                <w:szCs w:val="21"/>
              </w:rPr>
              <w:t>85%</w:t>
            </w:r>
            <w:r w:rsidRPr="0020701B">
              <w:rPr>
                <w:rFonts w:ascii="仿宋_GB2312" w:eastAsia="仿宋_GB2312" w:hAnsi="宋体" w:hint="eastAsia"/>
                <w:szCs w:val="21"/>
              </w:rPr>
              <w:t>以上，桥涵等构造物安全运行和公路附属设施完好，确保公路安全畅通，全年不发生安全责任事故。</w:t>
            </w:r>
            <w:r w:rsidR="003A32AE" w:rsidRPr="00451FC4">
              <w:rPr>
                <w:rFonts w:ascii="仿宋_GB2312" w:eastAsia="仿宋_GB2312" w:hAnsi="宋体" w:hint="eastAsia"/>
                <w:szCs w:val="21"/>
              </w:rPr>
              <w:t>路产路权得到有效保护；</w:t>
            </w:r>
            <w:r w:rsidR="003A32AE" w:rsidRPr="00451FC4">
              <w:rPr>
                <w:rFonts w:ascii="仿宋_GB2312" w:eastAsia="仿宋_GB2312" w:hAnsi="宋体" w:cs="仿宋" w:hint="eastAsia"/>
                <w:szCs w:val="21"/>
              </w:rPr>
              <w:t>站点超限率稳定控制在0.1%以下。</w:t>
            </w:r>
            <w:r w:rsidR="003A32AE" w:rsidRPr="00451FC4">
              <w:rPr>
                <w:rFonts w:ascii="仿宋_GB2312" w:eastAsia="仿宋_GB2312" w:hint="eastAsia"/>
                <w:color w:val="000000"/>
                <w:kern w:val="0"/>
                <w:szCs w:val="21"/>
              </w:rPr>
              <w:t xml:space="preserve">　　</w:t>
            </w:r>
          </w:p>
          <w:p w:rsidR="00BB6107" w:rsidRPr="0020701B" w:rsidRDefault="00BB6107" w:rsidP="00BB6107">
            <w:pPr>
              <w:widowControl/>
              <w:spacing w:line="320" w:lineRule="exact"/>
              <w:jc w:val="center"/>
              <w:rPr>
                <w:rFonts w:ascii="仿宋_GB2312" w:eastAsia="仿宋_GB2312"/>
                <w:color w:val="000000"/>
                <w:kern w:val="0"/>
                <w:szCs w:val="21"/>
              </w:rPr>
            </w:pPr>
            <w:r w:rsidRPr="0020701B">
              <w:rPr>
                <w:rFonts w:ascii="仿宋_GB2312" w:eastAsia="仿宋_GB2312"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7B00FB" w:rsidRDefault="00BB6107" w:rsidP="003A32AE">
            <w:pPr>
              <w:widowControl/>
              <w:spacing w:line="320" w:lineRule="exact"/>
              <w:jc w:val="left"/>
              <w:rPr>
                <w:rFonts w:ascii="仿宋_GB2312" w:eastAsia="仿宋_GB2312"/>
                <w:color w:val="000000"/>
                <w:kern w:val="0"/>
                <w:szCs w:val="21"/>
              </w:rPr>
            </w:pPr>
            <w:r w:rsidRPr="0020701B">
              <w:rPr>
                <w:rFonts w:ascii="仿宋_GB2312" w:eastAsia="仿宋_GB2312" w:hint="eastAsia"/>
                <w:color w:val="000000"/>
                <w:kern w:val="0"/>
                <w:szCs w:val="21"/>
              </w:rPr>
              <w:t xml:space="preserve">　</w:t>
            </w:r>
            <w:r w:rsidR="00BF112F" w:rsidRPr="007B00FB">
              <w:rPr>
                <w:rFonts w:ascii="仿宋_GB2312" w:eastAsia="仿宋_GB2312" w:hAnsi="宋体" w:cs="宋体" w:hint="eastAsia"/>
                <w:color w:val="333333"/>
                <w:szCs w:val="21"/>
              </w:rPr>
              <w:t>根据公路养护考核管理办法、日常养护检查考核和桥梁安全运行制度，开展定期和不定期检查，按照完成情况组织验收，</w:t>
            </w:r>
            <w:r w:rsidR="007B00FB">
              <w:rPr>
                <w:rFonts w:ascii="仿宋_GB2312" w:eastAsia="仿宋_GB2312" w:hAnsi="宋体" w:cs="宋体" w:hint="eastAsia"/>
                <w:color w:val="333333"/>
                <w:szCs w:val="21"/>
              </w:rPr>
              <w:t>全年没发生公路安全责任事故。</w:t>
            </w:r>
            <w:r w:rsidR="003A32AE" w:rsidRPr="00451FC4">
              <w:rPr>
                <w:rFonts w:ascii="仿宋_GB2312" w:eastAsia="仿宋_GB2312" w:hAnsi="宋体" w:hint="eastAsia"/>
                <w:spacing w:val="-12"/>
                <w:szCs w:val="21"/>
              </w:rPr>
              <w:t>开展各类专项整治，严厉打击超限超载违法行为。持续深入开展“打非清零”行动</w:t>
            </w:r>
            <w:r w:rsidR="003C683A">
              <w:rPr>
                <w:rFonts w:ascii="仿宋_GB2312" w:eastAsia="仿宋_GB2312" w:hAnsi="宋体" w:hint="eastAsia"/>
                <w:spacing w:val="-12"/>
                <w:szCs w:val="21"/>
              </w:rPr>
              <w:t>。</w:t>
            </w:r>
          </w:p>
        </w:tc>
      </w:tr>
      <w:tr w:rsidR="00BB6107" w:rsidRPr="00A3605E" w:rsidTr="0055078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全年公路</w:t>
            </w:r>
            <w:r w:rsidR="00056D7C">
              <w:rPr>
                <w:rFonts w:eastAsia="仿宋_GB2312" w:hint="eastAsia"/>
                <w:color w:val="000000"/>
                <w:kern w:val="0"/>
                <w:szCs w:val="21"/>
              </w:rPr>
              <w:t>管养里程</w:t>
            </w:r>
            <w:r>
              <w:rPr>
                <w:rFonts w:eastAsia="仿宋_GB2312" w:hint="eastAsia"/>
                <w:color w:val="000000"/>
                <w:kern w:val="0"/>
                <w:szCs w:val="21"/>
              </w:rPr>
              <w:t>161.622</w:t>
            </w:r>
            <w:r>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50E4E" w:rsidP="00E50E4E">
            <w:pPr>
              <w:widowControl/>
              <w:spacing w:line="320" w:lineRule="exact"/>
              <w:jc w:val="left"/>
              <w:rPr>
                <w:rFonts w:eastAsia="仿宋_GB2312"/>
                <w:color w:val="000000"/>
                <w:kern w:val="0"/>
                <w:szCs w:val="21"/>
              </w:rPr>
            </w:pPr>
            <w:r>
              <w:rPr>
                <w:rFonts w:eastAsia="仿宋_GB2312" w:hint="eastAsia"/>
                <w:color w:val="000000"/>
                <w:kern w:val="0"/>
                <w:szCs w:val="21"/>
              </w:rPr>
              <w:t>全年</w:t>
            </w:r>
            <w:r w:rsidR="00056D7C">
              <w:rPr>
                <w:rFonts w:eastAsia="仿宋_GB2312" w:hint="eastAsia"/>
                <w:color w:val="000000"/>
                <w:kern w:val="0"/>
                <w:szCs w:val="21"/>
              </w:rPr>
              <w:t>桥梁</w:t>
            </w:r>
            <w:r>
              <w:rPr>
                <w:rFonts w:eastAsia="仿宋_GB2312" w:hint="eastAsia"/>
                <w:color w:val="000000"/>
                <w:kern w:val="0"/>
                <w:szCs w:val="21"/>
              </w:rPr>
              <w:t>管养</w:t>
            </w:r>
            <w:r>
              <w:rPr>
                <w:rFonts w:eastAsia="仿宋_GB2312" w:hint="eastAsia"/>
                <w:color w:val="000000"/>
                <w:kern w:val="0"/>
                <w:szCs w:val="21"/>
              </w:rPr>
              <w:t>81</w:t>
            </w:r>
            <w:r>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056D7C">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E50E4E">
              <w:rPr>
                <w:rFonts w:eastAsia="仿宋_GB2312" w:hint="eastAsia"/>
                <w:color w:val="000000"/>
                <w:kern w:val="0"/>
                <w:szCs w:val="21"/>
              </w:rPr>
              <w:t>座</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工程质量合格率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CC0FD1"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BB6107"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727D0" w:rsidP="00A727D0">
            <w:pPr>
              <w:widowControl/>
              <w:spacing w:line="320" w:lineRule="exact"/>
              <w:jc w:val="left"/>
              <w:rPr>
                <w:rFonts w:eastAsia="仿宋_GB2312"/>
                <w:color w:val="000000"/>
                <w:kern w:val="0"/>
                <w:szCs w:val="21"/>
              </w:rPr>
            </w:pPr>
            <w:r>
              <w:rPr>
                <w:rFonts w:eastAsia="仿宋_GB2312" w:hint="eastAsia"/>
                <w:color w:val="000000"/>
                <w:kern w:val="0"/>
                <w:szCs w:val="21"/>
              </w:rPr>
              <w:t>全年公路维修、</w:t>
            </w:r>
            <w:proofErr w:type="gramStart"/>
            <w:r>
              <w:rPr>
                <w:rFonts w:eastAsia="仿宋_GB2312" w:hint="eastAsia"/>
                <w:color w:val="000000"/>
                <w:kern w:val="0"/>
                <w:szCs w:val="21"/>
              </w:rPr>
              <w:t>路政治超</w:t>
            </w:r>
            <w:proofErr w:type="gramEnd"/>
            <w:r>
              <w:rPr>
                <w:rFonts w:eastAsia="仿宋_GB2312" w:hint="eastAsia"/>
                <w:color w:val="000000"/>
                <w:kern w:val="0"/>
                <w:szCs w:val="21"/>
              </w:rPr>
              <w:t>执法、</w:t>
            </w:r>
            <w:r>
              <w:rPr>
                <w:rFonts w:eastAsia="仿宋_GB2312" w:hint="eastAsia"/>
                <w:color w:val="000000"/>
                <w:kern w:val="0"/>
                <w:szCs w:val="21"/>
              </w:rPr>
              <w:lastRenderedPageBreak/>
              <w:t>应急抢险等支出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446758" w:rsidP="00BB6107">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2952.31</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44675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46758">
              <w:rPr>
                <w:rFonts w:eastAsia="仿宋_GB2312" w:hint="eastAsia"/>
                <w:color w:val="000000"/>
                <w:kern w:val="0"/>
                <w:szCs w:val="21"/>
              </w:rPr>
              <w:t>3671.58</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C2EF4">
              <w:rPr>
                <w:rFonts w:eastAsia="仿宋_GB2312" w:hint="eastAsia"/>
                <w:color w:val="000000"/>
                <w:kern w:val="0"/>
                <w:szCs w:val="21"/>
              </w:rPr>
              <w:t>8</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270B8B" w:rsidP="00BB6107">
            <w:pPr>
              <w:widowControl/>
              <w:spacing w:line="320" w:lineRule="exact"/>
              <w:jc w:val="left"/>
              <w:rPr>
                <w:rFonts w:eastAsia="仿宋_GB2312"/>
                <w:color w:val="000000"/>
                <w:kern w:val="0"/>
                <w:szCs w:val="21"/>
              </w:rPr>
            </w:pPr>
            <w:r>
              <w:rPr>
                <w:rFonts w:eastAsia="仿宋_GB2312" w:hint="eastAsia"/>
                <w:color w:val="000000"/>
                <w:kern w:val="0"/>
                <w:szCs w:val="21"/>
              </w:rPr>
              <w:t>改善民众出行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742B18" w:rsidP="00BB6107">
            <w:pPr>
              <w:widowControl/>
              <w:spacing w:line="320" w:lineRule="exact"/>
              <w:jc w:val="left"/>
              <w:rPr>
                <w:rFonts w:eastAsia="仿宋_GB2312"/>
                <w:color w:val="000000"/>
                <w:kern w:val="0"/>
                <w:szCs w:val="21"/>
              </w:rPr>
            </w:pPr>
            <w:r>
              <w:rPr>
                <w:rFonts w:eastAsia="仿宋_GB2312" w:hint="eastAsia"/>
                <w:color w:val="000000"/>
                <w:kern w:val="0"/>
                <w:szCs w:val="21"/>
              </w:rPr>
              <w:t>提高公路使用年限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C45CA4"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45CA4">
              <w:rPr>
                <w:rFonts w:eastAsia="仿宋_GB2312" w:hint="eastAsia"/>
                <w:color w:val="000000"/>
                <w:kern w:val="0"/>
                <w:szCs w:val="21"/>
              </w:rPr>
              <w:t>95%-</w:t>
            </w:r>
            <w:r w:rsidR="004173D1">
              <w:rPr>
                <w:rFonts w:eastAsia="仿宋_GB2312" w:hint="eastAsia"/>
                <w:color w:val="000000"/>
                <w:kern w:val="0"/>
                <w:szCs w:val="21"/>
              </w:rPr>
              <w:t>100</w:t>
            </w:r>
            <w:r w:rsidR="00C45CA4">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20701B">
            <w:pPr>
              <w:widowControl/>
              <w:spacing w:line="320" w:lineRule="exact"/>
              <w:jc w:val="center"/>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4173D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6</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9C2EF4">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9</w:t>
            </w:r>
            <w:r w:rsidR="009C2EF4">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B173AC">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E506A8" w:rsidRDefault="00C72139" w:rsidP="00E506A8">
      <w:pPr>
        <w:spacing w:line="600" w:lineRule="exact"/>
        <w:jc w:val="center"/>
        <w:rPr>
          <w:rFonts w:eastAsia="楷体_GB2312"/>
          <w:sz w:val="32"/>
          <w:szCs w:val="32"/>
        </w:rPr>
      </w:pPr>
    </w:p>
    <w:sectPr w:rsidR="00C72139" w:rsidRPr="00E506A8"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83A" w:rsidRDefault="003C683A" w:rsidP="00A045A1">
      <w:r>
        <w:separator/>
      </w:r>
    </w:p>
  </w:endnote>
  <w:endnote w:type="continuationSeparator" w:id="1">
    <w:p w:rsidR="003C683A" w:rsidRDefault="003C683A"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黑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83A" w:rsidRDefault="003C683A" w:rsidP="00A045A1">
      <w:r>
        <w:separator/>
      </w:r>
    </w:p>
  </w:footnote>
  <w:footnote w:type="continuationSeparator" w:id="1">
    <w:p w:rsidR="003C683A" w:rsidRDefault="003C683A"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4385"/>
    <w:rsid w:val="00056D7C"/>
    <w:rsid w:val="000B0765"/>
    <w:rsid w:val="000B57BC"/>
    <w:rsid w:val="00162440"/>
    <w:rsid w:val="00174EEF"/>
    <w:rsid w:val="001A127E"/>
    <w:rsid w:val="0020701B"/>
    <w:rsid w:val="002558F7"/>
    <w:rsid w:val="00270B8B"/>
    <w:rsid w:val="002E1C03"/>
    <w:rsid w:val="003160CD"/>
    <w:rsid w:val="0031755D"/>
    <w:rsid w:val="00352836"/>
    <w:rsid w:val="003648FC"/>
    <w:rsid w:val="003711D0"/>
    <w:rsid w:val="00371B1F"/>
    <w:rsid w:val="00377767"/>
    <w:rsid w:val="00377A33"/>
    <w:rsid w:val="003A32AE"/>
    <w:rsid w:val="003B1F8F"/>
    <w:rsid w:val="003C683A"/>
    <w:rsid w:val="003E5114"/>
    <w:rsid w:val="004173D1"/>
    <w:rsid w:val="00426627"/>
    <w:rsid w:val="00446758"/>
    <w:rsid w:val="00481248"/>
    <w:rsid w:val="00550782"/>
    <w:rsid w:val="005833DD"/>
    <w:rsid w:val="00595424"/>
    <w:rsid w:val="005C2ACF"/>
    <w:rsid w:val="00614437"/>
    <w:rsid w:val="00624B4A"/>
    <w:rsid w:val="00633042"/>
    <w:rsid w:val="006370F0"/>
    <w:rsid w:val="00654839"/>
    <w:rsid w:val="006811E5"/>
    <w:rsid w:val="006E69B4"/>
    <w:rsid w:val="0073595C"/>
    <w:rsid w:val="00742B18"/>
    <w:rsid w:val="00762C94"/>
    <w:rsid w:val="007B00FB"/>
    <w:rsid w:val="007B54D9"/>
    <w:rsid w:val="007C0BE3"/>
    <w:rsid w:val="007D7385"/>
    <w:rsid w:val="00812229"/>
    <w:rsid w:val="00821E16"/>
    <w:rsid w:val="00872911"/>
    <w:rsid w:val="00887C00"/>
    <w:rsid w:val="008A25D8"/>
    <w:rsid w:val="008A4834"/>
    <w:rsid w:val="008D7141"/>
    <w:rsid w:val="00980DBB"/>
    <w:rsid w:val="009C2EF4"/>
    <w:rsid w:val="009D4AE4"/>
    <w:rsid w:val="009E4F63"/>
    <w:rsid w:val="009E6488"/>
    <w:rsid w:val="00A045A1"/>
    <w:rsid w:val="00A070E1"/>
    <w:rsid w:val="00A317C9"/>
    <w:rsid w:val="00A34413"/>
    <w:rsid w:val="00A727D0"/>
    <w:rsid w:val="00A75C37"/>
    <w:rsid w:val="00AA700A"/>
    <w:rsid w:val="00AE3ED9"/>
    <w:rsid w:val="00B173AC"/>
    <w:rsid w:val="00B27A2F"/>
    <w:rsid w:val="00B364CE"/>
    <w:rsid w:val="00BA7CEC"/>
    <w:rsid w:val="00BB3212"/>
    <w:rsid w:val="00BB6107"/>
    <w:rsid w:val="00BD1C3A"/>
    <w:rsid w:val="00BF112F"/>
    <w:rsid w:val="00C02434"/>
    <w:rsid w:val="00C25716"/>
    <w:rsid w:val="00C3391C"/>
    <w:rsid w:val="00C344EC"/>
    <w:rsid w:val="00C41506"/>
    <w:rsid w:val="00C45CA4"/>
    <w:rsid w:val="00C72139"/>
    <w:rsid w:val="00CB3933"/>
    <w:rsid w:val="00CC0FD1"/>
    <w:rsid w:val="00CC4C2C"/>
    <w:rsid w:val="00CD20A2"/>
    <w:rsid w:val="00D061A8"/>
    <w:rsid w:val="00D10324"/>
    <w:rsid w:val="00E127F9"/>
    <w:rsid w:val="00E506A8"/>
    <w:rsid w:val="00E50869"/>
    <w:rsid w:val="00E50E4E"/>
    <w:rsid w:val="00E94E49"/>
    <w:rsid w:val="00EB7469"/>
    <w:rsid w:val="00F47E94"/>
    <w:rsid w:val="00FA01E7"/>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A619B-2A58-48F2-8E09-6A24EB0EB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11</Pages>
  <Words>1203</Words>
  <Characters>6859</Characters>
  <Application>Microsoft Office Word</Application>
  <DocSecurity>0</DocSecurity>
  <Lines>57</Lines>
  <Paragraphs>16</Paragraphs>
  <ScaleCrop>false</ScaleCrop>
  <Company>china</Company>
  <LinksUpToDate>false</LinksUpToDate>
  <CharactersWithSpaces>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55</cp:revision>
  <cp:lastPrinted>2020-09-17T06:50:00Z</cp:lastPrinted>
  <dcterms:created xsi:type="dcterms:W3CDTF">2020-06-24T01:59:00Z</dcterms:created>
  <dcterms:modified xsi:type="dcterms:W3CDTF">2020-09-18T06:28:00Z</dcterms:modified>
</cp:coreProperties>
</file>