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6"/>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81</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6"/>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22</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83538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95855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78111.15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83513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85455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77731.15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83513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85455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77731.15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3025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10400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679197.73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767700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417377.58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128786.96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269520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128807.15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50021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55300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37455.72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13500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112794.47</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119683.57</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区农机事务中心贯彻落实党中央和省</w:t>
      </w:r>
      <w:r>
        <w:rPr>
          <w:rFonts w:hint="eastAsia" w:ascii="仿宋" w:hAnsi="仿宋" w:eastAsia="仿宋" w:cs="仿宋"/>
          <w:sz w:val="32"/>
          <w:szCs w:val="32"/>
          <w:lang w:eastAsia="zh-CN"/>
        </w:rPr>
        <w:t>委</w:t>
      </w:r>
      <w:r>
        <w:rPr>
          <w:rFonts w:hint="eastAsia" w:ascii="仿宋" w:hAnsi="仿宋" w:eastAsia="仿宋" w:cs="仿宋"/>
          <w:sz w:val="32"/>
          <w:szCs w:val="32"/>
        </w:rPr>
        <w:t>、 市</w:t>
      </w:r>
      <w:r>
        <w:rPr>
          <w:rFonts w:hint="eastAsia" w:ascii="仿宋" w:hAnsi="仿宋" w:eastAsia="仿宋" w:cs="仿宋"/>
          <w:sz w:val="32"/>
          <w:szCs w:val="32"/>
          <w:lang w:eastAsia="zh-CN"/>
        </w:rPr>
        <w:t>委</w:t>
      </w:r>
      <w:r>
        <w:rPr>
          <w:rFonts w:hint="eastAsia" w:ascii="仿宋" w:hAnsi="仿宋" w:eastAsia="仿宋" w:cs="仿宋"/>
          <w:sz w:val="32"/>
          <w:szCs w:val="32"/>
        </w:rPr>
        <w:t>、关于农业农村和农业机械化工作的方针政策和决策部署，全面落实区委关于农业农村和农业机械化工作的部署要求，在履行职责过程中坚持和加强党对农业机械化工作的集中统一领导。主要职责是：</w:t>
      </w:r>
    </w:p>
    <w:p>
      <w:pPr>
        <w:pStyle w:val="10"/>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为全区农业农机</w:t>
      </w:r>
      <w:r>
        <w:rPr>
          <w:rFonts w:hint="eastAsia" w:ascii="仿宋" w:hAnsi="仿宋" w:eastAsia="仿宋" w:cs="仿宋"/>
          <w:sz w:val="32"/>
          <w:szCs w:val="32"/>
          <w:lang w:eastAsia="zh-CN"/>
        </w:rPr>
        <w:t>械</w:t>
      </w:r>
      <w:r>
        <w:rPr>
          <w:rFonts w:hint="eastAsia" w:ascii="仿宋" w:hAnsi="仿宋" w:eastAsia="仿宋" w:cs="仿宋"/>
          <w:sz w:val="32"/>
          <w:szCs w:val="32"/>
        </w:rPr>
        <w:t>化发展提供技术性支撑和公益性、事业性服务。</w:t>
      </w:r>
    </w:p>
    <w:p>
      <w:pPr>
        <w:pStyle w:val="10"/>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承担全区农业机械化事业发展规划和有关标准、技术规范的研究工作，调查研究农业机械社会化服务和产业化发展的经济、技术问题，开展相关评估论证，提出对策建议。</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（三）为全区农业机械化生产、农机社会化服务、农机维修、农机抗灾救灾、农机安全生产监管等相关工作提供技术支持、服务保障和相关公益服务。承担农业机械从业人员教育培训和职业技能开发工作。</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（四）承担农业机械补贴政策实施相关事务性工作。</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（五）承担农业机械化信息网络建设运行、农业机械化生产信息统计工作。</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（六）承担农业机械化新机具、新技术的引进和示范推广等相关技术性、事务性工作。</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（七）对乡镇和涉农街道农业综合服务中心进行业务和技术指导。</w:t>
      </w:r>
    </w:p>
    <w:p>
      <w:pPr>
        <w:pStyle w:val="10"/>
        <w:numPr>
          <w:ilvl w:val="0"/>
          <w:numId w:val="0"/>
        </w:numPr>
        <w:ind w:firstLine="640" w:firstLineChars="200"/>
        <w:rPr>
          <w:rFonts w:ascii="Times New Roman" w:hAnsi="Times New Roman" w:eastAsia="黑体"/>
          <w:sz w:val="32"/>
          <w:szCs w:val="32"/>
        </w:rPr>
      </w:pPr>
      <w:r>
        <w:rPr>
          <w:rFonts w:hint="eastAsia" w:ascii="仿宋" w:hAnsi="仿宋" w:eastAsia="仿宋" w:cs="仿宋"/>
          <w:sz w:val="32"/>
          <w:szCs w:val="32"/>
          <w:lang w:eastAsia="zh-CN"/>
        </w:rPr>
        <w:t>（八）完成区委、区政府及区农业农村局交办的其他任务。</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二、一般公共预算支出情况</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（一）基本支出情况</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2019年度部门</w:t>
      </w:r>
      <w:r>
        <w:rPr>
          <w:rFonts w:hint="eastAsia" w:ascii="仿宋" w:hAnsi="仿宋" w:eastAsia="仿宋" w:cs="仿宋"/>
          <w:sz w:val="32"/>
          <w:szCs w:val="32"/>
          <w:lang w:eastAsia="zh-CN"/>
        </w:rPr>
        <w:t>一般公共预算财政拨款决算</w:t>
      </w:r>
      <w:r>
        <w:rPr>
          <w:rFonts w:hint="eastAsia" w:ascii="仿宋" w:hAnsi="仿宋" w:eastAsia="仿宋" w:cs="仿宋"/>
          <w:sz w:val="32"/>
          <w:szCs w:val="32"/>
          <w:lang w:val="en-US" w:eastAsia="zh-CN"/>
        </w:rPr>
        <w:t>基本支出313.93万元，其中：工资福利支出230.46万元，商品和服务支出41.74万元，对个人和家庭补助41.04万元，资本性支出0.69万元。</w:t>
      </w:r>
    </w:p>
    <w:p>
      <w:pPr>
        <w:pStyle w:val="10"/>
        <w:numPr>
          <w:ilvl w:val="0"/>
          <w:numId w:val="0"/>
        </w:numPr>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（二）项目支出情况</w:t>
      </w:r>
    </w:p>
    <w:p>
      <w:pPr>
        <w:pStyle w:val="10"/>
        <w:numPr>
          <w:ilvl w:val="0"/>
          <w:numId w:val="0"/>
        </w:num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2019年度部门一般公共预算财政拨款决算项目支出60万元，其中：农业生产专项经费39万元，农机和农技推广工作经费21万元。</w:t>
      </w:r>
    </w:p>
    <w:p>
      <w:pPr>
        <w:pStyle w:val="10"/>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1、农业生产专项经费具体包括农机和农技推广经费10万元，农机购置补贴工作经费11万元。</w:t>
      </w:r>
    </w:p>
    <w:p>
      <w:pPr>
        <w:pStyle w:val="10"/>
        <w:numPr>
          <w:ilvl w:val="0"/>
          <w:numId w:val="0"/>
        </w:num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2、农机和农技推广工作经费具体包括安全生产工作经费17万元，安全生产监理工作经费22万元。</w:t>
      </w:r>
    </w:p>
    <w:p>
      <w:pPr>
        <w:pStyle w:val="10"/>
        <w:numPr>
          <w:ilvl w:val="0"/>
          <w:numId w:val="0"/>
        </w:numPr>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三、政府性基金预算支出情况</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本单位无政府性基金收支</w:t>
      </w:r>
    </w:p>
    <w:p>
      <w:pPr>
        <w:pStyle w:val="10"/>
        <w:numPr>
          <w:ilvl w:val="0"/>
          <w:numId w:val="0"/>
        </w:numPr>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四、国有资本经营预算支出情况</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本单位无国有资本经营预算支出。</w:t>
      </w:r>
    </w:p>
    <w:p>
      <w:pPr>
        <w:pStyle w:val="10"/>
        <w:numPr>
          <w:ilvl w:val="0"/>
          <w:numId w:val="0"/>
        </w:numPr>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五、社会保险基金预算支出情况</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本单位无社会保险基金预算支出。</w:t>
      </w:r>
    </w:p>
    <w:p>
      <w:pPr>
        <w:pStyle w:val="10"/>
        <w:numPr>
          <w:ilvl w:val="0"/>
          <w:numId w:val="0"/>
        </w:numPr>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六、部门整体支出绩效情况</w:t>
      </w:r>
    </w:p>
    <w:p>
      <w:pPr>
        <w:pStyle w:val="10"/>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1、财务目标顺利完成。通过提高预算编制质量，提升预算执行和控制力度，加强支出管理、绩效评价考核等方法，提高资金效率，保障年度财务目标的顺利完成。</w:t>
      </w:r>
    </w:p>
    <w:p>
      <w:pPr>
        <w:pStyle w:val="10"/>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2、资产管理制度健全。建立了资产管理制度，加强对固定资产购置、验收结算、登记入账、定期清理的管理，保护固定资产的安全完整。</w:t>
      </w:r>
    </w:p>
    <w:p>
      <w:pPr>
        <w:pStyle w:val="10"/>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根据部门整体支出绩效评价指标体系，2019年度评价得分为81分。</w:t>
      </w:r>
    </w:p>
    <w:p>
      <w:pPr>
        <w:pStyle w:val="10"/>
        <w:numPr>
          <w:ilvl w:val="0"/>
          <w:numId w:val="0"/>
        </w:numPr>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七、存在的问题及原因分析</w:t>
      </w:r>
    </w:p>
    <w:p>
      <w:pPr>
        <w:pStyle w:val="10"/>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基本支出没有得到有限的保障。基本支出经费保障水平偏低，预算执行基本围绕保人员经费、保正常运转进行’公用经费缺口较大。从决算情况看，基本支出比重比较大，基本保障面临巨大的压力。</w:t>
      </w:r>
    </w:p>
    <w:p>
      <w:pPr>
        <w:pStyle w:val="10"/>
        <w:numPr>
          <w:ilvl w:val="0"/>
          <w:numId w:val="0"/>
        </w:numPr>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八、下一步改进措施</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强化绩效管理意识，进一步强化绩效理念，将绩效管理理念贯穿于资金分配到资金使用全过程，加大资金整合力度，把有限的资金用在刀刃上，提高财政资金使用效率。</w:t>
      </w:r>
    </w:p>
    <w:p>
      <w:pPr>
        <w:pStyle w:val="10"/>
        <w:numPr>
          <w:ilvl w:val="0"/>
          <w:numId w:val="0"/>
        </w:numPr>
        <w:ind w:firstLine="643" w:firstLineChars="200"/>
        <w:rPr>
          <w:rFonts w:hint="eastAsia" w:ascii="仿宋" w:hAnsi="仿宋" w:eastAsia="仿宋" w:cs="仿宋"/>
          <w:b/>
          <w:bCs/>
          <w:sz w:val="32"/>
          <w:szCs w:val="32"/>
          <w:lang w:eastAsia="zh-CN"/>
        </w:rPr>
      </w:pPr>
      <w:bookmarkStart w:id="0" w:name="_GoBack"/>
      <w:r>
        <w:rPr>
          <w:rFonts w:hint="eastAsia" w:ascii="仿宋" w:hAnsi="仿宋" w:eastAsia="仿宋" w:cs="仿宋"/>
          <w:b/>
          <w:bCs/>
          <w:sz w:val="32"/>
          <w:szCs w:val="32"/>
          <w:lang w:eastAsia="zh-CN"/>
        </w:rPr>
        <w:t>九、其他需要说明的情况</w:t>
      </w:r>
    </w:p>
    <w:bookmarkEnd w:id="0"/>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报告应包括以下附件：</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1、部门整体支出绩效评价基础数据表</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2、部门整体支出绩效自评表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2A492213"/>
    <w:rsid w:val="318A4CBD"/>
    <w:rsid w:val="37C63546"/>
    <w:rsid w:val="6AF047D1"/>
    <w:rsid w:val="6C75085E"/>
    <w:rsid w:val="75CB5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0"/>
    <w:pPr>
      <w:outlineLvl w:val="3"/>
    </w:pPr>
    <w:rPr>
      <w:rFonts w:asciiTheme="minorHAnsi" w:hAnsiTheme="minorHAnsi" w:eastAsiaTheme="minorEastAsia" w:cstheme="minorBidi"/>
      <w:bCs/>
      <w:szCs w:val="2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paragraph" w:styleId="10">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3</TotalTime>
  <ScaleCrop>false</ScaleCrop>
  <LinksUpToDate>false</LinksUpToDate>
  <CharactersWithSpaces>8635</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2020-02-01T07:07:00Z</cp:lastPrinted>
  <dcterms:modified xsi:type="dcterms:W3CDTF">2020-09-23T00:42:49Z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