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78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22</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83538</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95855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108111.15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83513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85455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107731.15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83513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85455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107731.15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3025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10400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600000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679197.73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767700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417377.58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128786.96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269520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128807.15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50021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55300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37455.72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13500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112794.47</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119683.57</w:t>
            </w: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区农机事务中心贯彻落实党中央和省</w:t>
      </w:r>
      <w:r>
        <w:rPr>
          <w:rFonts w:hint="eastAsia" w:ascii="仿宋" w:hAnsi="仿宋" w:eastAsia="仿宋" w:cs="仿宋"/>
          <w:sz w:val="32"/>
          <w:szCs w:val="32"/>
          <w:lang w:eastAsia="zh-CN"/>
        </w:rPr>
        <w:t>委</w:t>
      </w:r>
      <w:r>
        <w:rPr>
          <w:rFonts w:hint="eastAsia" w:ascii="仿宋" w:hAnsi="仿宋" w:eastAsia="仿宋" w:cs="仿宋"/>
          <w:sz w:val="32"/>
          <w:szCs w:val="32"/>
        </w:rPr>
        <w:t>、 市</w:t>
      </w:r>
      <w:r>
        <w:rPr>
          <w:rFonts w:hint="eastAsia" w:ascii="仿宋" w:hAnsi="仿宋" w:eastAsia="仿宋" w:cs="仿宋"/>
          <w:sz w:val="32"/>
          <w:szCs w:val="32"/>
          <w:lang w:eastAsia="zh-CN"/>
        </w:rPr>
        <w:t>委</w:t>
      </w:r>
      <w:r>
        <w:rPr>
          <w:rFonts w:hint="eastAsia" w:ascii="仿宋" w:hAnsi="仿宋" w:eastAsia="仿宋" w:cs="仿宋"/>
          <w:sz w:val="32"/>
          <w:szCs w:val="32"/>
        </w:rPr>
        <w:t>、关于农业农村和农业机械化工作的方针政策和决策部署，全面落实区委关于农业农村和农业机械化工作的部署要求，在履行职责过程中坚持和加强党对农业机械化工作的集中统一领导。主要职责是：</w:t>
      </w:r>
    </w:p>
    <w:p>
      <w:pPr>
        <w:pStyle w:val="10"/>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为全区农业农机</w:t>
      </w:r>
      <w:r>
        <w:rPr>
          <w:rFonts w:hint="eastAsia" w:ascii="仿宋" w:hAnsi="仿宋" w:eastAsia="仿宋" w:cs="仿宋"/>
          <w:sz w:val="32"/>
          <w:szCs w:val="32"/>
          <w:lang w:eastAsia="zh-CN"/>
        </w:rPr>
        <w:t>械</w:t>
      </w:r>
      <w:r>
        <w:rPr>
          <w:rFonts w:hint="eastAsia" w:ascii="仿宋" w:hAnsi="仿宋" w:eastAsia="仿宋" w:cs="仿宋"/>
          <w:sz w:val="32"/>
          <w:szCs w:val="32"/>
        </w:rPr>
        <w:t>化发展提供技术性支撑和公益性、事业性服务。</w:t>
      </w:r>
    </w:p>
    <w:p>
      <w:pPr>
        <w:pStyle w:val="10"/>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承担全区农业机械化事业发展规划和有关标准、技术规范的研究工作，调查研究农业机械社会化服务和产业化发展的经济、技术问题，开展相关评估论证，提出对策建议。</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（三）为全区农业机械化生产、农机社会化服务、农机维修、农机抗灾救灾、农机安全生产监管等相关工作提供技术支持、服务保障和相关公益服务。承担农业机械从业人员教育培训和职业技能开发工作。</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（四）承担农业机械补贴政策实施相关事务性工作。</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（五）承担农业机械化信息网络建设运行、农业机械化生产信息统计工作。</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（六）承担农业机械化新机具、新技术的引进和示范推广等相关技术性、事务性工作。</w:t>
      </w:r>
    </w:p>
    <w:p>
      <w:pPr>
        <w:pStyle w:val="10"/>
        <w:numPr>
          <w:ilvl w:val="0"/>
          <w:numId w:val="0"/>
        </w:num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（七）对乡镇和涉农街道农业综合服务中心进行业务和技术指导。</w:t>
      </w:r>
    </w:p>
    <w:p>
      <w:pPr>
        <w:pStyle w:val="10"/>
        <w:numPr>
          <w:ilvl w:val="0"/>
          <w:numId w:val="0"/>
        </w:numPr>
        <w:ind w:firstLine="640" w:firstLineChars="200"/>
        <w:rPr>
          <w:rFonts w:ascii="Times New Roman" w:hAnsi="Times New Roman" w:eastAsia="黑体"/>
          <w:sz w:val="32"/>
          <w:szCs w:val="32"/>
        </w:rPr>
      </w:pPr>
      <w:r>
        <w:rPr>
          <w:rFonts w:hint="eastAsia" w:ascii="仿宋" w:hAnsi="仿宋" w:eastAsia="仿宋" w:cs="仿宋"/>
          <w:sz w:val="32"/>
          <w:szCs w:val="32"/>
          <w:lang w:eastAsia="zh-CN"/>
        </w:rPr>
        <w:t>（八）完成区委、区政府及区农业农村局交办的其他任务。</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0"/>
        <w:widowControl/>
        <w:spacing w:line="600" w:lineRule="exact"/>
        <w:ind w:left="0" w:leftChars="0" w:firstLine="640" w:firstLineChars="200"/>
        <w:rPr>
          <w:rFonts w:ascii="Times New Roman" w:hAnsi="Times New Roman" w:eastAsia="黑体"/>
          <w:sz w:val="32"/>
          <w:szCs w:val="32"/>
        </w:rPr>
      </w:pPr>
      <w:r>
        <w:rPr>
          <w:rFonts w:hint="eastAsia" w:asciiTheme="minorEastAsia" w:hAnsiTheme="minorEastAsia" w:eastAsiaTheme="minorEastAsia" w:cstheme="minorEastAsia"/>
          <w:b w:val="0"/>
          <w:bCs w:val="0"/>
          <w:sz w:val="32"/>
          <w:szCs w:val="32"/>
          <w:lang w:val="en-US" w:eastAsia="zh-CN"/>
        </w:rPr>
        <w:t>2019年度部门</w:t>
      </w:r>
      <w:r>
        <w:rPr>
          <w:rFonts w:hint="eastAsia" w:asciiTheme="minorEastAsia" w:hAnsiTheme="minorEastAsia" w:eastAsiaTheme="minorEastAsia" w:cstheme="minorEastAsia"/>
          <w:b w:val="0"/>
          <w:bCs w:val="0"/>
          <w:sz w:val="32"/>
          <w:szCs w:val="32"/>
        </w:rPr>
        <w:t>一般公共预算</w:t>
      </w:r>
      <w:r>
        <w:rPr>
          <w:rFonts w:hint="eastAsia" w:asciiTheme="minorEastAsia" w:hAnsiTheme="minorEastAsia" w:eastAsiaTheme="minorEastAsia" w:cstheme="minorEastAsia"/>
          <w:b w:val="0"/>
          <w:bCs w:val="0"/>
          <w:sz w:val="32"/>
          <w:szCs w:val="32"/>
          <w:lang w:eastAsia="zh-CN"/>
        </w:rPr>
        <w:t>财政拨款决算</w:t>
      </w:r>
      <w:r>
        <w:rPr>
          <w:rFonts w:hint="eastAsia" w:asciiTheme="minorEastAsia" w:hAnsiTheme="minorEastAsia" w:eastAsiaTheme="minorEastAsia" w:cstheme="minorEastAsia"/>
          <w:b w:val="0"/>
          <w:bCs w:val="0"/>
          <w:sz w:val="32"/>
          <w:szCs w:val="32"/>
          <w:lang w:val="en-US" w:eastAsia="zh-CN"/>
        </w:rPr>
        <w:t>基本支出313.93万元，其中：工资福利支出230.46万元，商品和服务支出41.74万元，对个人和家庭补助41.04万元，资本性支出0.69万元。</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10"/>
        <w:widowControl/>
        <w:spacing w:line="600" w:lineRule="exact"/>
        <w:ind w:left="640" w:firstLine="0" w:firstLineChars="0"/>
        <w:jc w:val="left"/>
        <w:rPr>
          <w:rFonts w:hint="eastAsia" w:asciiTheme="minorEastAsia" w:hAnsiTheme="minorEastAsia" w:eastAsiaTheme="minorEastAsia" w:cstheme="minorEastAsia"/>
          <w:b w:val="0"/>
          <w:bCs w:val="0"/>
          <w:sz w:val="32"/>
          <w:szCs w:val="32"/>
          <w:lang w:val="en-US" w:eastAsia="zh-CN"/>
        </w:rPr>
      </w:pPr>
      <w:r>
        <w:rPr>
          <w:rFonts w:hint="eastAsia" w:asciiTheme="minorEastAsia" w:hAnsiTheme="minorEastAsia" w:eastAsiaTheme="minorEastAsia" w:cstheme="minorEastAsia"/>
          <w:b w:val="0"/>
          <w:bCs w:val="0"/>
          <w:sz w:val="32"/>
          <w:szCs w:val="32"/>
          <w:lang w:val="en-US" w:eastAsia="zh-CN"/>
        </w:rPr>
        <w:t>无2019年度部门</w:t>
      </w:r>
      <w:r>
        <w:rPr>
          <w:rFonts w:hint="eastAsia" w:asciiTheme="minorEastAsia" w:hAnsiTheme="minorEastAsia" w:eastAsiaTheme="minorEastAsia" w:cstheme="minorEastAsia"/>
          <w:b w:val="0"/>
          <w:bCs w:val="0"/>
          <w:sz w:val="32"/>
          <w:szCs w:val="32"/>
        </w:rPr>
        <w:t>一般公共预算</w:t>
      </w:r>
      <w:r>
        <w:rPr>
          <w:rFonts w:hint="eastAsia" w:asciiTheme="minorEastAsia" w:hAnsiTheme="minorEastAsia" w:eastAsiaTheme="minorEastAsia" w:cstheme="minorEastAsia"/>
          <w:b w:val="0"/>
          <w:bCs w:val="0"/>
          <w:sz w:val="32"/>
          <w:szCs w:val="32"/>
          <w:lang w:eastAsia="zh-CN"/>
        </w:rPr>
        <w:t>财政拨款决算</w:t>
      </w:r>
      <w:r>
        <w:rPr>
          <w:rFonts w:hint="eastAsia" w:asciiTheme="minorEastAsia" w:hAnsiTheme="minorEastAsia" w:eastAsiaTheme="minorEastAsia" w:cstheme="minorEastAsia"/>
          <w:b w:val="0"/>
          <w:bCs w:val="0"/>
          <w:sz w:val="32"/>
          <w:szCs w:val="32"/>
          <w:lang w:val="en-US" w:eastAsia="zh-CN"/>
        </w:rPr>
        <w:t>项目支出。</w:t>
      </w:r>
    </w:p>
    <w:p>
      <w:pPr>
        <w:widowControl/>
        <w:numPr>
          <w:ilvl w:val="0"/>
          <w:numId w:val="0"/>
        </w:numPr>
        <w:spacing w:line="600" w:lineRule="exact"/>
        <w:ind w:left="640" w:leftChars="0"/>
        <w:jc w:val="left"/>
        <w:rPr>
          <w:rFonts w:ascii="Times New Roman" w:hAnsi="Times New Roman" w:eastAsia="黑体"/>
          <w:sz w:val="32"/>
          <w:szCs w:val="32"/>
        </w:rPr>
      </w:pPr>
      <w:r>
        <w:rPr>
          <w:rFonts w:hint="eastAsia" w:eastAsia="黑体"/>
          <w:sz w:val="32"/>
          <w:szCs w:val="32"/>
          <w:lang w:eastAsia="zh-CN"/>
        </w:rPr>
        <w:t>三、</w:t>
      </w:r>
      <w:r>
        <w:rPr>
          <w:rFonts w:ascii="Times New Roman" w:hAnsi="Times New Roman" w:eastAsia="黑体"/>
          <w:sz w:val="32"/>
          <w:szCs w:val="32"/>
        </w:rPr>
        <w:t>政府性基金预算支出情况</w:t>
      </w:r>
    </w:p>
    <w:p>
      <w:pPr>
        <w:widowControl/>
        <w:numPr>
          <w:ilvl w:val="0"/>
          <w:numId w:val="0"/>
        </w:numPr>
        <w:spacing w:line="600" w:lineRule="exact"/>
        <w:ind w:firstLine="640" w:firstLineChars="200"/>
        <w:jc w:val="left"/>
        <w:rPr>
          <w:rFonts w:ascii="Times New Roman" w:hAnsi="Times New Roman" w:eastAsia="黑体"/>
          <w:sz w:val="32"/>
          <w:szCs w:val="32"/>
        </w:rPr>
      </w:pPr>
      <w:r>
        <w:rPr>
          <w:rFonts w:hint="eastAsia" w:asciiTheme="minorEastAsia" w:hAnsiTheme="minorEastAsia" w:eastAsiaTheme="minorEastAsia"/>
          <w:sz w:val="32"/>
          <w:szCs w:val="32"/>
          <w:lang w:eastAsia="zh-CN"/>
        </w:rPr>
        <w:t>本单位无政府性基金收支</w:t>
      </w:r>
    </w:p>
    <w:p>
      <w:pPr>
        <w:pStyle w:val="10"/>
        <w:widowControl/>
        <w:numPr>
          <w:ilvl w:val="0"/>
          <w:numId w:val="0"/>
        </w:numPr>
        <w:spacing w:line="600" w:lineRule="exact"/>
        <w:ind w:leftChars="200" w:firstLine="320" w:firstLineChars="100"/>
        <w:jc w:val="left"/>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国有资本经营预算支出情况</w:t>
      </w:r>
    </w:p>
    <w:p>
      <w:pPr>
        <w:pStyle w:val="10"/>
        <w:widowControl/>
        <w:numPr>
          <w:ilvl w:val="0"/>
          <w:numId w:val="0"/>
        </w:numPr>
        <w:spacing w:line="600" w:lineRule="exact"/>
        <w:ind w:firstLine="640" w:firstLineChars="200"/>
        <w:jc w:val="left"/>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本单位无国有资本经营预算支出。</w:t>
      </w:r>
    </w:p>
    <w:p>
      <w:pPr>
        <w:pStyle w:val="10"/>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0"/>
        <w:widowControl/>
        <w:numPr>
          <w:ilvl w:val="0"/>
          <w:numId w:val="0"/>
        </w:numPr>
        <w:spacing w:line="600" w:lineRule="exact"/>
        <w:ind w:firstLine="640" w:firstLineChars="200"/>
        <w:jc w:val="left"/>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本单位无社会保险基金预算支出。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firstLine="645"/>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1、财务目标顺利完成。通过提高预算编制质量，提升预算执行和控制力度，加强支出管理、绩效评价考核等方法，提高资金效率，保障年度财务目标的顺利完成。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firstLine="645"/>
        <w:jc w:val="both"/>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2、资产管理制度健全。建立了资产管理制度，加强对固定资产购置、验收结算、登记入账、定期清理的管理，保护固定资产的安全完整。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left="0" w:right="0" w:firstLine="645"/>
        <w:jc w:val="both"/>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根据部门整体支出绩效评价指标体系，2019年度评价得分为80分。</w:t>
      </w:r>
    </w:p>
    <w:p>
      <w:pPr>
        <w:pStyle w:val="10"/>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asciiTheme="minorEastAsia" w:hAnsiTheme="minorEastAsia" w:eastAsiaTheme="minorEastAsia" w:cstheme="minorEastAsia"/>
          <w:kern w:val="2"/>
          <w:sz w:val="32"/>
          <w:szCs w:val="32"/>
          <w:lang w:val="en-US" w:eastAsia="zh-CN" w:bidi="ar-SA"/>
        </w:rPr>
      </w:pPr>
      <w:r>
        <w:rPr>
          <w:rFonts w:hint="eastAsia" w:asciiTheme="minorEastAsia" w:hAnsiTheme="minorEastAsia" w:eastAsiaTheme="minorEastAsia" w:cstheme="minorEastAsia"/>
          <w:kern w:val="2"/>
          <w:sz w:val="32"/>
          <w:szCs w:val="32"/>
          <w:lang w:val="en-US" w:eastAsia="zh-CN" w:bidi="ar-SA"/>
        </w:rPr>
        <w:t>基本支出没有得到有限的保障。基本支出经费保障水平偏低，预算执行基本围绕保人员经费、保正常运转进行’公用经费缺口较大。从决算情况看，基本支出比重比较大，基本保障面临巨大的压力。</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645" w:lineRule="atLeast"/>
        <w:ind w:right="0" w:rightChars="0" w:firstLine="640" w:firstLineChars="200"/>
        <w:rPr>
          <w:rFonts w:eastAsia="黑体"/>
          <w:sz w:val="32"/>
          <w:szCs w:val="32"/>
        </w:rPr>
      </w:pPr>
      <w:r>
        <w:rPr>
          <w:rFonts w:hint="eastAsia" w:asciiTheme="minorEastAsia" w:hAnsiTheme="minorEastAsia" w:eastAsiaTheme="minorEastAsia" w:cstheme="minorEastAsia"/>
          <w:kern w:val="2"/>
          <w:sz w:val="32"/>
          <w:szCs w:val="32"/>
          <w:lang w:val="en-US" w:eastAsia="zh-CN" w:bidi="ar-SA"/>
        </w:rPr>
        <w:t>强化绩效管理意识，进一步强化绩效理念，将绩效管理理念贯穿于资金分配到资金使用全过程，加大资金整合力度，把有限的资金用在刀刃上，提高财政资金使用效率。</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pPr>
      <w:r>
        <w:rPr>
          <w:rFonts w:eastAsia="仿宋_GB2312"/>
          <w:sz w:val="32"/>
          <w:szCs w:val="32"/>
        </w:rPr>
        <w:t>2、部门整体支出绩效自评表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1F8632"/>
    <w:multiLevelType w:val="singleLevel"/>
    <w:tmpl w:val="731F8632"/>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212C74D4"/>
    <w:rsid w:val="2A492213"/>
    <w:rsid w:val="37C63546"/>
    <w:rsid w:val="6AF047D1"/>
    <w:rsid w:val="6C75085E"/>
    <w:rsid w:val="6EB62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0"/>
    <w:pPr>
      <w:outlineLvl w:val="3"/>
    </w:pPr>
    <w:rPr>
      <w:rFonts w:asciiTheme="minorHAnsi" w:hAnsiTheme="minorHAnsi" w:eastAsiaTheme="minorEastAsia" w:cstheme="minorBidi"/>
      <w:bCs/>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17</TotalTime>
  <ScaleCrop>false</ScaleCrop>
  <LinksUpToDate>false</LinksUpToDate>
  <CharactersWithSpaces>8635</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2020-09-21T00:03:18Z</cp:lastPrinted>
  <dcterms:modified xsi:type="dcterms:W3CDTF">2020-09-21T00:13:38Z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