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6"/>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97</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tabs>
          <w:tab w:val="right" w:pos="8306"/>
        </w:tabs>
        <w:rPr>
          <w:rFonts w:ascii="仿宋" w:hAnsi="仿宋" w:eastAsia="仿宋"/>
        </w:rPr>
      </w:pPr>
      <w:r>
        <w:rPr>
          <w:rFonts w:hint="eastAsia" w:ascii="仿宋" w:hAnsi="仿宋" w:eastAsia="仿宋"/>
        </w:rPr>
        <w:t>填报单位：</w:t>
      </w:r>
      <w:r>
        <w:rPr>
          <w:rFonts w:hint="eastAsia" w:ascii="仿宋" w:hAnsi="仿宋" w:eastAsia="仿宋"/>
          <w:lang w:eastAsia="zh-CN"/>
        </w:rPr>
        <w:t>鹤城区应急管理局</w:t>
      </w:r>
      <w:bookmarkStart w:id="0" w:name="_GoBack"/>
      <w:bookmarkEnd w:id="0"/>
      <w:r>
        <w:rPr>
          <w:rFonts w:ascii="仿宋" w:hAnsi="仿宋" w:eastAsia="仿宋"/>
        </w:rPr>
        <w:tab/>
      </w:r>
      <w:r>
        <w:rPr>
          <w:rFonts w:hint="eastAsia" w:ascii="仿宋" w:hAnsi="仿宋" w:eastAsia="仿宋"/>
        </w:rPr>
        <w:t>单位：万元</w:t>
      </w:r>
    </w:p>
    <w:tbl>
      <w:tblPr>
        <w:tblStyle w:val="6"/>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42</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42</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19.3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0.11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rPr>
              <w:t>5</w:t>
            </w: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rPr>
                <w:rFonts w:ascii="仿宋" w:hAnsi="仿宋" w:eastAsia="仿宋"/>
              </w:rPr>
            </w:pPr>
            <w:r>
              <w:rPr>
                <w:rFonts w:hint="eastAsia" w:ascii="仿宋" w:hAnsi="仿宋" w:eastAsia="仿宋"/>
              </w:rPr>
              <w:t xml:space="preserve">         3、</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114.5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114.5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r>
        <w:rPr>
          <w:rFonts w:eastAsia="楷体_GB2312"/>
          <w:sz w:val="32"/>
          <w:szCs w:val="32"/>
        </w:rPr>
        <w:t>（参考提纲）</w:t>
      </w:r>
    </w:p>
    <w:p>
      <w:pPr>
        <w:spacing w:line="600" w:lineRule="exact"/>
        <w:jc w:val="center"/>
        <w:rPr>
          <w:rFonts w:eastAsia="方正小标宋_GBK"/>
          <w:sz w:val="32"/>
          <w:szCs w:val="32"/>
        </w:rPr>
      </w:pPr>
    </w:p>
    <w:p>
      <w:pPr>
        <w:pStyle w:val="11"/>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pStyle w:val="11"/>
        <w:numPr>
          <w:ilvl w:val="0"/>
          <w:numId w:val="0"/>
        </w:numPr>
        <w:ind w:leftChars="0" w:firstLine="640" w:firstLineChars="200"/>
        <w:jc w:val="left"/>
        <w:rPr>
          <w:rFonts w:hint="eastAsia" w:ascii="黑体" w:hAnsi="黑体" w:eastAsia="黑体"/>
          <w:sz w:val="32"/>
          <w:szCs w:val="32"/>
        </w:rPr>
      </w:pPr>
      <w:r>
        <w:rPr>
          <w:rFonts w:ascii="黑体" w:hAnsi="黑体" w:eastAsia="黑体"/>
          <w:sz w:val="32"/>
          <w:szCs w:val="32"/>
        </w:rPr>
        <w:t>部门职责</w:t>
      </w:r>
    </w:p>
    <w:p>
      <w:pPr>
        <w:pStyle w:val="11"/>
        <w:numPr>
          <w:ilvl w:val="0"/>
          <w:numId w:val="0"/>
        </w:numPr>
        <w:ind w:leftChars="0" w:firstLine="300" w:firstLineChars="100"/>
        <w:jc w:val="left"/>
        <w:rPr>
          <w:rFonts w:hint="eastAsia" w:ascii="黑体" w:hAnsi="黑体" w:eastAsia="黑体"/>
          <w:sz w:val="30"/>
          <w:szCs w:val="30"/>
        </w:rPr>
      </w:pPr>
      <w:r>
        <w:rPr>
          <w:rFonts w:hint="eastAsia" w:ascii="黑体" w:hAnsi="黑体" w:eastAsia="黑体"/>
          <w:sz w:val="30"/>
          <w:szCs w:val="30"/>
        </w:rPr>
        <w:t>（一）负责应急管理工作，指导全区各部门应对安全生产类、自然灾害类等突发事件和综合防灾减灾救灾工作。负责安全生产综合监督管理和矿山、危险化学品、烟花爆竹行业安全生产监督管理工作。</w:t>
      </w:r>
    </w:p>
    <w:p>
      <w:pPr>
        <w:pStyle w:val="11"/>
        <w:numPr>
          <w:ilvl w:val="0"/>
          <w:numId w:val="0"/>
        </w:numPr>
        <w:ind w:leftChars="0" w:firstLine="300" w:firstLineChars="100"/>
        <w:jc w:val="left"/>
        <w:rPr>
          <w:rFonts w:hint="eastAsia" w:ascii="黑体" w:hAnsi="黑体" w:eastAsia="黑体"/>
          <w:sz w:val="30"/>
          <w:szCs w:val="30"/>
        </w:rPr>
      </w:pPr>
      <w:r>
        <w:rPr>
          <w:rFonts w:hint="eastAsia" w:ascii="黑体" w:hAnsi="黑体" w:eastAsia="黑体"/>
          <w:sz w:val="30"/>
          <w:szCs w:val="30"/>
        </w:rPr>
        <w:t>（二）贯彻实施相关法律法规、部门规章、规程和标准，组织编制全区应急体系建设、安全生产和综合防灾减灾规划，组织起草相关规范性文件,组织拟定相关规程和标准并监督实施。</w:t>
      </w:r>
    </w:p>
    <w:p>
      <w:pPr>
        <w:pStyle w:val="11"/>
        <w:numPr>
          <w:ilvl w:val="0"/>
          <w:numId w:val="0"/>
        </w:numPr>
        <w:ind w:leftChars="0" w:firstLine="300" w:firstLineChars="100"/>
        <w:jc w:val="left"/>
        <w:rPr>
          <w:rFonts w:hint="eastAsia" w:ascii="黑体" w:hAnsi="黑体" w:eastAsia="黑体"/>
          <w:sz w:val="30"/>
          <w:szCs w:val="30"/>
        </w:rPr>
      </w:pPr>
      <w:r>
        <w:rPr>
          <w:rFonts w:hint="eastAsia" w:ascii="黑体" w:hAnsi="黑体" w:eastAsia="黑体"/>
          <w:sz w:val="30"/>
          <w:szCs w:val="30"/>
        </w:rPr>
        <w:t>（三）指导应急预案体系建设，建立完善事故灾难和自然灾害分级应对制度，组织编制鹤城区总体应急预案和安全生产类、自然灾害类专项预案，综合协调应急预案衔接工作，组织开展预案演练，推动应急避难设施建设。</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lang w:val="en-US" w:eastAsia="zh-CN"/>
        </w:rPr>
        <w:t xml:space="preserve"> </w:t>
      </w:r>
      <w:r>
        <w:rPr>
          <w:rFonts w:hint="eastAsia" w:ascii="黑体" w:hAnsi="黑体" w:eastAsia="黑体"/>
          <w:sz w:val="30"/>
          <w:szCs w:val="30"/>
        </w:rPr>
        <w:t>四）牵头推进全区统一的应急管理信息系统建设，负责信息传输渠道的规划和布局，建立监测预警和灾情报告制度，健全自然灾害信息资源获取和共享机制，依法统一发布灾情。</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五）组织指导协调安全生产类、自然灾害类等事件应急救援，承担区应对较大灾害指挥部工作，综合研判突发事件发展态势并提出应对建议，协助区委、区政府指定的负责同志组织较大及以上灾害应急处置工作。</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（六）统一协调指挥各类应急专业队伍，建立应急协调联动机制，推进指挥平台对接，负责做好解放军和武警部队参与应急救援相关衔接工作。</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七）统筹全区应急救援力量建设，负责消防、森林和草原火灾扑救、抗洪抢险、地震和地质灾害救援、生产安全事故救援等专业应急救援力量建设，依权限做好驻怀国家综合性应急救援队伍建设的相关工作，指导地方及社会应急救援力量建设。</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（八）负责全区消防管理有关工作，指导、监督全区消防管理工作，指导全区火灾预防、火灾扑救等工作。</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（九）指导协调全区森林和草原火灾、水旱灾害、地震和地质灾害等防治工作，负责自然灾害综合监测预警工作，指导开展自然灾害综合风险评估工作。</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（十）组织协调全区灾害救助工作，组织指导灾情核查、损失评估、救灾捐赠工作，按权限管理、分配中央、省、市下达和区级救灾款物并监督使用。</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（十一）依法行使全区安全生产综合监督管理职权，指导协调、监督检查区政府有关部门、乡镇、街道安全生产工作，组织开展安全生产巡查、考核工作。承担区安全生产委员会办公室日常工作。</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十二）按照分级、属地原则，依法监督检查矿山、危险化学品、烟花爆竹等行业生产经营单位贯彻执行安全生产法律法规情况及其安全生产条件和有关设备（特种设备除外）、材料、劳动防护用品的安全生产管理工作。负责监督管理矿山、危险化学品、烟花爆竹行业区属企业安全生产工作。依法组织并指导监督实施安全生产准入制度。负责危险化学品安全监督管理综合工作和烟花爆竹安全生产监督管理工作。</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（十三）负责全区煤矿安全生产地方监管和煤矿安全基础管理监督指导工作。</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（十四）依法组织指导生产安全事故调查处理，监督事故查处和责任追究落实情况。组织开展自然灾害类突发事件的调查评估工作。</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（十五）开展应急管理跨区域交流与合作，参与安全生产类、自然灾害类等突发事件的对外救援工作。</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（十六）拟定区应急物资储备和应急救援装备规划并组织实施，会同区发展和改革局等部门建立健全应急物资信息平台和调拨制度，在救灾时统一调度。</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（十七）负责应急管理、安全生产宣传教育和培训工作，组织指导应急管理、安全生产的科学技术研究、推广应用和信息化建设工作。</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（十八）承担区防汛抗旱指挥部日常工作，协调区防汛抗旱指挥部成员单位的相关工作，组织执行国家防汛抗旱总指挥部、相关流域防汛抗旱指挥机构和省、市、区防汛抗旱指挥部的指示、命令。</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十九）协助市局组织指导特种作业人员（特种设备作业人员除外）和危险物品的生产、经营、储存单位以及矿山、金属冶炼等单位主要负责人、安全生产管理人员的安全资格考核工作，监督检查指导工矿商贸生产经营单位安全生产教育培训工作。监督管理安全生产社会中介机构和安全评价工作。</w:t>
      </w:r>
    </w:p>
    <w:p>
      <w:pPr>
        <w:pStyle w:val="11"/>
        <w:numPr>
          <w:ilvl w:val="0"/>
          <w:numId w:val="0"/>
        </w:numPr>
        <w:ind w:leftChars="0"/>
        <w:jc w:val="left"/>
        <w:rPr>
          <w:rFonts w:hint="eastAsia" w:ascii="黑体" w:hAnsi="黑体" w:eastAsia="黑体"/>
          <w:sz w:val="30"/>
          <w:szCs w:val="30"/>
        </w:rPr>
      </w:pPr>
      <w:r>
        <w:rPr>
          <w:rFonts w:hint="eastAsia" w:ascii="黑体" w:hAnsi="黑体" w:eastAsia="黑体"/>
          <w:sz w:val="30"/>
          <w:szCs w:val="30"/>
        </w:rPr>
        <w:t>（二十）完成区委、区政府交办的其他任务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怀化市鹤城区应急管理局是全额拨款的行政单位，现有编制</w:t>
      </w:r>
      <w:r>
        <w:rPr>
          <w:rFonts w:hint="eastAsia" w:asciiTheme="minorEastAsia" w:hAnsiTheme="minorEastAsia"/>
          <w:bCs/>
          <w:kern w:val="0"/>
          <w:sz w:val="32"/>
          <w:szCs w:val="32"/>
          <w:lang w:val="en-US" w:eastAsia="zh-CN"/>
        </w:rPr>
        <w:t>42人（其中：行政编7人，事业编制35人），全单位实用人员77人，在职人员42人，退休人员35人，</w:t>
      </w:r>
      <w:r>
        <w:rPr>
          <w:rFonts w:hint="eastAsia" w:asciiTheme="minorEastAsia" w:hAnsiTheme="minorEastAsia"/>
          <w:bCs/>
          <w:kern w:val="0"/>
          <w:sz w:val="32"/>
          <w:szCs w:val="32"/>
        </w:rPr>
        <w:t>单位内设机构包括：</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（一）办公室</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（二）应急指</w:t>
      </w:r>
      <w:r>
        <w:rPr>
          <w:rFonts w:hint="eastAsia" w:asciiTheme="minorEastAsia" w:hAnsiTheme="minorEastAsia"/>
          <w:bCs/>
          <w:kern w:val="0"/>
          <w:sz w:val="32"/>
          <w:szCs w:val="32"/>
          <w:lang w:eastAsia="zh-CN"/>
        </w:rPr>
        <w:t>挥中心</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（三）人事股</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（四）教育训练和培训监督考核股</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（五）救援协调和综合减灾</w:t>
      </w:r>
      <w:r>
        <w:rPr>
          <w:rFonts w:hint="eastAsia" w:asciiTheme="minorEastAsia" w:hAnsiTheme="minorEastAsia"/>
          <w:bCs/>
          <w:kern w:val="0"/>
          <w:sz w:val="32"/>
          <w:szCs w:val="32"/>
          <w:lang w:eastAsia="zh-CN"/>
        </w:rPr>
        <w:t>股</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（六）火灾防治管理股</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（七）防汛抗旱股</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（八）地震和地质灾害救援股</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（九）矿山和工贸行业安全监督管理股</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（十）危险化学品和烟花爆竹安全监督管理股</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（十一）安全生产综合协调</w:t>
      </w:r>
      <w:r>
        <w:rPr>
          <w:rFonts w:hint="eastAsia" w:asciiTheme="minorEastAsia" w:hAnsiTheme="minorEastAsia"/>
          <w:bCs/>
          <w:kern w:val="0"/>
          <w:sz w:val="32"/>
          <w:szCs w:val="32"/>
          <w:lang w:eastAsia="zh-CN"/>
        </w:rPr>
        <w:t>股</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（十二）救灾和物资保障股</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（十三）政策法规和行政审批股</w:t>
      </w:r>
    </w:p>
    <w:p>
      <w:pPr>
        <w:pStyle w:val="11"/>
        <w:numPr>
          <w:ilvl w:val="0"/>
          <w:numId w:val="0"/>
        </w:numPr>
        <w:ind w:leftChars="0"/>
        <w:jc w:val="left"/>
        <w:rPr>
          <w:rFonts w:hint="eastAsia" w:ascii="黑体" w:hAnsi="黑体" w:eastAsia="黑体"/>
          <w:sz w:val="32"/>
          <w:szCs w:val="32"/>
        </w:rPr>
      </w:pP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12"/>
        <w:ind w:firstLine="640" w:firstLineChars="200"/>
        <w:rPr>
          <w:rFonts w:ascii="Times New Roman" w:hAnsi="Times New Roman" w:eastAsia="黑体"/>
          <w:sz w:val="32"/>
          <w:szCs w:val="32"/>
        </w:rPr>
      </w:pPr>
      <w:r>
        <w:rPr>
          <w:rFonts w:hint="eastAsia" w:asciiTheme="minorEastAsia" w:hAnsiTheme="minorEastAsia" w:eastAsiaTheme="minorEastAsia"/>
          <w:sz w:val="32"/>
          <w:szCs w:val="32"/>
        </w:rPr>
        <w:t xml:space="preserve">  2019年度财政拨款收、支总计</w:t>
      </w:r>
      <w:r>
        <w:rPr>
          <w:rFonts w:hint="eastAsia" w:asciiTheme="minorEastAsia" w:hAnsiTheme="minorEastAsia" w:eastAsiaTheme="minorEastAsia"/>
          <w:sz w:val="32"/>
          <w:szCs w:val="32"/>
          <w:lang w:val="en-US" w:eastAsia="zh-CN"/>
        </w:rPr>
        <w:t>727</w:t>
      </w:r>
      <w:r>
        <w:rPr>
          <w:rFonts w:hint="eastAsia" w:asciiTheme="minorEastAsia" w:hAnsiTheme="minorEastAsia" w:eastAsiaTheme="minorEastAsia"/>
          <w:sz w:val="32"/>
          <w:szCs w:val="32"/>
        </w:rPr>
        <w:t>万元，与2018年相比，增加</w:t>
      </w:r>
      <w:r>
        <w:rPr>
          <w:rFonts w:hint="eastAsia" w:asciiTheme="minorEastAsia" w:hAnsiTheme="minorEastAsia" w:eastAsiaTheme="minorEastAsia"/>
          <w:sz w:val="32"/>
          <w:szCs w:val="32"/>
          <w:lang w:val="en-US" w:eastAsia="zh-CN"/>
        </w:rPr>
        <w:t>38</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保障全局正常运转，完成日常工作任务而发生的各项支出，包括基本工资、津贴补贴等人员经费以及办公费、印刷费、水电费等日常公用经费，</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机构改革，人员增加，专项业务工作增多。</w:t>
      </w:r>
    </w:p>
    <w:p>
      <w:pPr>
        <w:pStyle w:val="11"/>
        <w:widowControl/>
        <w:numPr>
          <w:ilvl w:val="0"/>
          <w:numId w:val="2"/>
        </w:numPr>
        <w:spacing w:line="600" w:lineRule="exact"/>
        <w:ind w:left="640" w:firstLine="0" w:firstLineChars="0"/>
        <w:rPr>
          <w:rFonts w:hint="eastAsia" w:ascii="Times New Roman" w:hAnsi="Times New Roman" w:eastAsia="黑体"/>
          <w:sz w:val="32"/>
          <w:szCs w:val="32"/>
          <w:lang w:eastAsia="zh-CN"/>
        </w:rPr>
      </w:pPr>
      <w:r>
        <w:rPr>
          <w:rFonts w:ascii="Times New Roman" w:hAnsi="Times New Roman" w:eastAsia="黑体"/>
          <w:sz w:val="32"/>
          <w:szCs w:val="32"/>
        </w:rPr>
        <w:t>项目支出情</w:t>
      </w:r>
      <w:r>
        <w:rPr>
          <w:rFonts w:hint="eastAsia" w:ascii="Times New Roman" w:hAnsi="Times New Roman" w:eastAsia="黑体"/>
          <w:sz w:val="32"/>
          <w:szCs w:val="32"/>
          <w:lang w:eastAsia="zh-CN"/>
        </w:rPr>
        <w:t>况</w:t>
      </w:r>
    </w:p>
    <w:p>
      <w:pPr>
        <w:pStyle w:val="12"/>
        <w:ind w:firstLine="640" w:firstLineChars="200"/>
        <w:rPr>
          <w:rFonts w:hint="eastAsia" w:ascii="Times New Roman" w:hAnsi="Times New Roman" w:eastAsia="黑体"/>
          <w:sz w:val="32"/>
          <w:szCs w:val="32"/>
          <w:lang w:eastAsia="zh-CN"/>
        </w:rPr>
      </w:pP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60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widowControl/>
        <w:spacing w:line="600" w:lineRule="exact"/>
        <w:jc w:val="left"/>
        <w:rPr>
          <w:rFonts w:eastAsia="仿宋_GB2312"/>
          <w:sz w:val="32"/>
          <w:szCs w:val="32"/>
        </w:rPr>
      </w:pPr>
      <w:r>
        <w:rPr>
          <w:rFonts w:hint="eastAsia" w:eastAsia="仿宋_GB2312"/>
          <w:sz w:val="32"/>
          <w:szCs w:val="32"/>
          <w:lang w:val="en-US" w:eastAsia="zh-CN"/>
        </w:rPr>
        <w:t>2019</w:t>
      </w:r>
      <w:r>
        <w:rPr>
          <w:rFonts w:eastAsia="仿宋_GB2312"/>
          <w:sz w:val="32"/>
          <w:szCs w:val="32"/>
        </w:rPr>
        <w:t>年度</w:t>
      </w:r>
      <w:r>
        <w:rPr>
          <w:rFonts w:hint="eastAsia" w:eastAsia="仿宋_GB2312"/>
          <w:sz w:val="32"/>
          <w:szCs w:val="32"/>
          <w:lang w:eastAsia="zh-CN"/>
        </w:rPr>
        <w:t>共安排</w:t>
      </w:r>
      <w:r>
        <w:rPr>
          <w:rFonts w:eastAsia="仿宋_GB2312"/>
          <w:sz w:val="32"/>
          <w:szCs w:val="32"/>
        </w:rPr>
        <w:t>专项资金</w:t>
      </w:r>
      <w:r>
        <w:rPr>
          <w:rFonts w:hint="eastAsia" w:eastAsia="仿宋_GB2312"/>
          <w:sz w:val="32"/>
          <w:szCs w:val="32"/>
          <w:lang w:val="en-US" w:eastAsia="zh-CN"/>
        </w:rPr>
        <w:t>60万元，全部来源财政拨款。主要用于安全生产监督，危爆物品监督，森林防火预防</w:t>
      </w:r>
      <w:r>
        <w:rPr>
          <w:rFonts w:eastAsia="仿宋_GB2312"/>
          <w:sz w:val="32"/>
          <w:szCs w:val="32"/>
        </w:rPr>
        <w:t>和</w:t>
      </w:r>
      <w:r>
        <w:rPr>
          <w:rFonts w:hint="eastAsia" w:eastAsia="仿宋_GB2312"/>
          <w:sz w:val="32"/>
          <w:szCs w:val="32"/>
          <w:lang w:eastAsia="zh-CN"/>
        </w:rPr>
        <w:t>教育培训经费等开支。</w:t>
      </w:r>
    </w:p>
    <w:p>
      <w:pPr>
        <w:pStyle w:val="11"/>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pStyle w:val="12"/>
        <w:rPr>
          <w:rFonts w:ascii="Times New Roman" w:hAnsi="Times New Roman" w:eastAsia="黑体"/>
          <w:sz w:val="32"/>
          <w:szCs w:val="32"/>
        </w:rPr>
      </w:pPr>
      <w:r>
        <w:rPr>
          <w:rFonts w:hint="eastAsia" w:asciiTheme="minorEastAsia" w:hAnsiTheme="minorEastAsia" w:eastAsiaTheme="minorEastAsia"/>
          <w:sz w:val="32"/>
          <w:szCs w:val="32"/>
        </w:rPr>
        <w:t>2019年度政府性基金预算财政拨款收入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i/>
          <w:color w:val="7E7E7E" w:themeColor="text1" w:themeTint="80"/>
          <w:sz w:val="32"/>
          <w:szCs w:val="32"/>
        </w:rPr>
        <w:t>本单位无政府性基金支</w:t>
      </w:r>
      <w:r>
        <w:rPr>
          <w:rFonts w:hint="eastAsia" w:asciiTheme="minorEastAsia" w:hAnsiTheme="minorEastAsia" w:eastAsiaTheme="minorEastAsia"/>
          <w:i/>
          <w:color w:val="7E7E7E" w:themeColor="text1" w:themeTint="80"/>
          <w:sz w:val="32"/>
          <w:szCs w:val="32"/>
          <w:lang w:eastAsia="zh-CN"/>
        </w:rPr>
        <w:t>出。</w:t>
      </w:r>
    </w:p>
    <w:p>
      <w:pPr>
        <w:pStyle w:val="11"/>
        <w:widowControl/>
        <w:numPr>
          <w:ilvl w:val="0"/>
          <w:numId w:val="3"/>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辆，其中，领导</w:t>
      </w:r>
      <w:r>
        <w:rPr>
          <w:rFonts w:hint="eastAsia" w:cs="黑体" w:asciiTheme="minorEastAsia" w:hAnsiTheme="minorEastAsia"/>
          <w:color w:val="000000"/>
          <w:kern w:val="0"/>
          <w:sz w:val="32"/>
          <w:szCs w:val="32"/>
          <w:lang w:eastAsia="zh-CN"/>
        </w:rPr>
        <w:t>干部</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辆、机要通信用车</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辆、应急保障用车</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辆、执法执勤用车</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辆、特种专业技术用车</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辆、其他用车</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辆，其他用车主要是……；单位价值50万元以上通用设备</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台（套）；单位价值100万元以上专用设备</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台（套）。</w:t>
      </w:r>
    </w:p>
    <w:p>
      <w:pPr>
        <w:widowControl/>
        <w:numPr>
          <w:ilvl w:val="0"/>
          <w:numId w:val="3"/>
        </w:numPr>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widowControl/>
        <w:numPr>
          <w:ilvl w:val="0"/>
          <w:numId w:val="0"/>
        </w:numPr>
        <w:ind w:left="640" w:leftChars="0"/>
        <w:jc w:val="left"/>
        <w:rPr>
          <w:rFonts w:hint="default" w:ascii="Times New Roman" w:hAnsi="Times New Roman" w:eastAsia="黑体"/>
          <w:sz w:val="32"/>
          <w:szCs w:val="32"/>
          <w:lang w:val="en-US" w:eastAsia="zh-CN"/>
        </w:rPr>
      </w:pPr>
      <w:r>
        <w:rPr>
          <w:rFonts w:hint="eastAsia" w:eastAsia="黑体"/>
          <w:sz w:val="32"/>
          <w:szCs w:val="32"/>
          <w:lang w:val="en-US" w:eastAsia="zh-CN"/>
        </w:rPr>
        <w:t>2019年社会保险基金支出为0万元。</w:t>
      </w:r>
    </w:p>
    <w:p>
      <w:pPr>
        <w:widowControl/>
        <w:numPr>
          <w:ilvl w:val="0"/>
          <w:numId w:val="3"/>
        </w:numPr>
        <w:spacing w:line="600" w:lineRule="exact"/>
        <w:ind w:left="640" w:leftChars="0" w:firstLine="0" w:firstLineChars="0"/>
        <w:jc w:val="left"/>
        <w:rPr>
          <w:rFonts w:eastAsia="黑体"/>
          <w:sz w:val="32"/>
          <w:szCs w:val="32"/>
        </w:rPr>
      </w:pPr>
      <w:r>
        <w:rPr>
          <w:rFonts w:eastAsia="黑体"/>
          <w:sz w:val="32"/>
          <w:szCs w:val="32"/>
        </w:rPr>
        <w:t>部门整体支出绩效情况</w:t>
      </w:r>
    </w:p>
    <w:p>
      <w:pPr>
        <w:ind w:firstLine="643"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widowControl/>
        <w:spacing w:line="600" w:lineRule="exact"/>
        <w:rPr>
          <w:rFonts w:cs="宋体" w:asciiTheme="minorEastAsia" w:hAnsiTheme="minorEastAsia"/>
          <w:sz w:val="32"/>
          <w:szCs w:val="32"/>
        </w:rPr>
      </w:pPr>
      <w:r>
        <w:rPr>
          <w:rFonts w:hint="eastAsia" w:cs="宋体" w:asciiTheme="minorEastAsia" w:hAnsiTheme="minorEastAsia"/>
          <w:sz w:val="32"/>
          <w:szCs w:val="32"/>
        </w:rPr>
        <w:t>1、</w:t>
      </w:r>
      <w:r>
        <w:rPr>
          <w:rFonts w:hint="eastAsia" w:cs="宋体" w:asciiTheme="minorEastAsia" w:hAnsiTheme="minorEastAsia"/>
          <w:sz w:val="32"/>
          <w:szCs w:val="32"/>
          <w:lang w:eastAsia="zh-CN"/>
        </w:rPr>
        <w:t>怀化市</w:t>
      </w:r>
      <w:r>
        <w:rPr>
          <w:rFonts w:hint="eastAsia" w:cs="宋体" w:asciiTheme="minorEastAsia" w:hAnsiTheme="minorEastAsia"/>
          <w:sz w:val="32"/>
          <w:szCs w:val="32"/>
        </w:rPr>
        <w:t>鹤城</w:t>
      </w:r>
      <w:r>
        <w:rPr>
          <w:rFonts w:hint="eastAsia" w:cs="宋体" w:asciiTheme="minorEastAsia" w:hAnsiTheme="minorEastAsia"/>
          <w:sz w:val="32"/>
          <w:szCs w:val="32"/>
          <w:lang w:eastAsia="zh-CN"/>
        </w:rPr>
        <w:t>区应急管理局</w:t>
      </w:r>
      <w:r>
        <w:rPr>
          <w:rFonts w:hint="eastAsia" w:cs="宋体" w:asciiTheme="minorEastAsia" w:hAnsiTheme="minorEastAsia"/>
          <w:sz w:val="32"/>
          <w:szCs w:val="32"/>
        </w:rPr>
        <w:t>是全额拨款的</w:t>
      </w:r>
      <w:r>
        <w:rPr>
          <w:rFonts w:hint="eastAsia" w:cs="宋体" w:asciiTheme="minorEastAsia" w:hAnsiTheme="minorEastAsia"/>
          <w:sz w:val="32"/>
          <w:szCs w:val="32"/>
          <w:lang w:eastAsia="zh-CN"/>
        </w:rPr>
        <w:t>行政</w:t>
      </w:r>
      <w:r>
        <w:rPr>
          <w:rFonts w:hint="eastAsia" w:cs="宋体" w:asciiTheme="minorEastAsia" w:hAnsiTheme="minorEastAsia"/>
          <w:sz w:val="32"/>
          <w:szCs w:val="32"/>
        </w:rPr>
        <w:t>单位。</w:t>
      </w:r>
      <w:r>
        <w:rPr>
          <w:rFonts w:hint="eastAsia" w:cs="宋体" w:asciiTheme="minorEastAsia" w:hAnsiTheme="minorEastAsia"/>
          <w:sz w:val="32"/>
          <w:szCs w:val="32"/>
          <w:lang w:val="en-US" w:eastAsia="zh-CN"/>
        </w:rPr>
        <w:t>1、</w:t>
      </w:r>
      <w:r>
        <w:rPr>
          <w:rFonts w:hint="eastAsia" w:asciiTheme="minorEastAsia" w:hAnsiTheme="minorEastAsia"/>
          <w:bCs/>
          <w:kern w:val="0"/>
          <w:sz w:val="32"/>
          <w:szCs w:val="32"/>
        </w:rPr>
        <w:t>办公室</w:t>
      </w:r>
      <w:r>
        <w:rPr>
          <w:rFonts w:hint="eastAsia" w:asciiTheme="minorEastAsia" w:hAnsiTheme="minorEastAsia"/>
          <w:bCs/>
          <w:kern w:val="0"/>
          <w:sz w:val="32"/>
          <w:szCs w:val="32"/>
          <w:lang w:val="en-US" w:eastAsia="zh-CN"/>
        </w:rPr>
        <w:t>2、</w:t>
      </w:r>
      <w:r>
        <w:rPr>
          <w:rFonts w:hint="eastAsia" w:asciiTheme="minorEastAsia" w:hAnsiTheme="minorEastAsia"/>
          <w:bCs/>
          <w:kern w:val="0"/>
          <w:sz w:val="32"/>
          <w:szCs w:val="32"/>
        </w:rPr>
        <w:t>应急指</w:t>
      </w:r>
      <w:r>
        <w:rPr>
          <w:rFonts w:hint="eastAsia" w:asciiTheme="minorEastAsia" w:hAnsiTheme="minorEastAsia"/>
          <w:bCs/>
          <w:kern w:val="0"/>
          <w:sz w:val="32"/>
          <w:szCs w:val="32"/>
          <w:lang w:eastAsia="zh-CN"/>
        </w:rPr>
        <w:t>挥中心</w:t>
      </w:r>
      <w:r>
        <w:rPr>
          <w:rFonts w:hint="eastAsia" w:asciiTheme="minorEastAsia" w:hAnsiTheme="minorEastAsia"/>
          <w:bCs/>
          <w:kern w:val="0"/>
          <w:sz w:val="32"/>
          <w:szCs w:val="32"/>
          <w:lang w:val="en-US" w:eastAsia="zh-CN"/>
        </w:rPr>
        <w:t>3、</w:t>
      </w:r>
      <w:r>
        <w:rPr>
          <w:rFonts w:hint="eastAsia" w:asciiTheme="minorEastAsia" w:hAnsiTheme="minorEastAsia"/>
          <w:bCs/>
          <w:kern w:val="0"/>
          <w:sz w:val="32"/>
          <w:szCs w:val="32"/>
        </w:rPr>
        <w:t>人事股</w:t>
      </w:r>
      <w:r>
        <w:rPr>
          <w:rFonts w:hint="eastAsia" w:asciiTheme="minorEastAsia" w:hAnsiTheme="minorEastAsia"/>
          <w:bCs/>
          <w:kern w:val="0"/>
          <w:sz w:val="32"/>
          <w:szCs w:val="32"/>
          <w:lang w:val="en-US" w:eastAsia="zh-CN"/>
        </w:rPr>
        <w:t>4、</w:t>
      </w:r>
      <w:r>
        <w:rPr>
          <w:rFonts w:hint="eastAsia" w:asciiTheme="minorEastAsia" w:hAnsiTheme="minorEastAsia"/>
          <w:bCs/>
          <w:kern w:val="0"/>
          <w:sz w:val="32"/>
          <w:szCs w:val="32"/>
        </w:rPr>
        <w:t>教育训练和培训监督考核股</w:t>
      </w:r>
      <w:r>
        <w:rPr>
          <w:rFonts w:hint="eastAsia" w:asciiTheme="minorEastAsia" w:hAnsiTheme="minorEastAsia"/>
          <w:bCs/>
          <w:kern w:val="0"/>
          <w:sz w:val="32"/>
          <w:szCs w:val="32"/>
          <w:lang w:val="en-US" w:eastAsia="zh-CN"/>
        </w:rPr>
        <w:t>5、</w:t>
      </w:r>
      <w:r>
        <w:rPr>
          <w:rFonts w:hint="eastAsia" w:asciiTheme="minorEastAsia" w:hAnsiTheme="minorEastAsia"/>
          <w:bCs/>
          <w:kern w:val="0"/>
          <w:sz w:val="32"/>
          <w:szCs w:val="32"/>
        </w:rPr>
        <w:t>救援协调和综合减灾</w:t>
      </w:r>
      <w:r>
        <w:rPr>
          <w:rFonts w:hint="eastAsia" w:asciiTheme="minorEastAsia" w:hAnsiTheme="minorEastAsia"/>
          <w:bCs/>
          <w:kern w:val="0"/>
          <w:sz w:val="32"/>
          <w:szCs w:val="32"/>
          <w:lang w:eastAsia="zh-CN"/>
        </w:rPr>
        <w:t>股</w:t>
      </w:r>
      <w:r>
        <w:rPr>
          <w:rFonts w:hint="eastAsia" w:asciiTheme="minorEastAsia" w:hAnsiTheme="minorEastAsia"/>
          <w:bCs/>
          <w:kern w:val="0"/>
          <w:sz w:val="32"/>
          <w:szCs w:val="32"/>
          <w:lang w:val="en-US" w:eastAsia="zh-CN"/>
        </w:rPr>
        <w:t>6、</w:t>
      </w:r>
      <w:r>
        <w:rPr>
          <w:rFonts w:hint="eastAsia" w:asciiTheme="minorEastAsia" w:hAnsiTheme="minorEastAsia"/>
          <w:bCs/>
          <w:kern w:val="0"/>
          <w:sz w:val="32"/>
          <w:szCs w:val="32"/>
        </w:rPr>
        <w:t>火灾防治管理股</w:t>
      </w:r>
      <w:r>
        <w:rPr>
          <w:rFonts w:hint="eastAsia" w:asciiTheme="minorEastAsia" w:hAnsiTheme="minorEastAsia"/>
          <w:bCs/>
          <w:kern w:val="0"/>
          <w:sz w:val="32"/>
          <w:szCs w:val="32"/>
          <w:lang w:val="en-US" w:eastAsia="zh-CN"/>
        </w:rPr>
        <w:t>7、</w:t>
      </w:r>
      <w:r>
        <w:rPr>
          <w:rFonts w:hint="eastAsia" w:asciiTheme="minorEastAsia" w:hAnsiTheme="minorEastAsia"/>
          <w:bCs/>
          <w:kern w:val="0"/>
          <w:sz w:val="32"/>
          <w:szCs w:val="32"/>
        </w:rPr>
        <w:t>防汛抗旱股</w:t>
      </w:r>
      <w:r>
        <w:rPr>
          <w:rFonts w:hint="eastAsia" w:asciiTheme="minorEastAsia" w:hAnsiTheme="minorEastAsia"/>
          <w:bCs/>
          <w:kern w:val="0"/>
          <w:sz w:val="32"/>
          <w:szCs w:val="32"/>
          <w:lang w:val="en-US" w:eastAsia="zh-CN"/>
        </w:rPr>
        <w:t>8、</w:t>
      </w:r>
      <w:r>
        <w:rPr>
          <w:rFonts w:hint="eastAsia" w:asciiTheme="minorEastAsia" w:hAnsiTheme="minorEastAsia"/>
          <w:bCs/>
          <w:kern w:val="0"/>
          <w:sz w:val="32"/>
          <w:szCs w:val="32"/>
        </w:rPr>
        <w:t>地震和地质灾害救援股</w:t>
      </w:r>
      <w:r>
        <w:rPr>
          <w:rFonts w:hint="eastAsia" w:asciiTheme="minorEastAsia" w:hAnsiTheme="minorEastAsia"/>
          <w:bCs/>
          <w:kern w:val="0"/>
          <w:sz w:val="32"/>
          <w:szCs w:val="32"/>
          <w:lang w:val="en-US" w:eastAsia="zh-CN"/>
        </w:rPr>
        <w:t>9、</w:t>
      </w:r>
      <w:r>
        <w:rPr>
          <w:rFonts w:hint="eastAsia" w:asciiTheme="minorEastAsia" w:hAnsiTheme="minorEastAsia"/>
          <w:bCs/>
          <w:kern w:val="0"/>
          <w:sz w:val="32"/>
          <w:szCs w:val="32"/>
        </w:rPr>
        <w:t>矿山和工贸行业安全监督管理股</w:t>
      </w:r>
      <w:r>
        <w:rPr>
          <w:rFonts w:hint="eastAsia" w:asciiTheme="minorEastAsia" w:hAnsiTheme="minorEastAsia"/>
          <w:bCs/>
          <w:kern w:val="0"/>
          <w:sz w:val="32"/>
          <w:szCs w:val="32"/>
          <w:lang w:val="en-US" w:eastAsia="zh-CN"/>
        </w:rPr>
        <w:t>10、</w:t>
      </w:r>
      <w:r>
        <w:rPr>
          <w:rFonts w:hint="eastAsia" w:asciiTheme="minorEastAsia" w:hAnsiTheme="minorEastAsia"/>
          <w:bCs/>
          <w:kern w:val="0"/>
          <w:sz w:val="32"/>
          <w:szCs w:val="32"/>
        </w:rPr>
        <w:t>危险化学品和烟花爆竹安全监督管理股</w:t>
      </w:r>
      <w:r>
        <w:rPr>
          <w:rFonts w:hint="eastAsia" w:asciiTheme="minorEastAsia" w:hAnsiTheme="minorEastAsia"/>
          <w:bCs/>
          <w:kern w:val="0"/>
          <w:sz w:val="32"/>
          <w:szCs w:val="32"/>
          <w:lang w:val="en-US" w:eastAsia="zh-CN"/>
        </w:rPr>
        <w:t>11、</w:t>
      </w:r>
      <w:r>
        <w:rPr>
          <w:rFonts w:hint="eastAsia" w:asciiTheme="minorEastAsia" w:hAnsiTheme="minorEastAsia"/>
          <w:bCs/>
          <w:kern w:val="0"/>
          <w:sz w:val="32"/>
          <w:szCs w:val="32"/>
        </w:rPr>
        <w:t>安全生产综合协调</w:t>
      </w:r>
      <w:r>
        <w:rPr>
          <w:rFonts w:hint="eastAsia" w:asciiTheme="minorEastAsia" w:hAnsiTheme="minorEastAsia"/>
          <w:bCs/>
          <w:kern w:val="0"/>
          <w:sz w:val="32"/>
          <w:szCs w:val="32"/>
          <w:lang w:eastAsia="zh-CN"/>
        </w:rPr>
        <w:t>股</w:t>
      </w:r>
      <w:r>
        <w:rPr>
          <w:rFonts w:hint="eastAsia" w:asciiTheme="minorEastAsia" w:hAnsiTheme="minorEastAsia"/>
          <w:bCs/>
          <w:kern w:val="0"/>
          <w:sz w:val="32"/>
          <w:szCs w:val="32"/>
          <w:lang w:val="en-US" w:eastAsia="zh-CN"/>
        </w:rPr>
        <w:t>12、</w:t>
      </w:r>
      <w:r>
        <w:rPr>
          <w:rFonts w:hint="eastAsia" w:asciiTheme="minorEastAsia" w:hAnsiTheme="minorEastAsia"/>
          <w:bCs/>
          <w:kern w:val="0"/>
          <w:sz w:val="32"/>
          <w:szCs w:val="32"/>
        </w:rPr>
        <w:t>救灾和物资保障股</w:t>
      </w:r>
      <w:r>
        <w:rPr>
          <w:rFonts w:hint="eastAsia" w:asciiTheme="minorEastAsia" w:hAnsiTheme="minorEastAsia"/>
          <w:bCs/>
          <w:kern w:val="0"/>
          <w:sz w:val="32"/>
          <w:szCs w:val="32"/>
          <w:lang w:val="en-US" w:eastAsia="zh-CN"/>
        </w:rPr>
        <w:t>13、</w:t>
      </w:r>
      <w:r>
        <w:rPr>
          <w:rFonts w:hint="eastAsia" w:asciiTheme="minorEastAsia" w:hAnsiTheme="minorEastAsia"/>
          <w:bCs/>
          <w:kern w:val="0"/>
          <w:sz w:val="32"/>
          <w:szCs w:val="32"/>
        </w:rPr>
        <w:t>政策法规和行政审批股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526" w:right="526" w:firstLine="420"/>
        <w:rPr>
          <w:rFonts w:hint="eastAsia" w:cs="宋体" w:asciiTheme="minorEastAsia" w:hAnsiTheme="minorEastAsia"/>
          <w:sz w:val="32"/>
          <w:szCs w:val="32"/>
          <w:lang w:eastAsia="zh-CN"/>
        </w:rPr>
      </w:pPr>
      <w:r>
        <w:rPr>
          <w:rFonts w:hint="eastAsia" w:cs="宋体" w:asciiTheme="minorEastAsia" w:hAnsiTheme="minorEastAsia"/>
          <w:sz w:val="32"/>
          <w:szCs w:val="32"/>
        </w:rPr>
        <w:t>2、主要工作</w:t>
      </w:r>
      <w:r>
        <w:rPr>
          <w:rFonts w:hint="eastAsia" w:cs="宋体" w:asciiTheme="minorEastAsia" w:hAnsiTheme="minorEastAsia"/>
          <w:sz w:val="32"/>
          <w:szCs w:val="32"/>
          <w:lang w:eastAsia="zh-CN"/>
        </w:rPr>
        <w:t>职责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526" w:right="526" w:firstLine="420"/>
        <w:rPr>
          <w:rFonts w:cs="宋体" w:asciiTheme="minorEastAsia" w:hAnsiTheme="minorEastAsia"/>
          <w:sz w:val="32"/>
          <w:szCs w:val="32"/>
        </w:rPr>
      </w:pPr>
      <w:r>
        <w:rPr>
          <w:rFonts w:hint="default" w:ascii="Arial" w:hAnsi="Arial" w:cs="Arial"/>
          <w:i w:val="0"/>
          <w:caps w:val="0"/>
          <w:color w:val="000000" w:themeColor="text1"/>
          <w:spacing w:val="0"/>
          <w:sz w:val="32"/>
          <w:szCs w:val="32"/>
          <w:u w:val="none"/>
          <w:shd w:val="clear" w:fill="FFFFFF"/>
        </w:rPr>
        <w:fldChar w:fldCharType="begin"/>
      </w:r>
      <w:r>
        <w:rPr>
          <w:rFonts w:hint="default" w:ascii="Arial" w:hAnsi="Arial" w:cs="Arial"/>
          <w:i w:val="0"/>
          <w:caps w:val="0"/>
          <w:color w:val="000000" w:themeColor="text1"/>
          <w:spacing w:val="0"/>
          <w:sz w:val="32"/>
          <w:szCs w:val="32"/>
          <w:u w:val="none"/>
          <w:shd w:val="clear" w:fill="FFFFFF"/>
        </w:rPr>
        <w:instrText xml:space="preserve"> HYPERLINK "https://baike.sogou.com/lemma/ShowInnerLink.htm?lemmaId=8738&amp;ss_c=ssc.citiao.link" \t "https://baike.sogou.com/_blank" </w:instrText>
      </w:r>
      <w:r>
        <w:rPr>
          <w:rFonts w:hint="default" w:ascii="Arial" w:hAnsi="Arial" w:cs="Arial"/>
          <w:i w:val="0"/>
          <w:caps w:val="0"/>
          <w:color w:val="000000" w:themeColor="text1"/>
          <w:spacing w:val="0"/>
          <w:sz w:val="32"/>
          <w:szCs w:val="32"/>
          <w:u w:val="none"/>
          <w:shd w:val="clear" w:fill="FFFFFF"/>
        </w:rPr>
        <w:fldChar w:fldCharType="separate"/>
      </w:r>
      <w:r>
        <w:rPr>
          <w:rStyle w:val="8"/>
          <w:rFonts w:hint="default" w:ascii="Arial" w:hAnsi="Arial" w:cs="Arial"/>
          <w:i w:val="0"/>
          <w:caps w:val="0"/>
          <w:color w:val="000000" w:themeColor="text1"/>
          <w:spacing w:val="0"/>
          <w:sz w:val="32"/>
          <w:szCs w:val="32"/>
          <w:u w:val="none"/>
          <w:shd w:val="clear" w:fill="FFFFFF"/>
        </w:rPr>
        <w:t>怀化市</w:t>
      </w:r>
      <w:r>
        <w:rPr>
          <w:rFonts w:hint="default" w:ascii="Arial" w:hAnsi="Arial" w:cs="Arial"/>
          <w:i w:val="0"/>
          <w:caps w:val="0"/>
          <w:color w:val="000000" w:themeColor="text1"/>
          <w:spacing w:val="0"/>
          <w:sz w:val="32"/>
          <w:szCs w:val="32"/>
          <w:u w:val="none"/>
          <w:shd w:val="clear" w:fill="FFFFFF"/>
        </w:rPr>
        <w:fldChar w:fldCharType="end"/>
      </w:r>
      <w:r>
        <w:rPr>
          <w:rFonts w:hint="default" w:ascii="Arial" w:hAnsi="Arial" w:cs="Arial"/>
          <w:i w:val="0"/>
          <w:caps w:val="0"/>
          <w:color w:val="000000" w:themeColor="text1"/>
          <w:spacing w:val="0"/>
          <w:sz w:val="32"/>
          <w:szCs w:val="32"/>
          <w:u w:val="none"/>
          <w:shd w:val="clear" w:fill="FFFFFF"/>
        </w:rPr>
        <w:fldChar w:fldCharType="begin"/>
      </w:r>
      <w:r>
        <w:rPr>
          <w:rFonts w:hint="default" w:ascii="Arial" w:hAnsi="Arial" w:cs="Arial"/>
          <w:i w:val="0"/>
          <w:caps w:val="0"/>
          <w:color w:val="000000" w:themeColor="text1"/>
          <w:spacing w:val="0"/>
          <w:sz w:val="32"/>
          <w:szCs w:val="32"/>
          <w:u w:val="none"/>
          <w:shd w:val="clear" w:fill="FFFFFF"/>
        </w:rPr>
        <w:instrText xml:space="preserve"> HYPERLINK "https://baike.sogou.com/lemma/ShowInnerLink.htm?lemmaId=392166&amp;ss_c=ssc.citiao.link" \t "https://baike.sogou.com/_blank" </w:instrText>
      </w:r>
      <w:r>
        <w:rPr>
          <w:rFonts w:hint="default" w:ascii="Arial" w:hAnsi="Arial" w:cs="Arial"/>
          <w:i w:val="0"/>
          <w:caps w:val="0"/>
          <w:color w:val="000000" w:themeColor="text1"/>
          <w:spacing w:val="0"/>
          <w:sz w:val="32"/>
          <w:szCs w:val="32"/>
          <w:u w:val="none"/>
          <w:shd w:val="clear" w:fill="FFFFFF"/>
        </w:rPr>
        <w:fldChar w:fldCharType="separate"/>
      </w:r>
      <w:r>
        <w:rPr>
          <w:rStyle w:val="8"/>
          <w:rFonts w:hint="default" w:ascii="Arial" w:hAnsi="Arial" w:cs="Arial"/>
          <w:i w:val="0"/>
          <w:caps w:val="0"/>
          <w:color w:val="000000" w:themeColor="text1"/>
          <w:spacing w:val="0"/>
          <w:sz w:val="32"/>
          <w:szCs w:val="32"/>
          <w:u w:val="none"/>
          <w:shd w:val="clear" w:fill="FFFFFF"/>
        </w:rPr>
        <w:t>鹤城区</w:t>
      </w:r>
      <w:r>
        <w:rPr>
          <w:rFonts w:hint="default" w:ascii="Arial" w:hAnsi="Arial" w:cs="Arial"/>
          <w:i w:val="0"/>
          <w:caps w:val="0"/>
          <w:color w:val="000000" w:themeColor="text1"/>
          <w:spacing w:val="0"/>
          <w:sz w:val="32"/>
          <w:szCs w:val="32"/>
          <w:u w:val="none"/>
          <w:shd w:val="clear" w:fill="FFFFFF"/>
        </w:rPr>
        <w:fldChar w:fldCharType="end"/>
      </w:r>
      <w:r>
        <w:rPr>
          <w:rFonts w:hint="default" w:ascii="Arial" w:hAnsi="Arial" w:cs="Arial"/>
          <w:i w:val="0"/>
          <w:caps w:val="0"/>
          <w:color w:val="000000" w:themeColor="text1"/>
          <w:spacing w:val="0"/>
          <w:sz w:val="32"/>
          <w:szCs w:val="32"/>
          <w:shd w:val="clear" w:fill="FFFFFF"/>
        </w:rPr>
        <w:t>应急管理局是怀化市鹤城区机构改革新组建的政府工作部门。将区</w:t>
      </w:r>
      <w:r>
        <w:rPr>
          <w:rFonts w:hint="default" w:ascii="Arial" w:hAnsi="Arial" w:cs="Arial"/>
          <w:i w:val="0"/>
          <w:caps w:val="0"/>
          <w:color w:val="000000" w:themeColor="text1"/>
          <w:spacing w:val="0"/>
          <w:sz w:val="32"/>
          <w:szCs w:val="32"/>
          <w:u w:val="none"/>
          <w:shd w:val="clear" w:fill="FFFFFF"/>
        </w:rPr>
        <w:fldChar w:fldCharType="begin"/>
      </w:r>
      <w:r>
        <w:rPr>
          <w:rFonts w:hint="default" w:ascii="Arial" w:hAnsi="Arial" w:cs="Arial"/>
          <w:i w:val="0"/>
          <w:caps w:val="0"/>
          <w:color w:val="000000" w:themeColor="text1"/>
          <w:spacing w:val="0"/>
          <w:sz w:val="32"/>
          <w:szCs w:val="32"/>
          <w:u w:val="none"/>
          <w:shd w:val="clear" w:fill="FFFFFF"/>
        </w:rPr>
        <w:instrText xml:space="preserve"> HYPERLINK "https://baike.sogou.com/lemma/ShowInnerLink.htm?lemmaId=7663462&amp;ss_c=ssc.citiao.link" \t "https://baike.sogou.com/_blank" </w:instrText>
      </w:r>
      <w:r>
        <w:rPr>
          <w:rFonts w:hint="default" w:ascii="Arial" w:hAnsi="Arial" w:cs="Arial"/>
          <w:i w:val="0"/>
          <w:caps w:val="0"/>
          <w:color w:val="000000" w:themeColor="text1"/>
          <w:spacing w:val="0"/>
          <w:sz w:val="32"/>
          <w:szCs w:val="32"/>
          <w:u w:val="none"/>
          <w:shd w:val="clear" w:fill="FFFFFF"/>
        </w:rPr>
        <w:fldChar w:fldCharType="separate"/>
      </w:r>
      <w:r>
        <w:rPr>
          <w:rStyle w:val="8"/>
          <w:rFonts w:hint="default" w:ascii="Arial" w:hAnsi="Arial" w:cs="Arial"/>
          <w:i w:val="0"/>
          <w:caps w:val="0"/>
          <w:color w:val="000000" w:themeColor="text1"/>
          <w:spacing w:val="0"/>
          <w:sz w:val="32"/>
          <w:szCs w:val="32"/>
          <w:u w:val="none"/>
          <w:shd w:val="clear" w:fill="FFFFFF"/>
        </w:rPr>
        <w:t>安全生产监督管理局</w:t>
      </w:r>
      <w:r>
        <w:rPr>
          <w:rFonts w:hint="default" w:ascii="Arial" w:hAnsi="Arial" w:cs="Arial"/>
          <w:i w:val="0"/>
          <w:caps w:val="0"/>
          <w:color w:val="000000" w:themeColor="text1"/>
          <w:spacing w:val="0"/>
          <w:sz w:val="32"/>
          <w:szCs w:val="32"/>
          <w:u w:val="none"/>
          <w:shd w:val="clear" w:fill="FFFFFF"/>
        </w:rPr>
        <w:fldChar w:fldCharType="end"/>
      </w:r>
      <w:r>
        <w:rPr>
          <w:rFonts w:hint="default" w:ascii="Arial" w:hAnsi="Arial" w:cs="Arial"/>
          <w:i w:val="0"/>
          <w:caps w:val="0"/>
          <w:color w:val="000000" w:themeColor="text1"/>
          <w:spacing w:val="0"/>
          <w:sz w:val="32"/>
          <w:szCs w:val="32"/>
          <w:shd w:val="clear" w:fill="FFFFFF"/>
        </w:rPr>
        <w:t>的职责、区政府办公室的应急管理职责、市公安局鹤城分局的消防管理职责、区民政局的救灾职责、市</w:t>
      </w:r>
      <w:r>
        <w:rPr>
          <w:rFonts w:hint="default" w:ascii="Arial" w:hAnsi="Arial" w:cs="Arial"/>
          <w:i w:val="0"/>
          <w:caps w:val="0"/>
          <w:color w:val="000000" w:themeColor="text1"/>
          <w:spacing w:val="0"/>
          <w:sz w:val="32"/>
          <w:szCs w:val="32"/>
          <w:u w:val="none"/>
          <w:shd w:val="clear" w:fill="FFFFFF"/>
        </w:rPr>
        <w:fldChar w:fldCharType="begin"/>
      </w:r>
      <w:r>
        <w:rPr>
          <w:rFonts w:hint="default" w:ascii="Arial" w:hAnsi="Arial" w:cs="Arial"/>
          <w:i w:val="0"/>
          <w:caps w:val="0"/>
          <w:color w:val="000000" w:themeColor="text1"/>
          <w:spacing w:val="0"/>
          <w:sz w:val="32"/>
          <w:szCs w:val="32"/>
          <w:u w:val="none"/>
          <w:shd w:val="clear" w:fill="FFFFFF"/>
        </w:rPr>
        <w:instrText xml:space="preserve"> HYPERLINK "https://baike.sogou.com/lemma/ShowInnerLink.htm?lemmaId=11442902&amp;ss_c=ssc.citiao.link" \t "https://baike.sogou.com/_blank" </w:instrText>
      </w:r>
      <w:r>
        <w:rPr>
          <w:rFonts w:hint="default" w:ascii="Arial" w:hAnsi="Arial" w:cs="Arial"/>
          <w:i w:val="0"/>
          <w:caps w:val="0"/>
          <w:color w:val="000000" w:themeColor="text1"/>
          <w:spacing w:val="0"/>
          <w:sz w:val="32"/>
          <w:szCs w:val="32"/>
          <w:u w:val="none"/>
          <w:shd w:val="clear" w:fill="FFFFFF"/>
        </w:rPr>
        <w:fldChar w:fldCharType="separate"/>
      </w:r>
      <w:r>
        <w:rPr>
          <w:rStyle w:val="8"/>
          <w:rFonts w:hint="default" w:ascii="Arial" w:hAnsi="Arial" w:cs="Arial"/>
          <w:i w:val="0"/>
          <w:caps w:val="0"/>
          <w:color w:val="000000" w:themeColor="text1"/>
          <w:spacing w:val="0"/>
          <w:sz w:val="32"/>
          <w:szCs w:val="32"/>
          <w:u w:val="none"/>
          <w:shd w:val="clear" w:fill="FFFFFF"/>
        </w:rPr>
        <w:t>国土资源局</w:t>
      </w:r>
      <w:r>
        <w:rPr>
          <w:rFonts w:hint="default" w:ascii="Arial" w:hAnsi="Arial" w:cs="Arial"/>
          <w:i w:val="0"/>
          <w:caps w:val="0"/>
          <w:color w:val="000000" w:themeColor="text1"/>
          <w:spacing w:val="0"/>
          <w:sz w:val="32"/>
          <w:szCs w:val="32"/>
          <w:u w:val="none"/>
          <w:shd w:val="clear" w:fill="FFFFFF"/>
        </w:rPr>
        <w:fldChar w:fldCharType="end"/>
      </w:r>
      <w:r>
        <w:rPr>
          <w:rFonts w:hint="default" w:ascii="Arial" w:hAnsi="Arial" w:cs="Arial"/>
          <w:i w:val="0"/>
          <w:caps w:val="0"/>
          <w:color w:val="000000" w:themeColor="text1"/>
          <w:spacing w:val="0"/>
          <w:sz w:val="32"/>
          <w:szCs w:val="32"/>
          <w:shd w:val="clear" w:fill="FFFFFF"/>
        </w:rPr>
        <w:t>鹤城区分局的</w:t>
      </w:r>
      <w:r>
        <w:rPr>
          <w:rFonts w:hint="default" w:ascii="Arial" w:hAnsi="Arial" w:cs="Arial"/>
          <w:i w:val="0"/>
          <w:caps w:val="0"/>
          <w:color w:val="000000" w:themeColor="text1"/>
          <w:spacing w:val="0"/>
          <w:sz w:val="32"/>
          <w:szCs w:val="32"/>
          <w:u w:val="none"/>
          <w:shd w:val="clear" w:fill="FFFFFF"/>
        </w:rPr>
        <w:fldChar w:fldCharType="begin"/>
      </w:r>
      <w:r>
        <w:rPr>
          <w:rFonts w:hint="default" w:ascii="Arial" w:hAnsi="Arial" w:cs="Arial"/>
          <w:i w:val="0"/>
          <w:caps w:val="0"/>
          <w:color w:val="000000" w:themeColor="text1"/>
          <w:spacing w:val="0"/>
          <w:sz w:val="32"/>
          <w:szCs w:val="32"/>
          <w:u w:val="none"/>
          <w:shd w:val="clear" w:fill="FFFFFF"/>
        </w:rPr>
        <w:instrText xml:space="preserve"> HYPERLINK "https://baike.sogou.com/lemma/ShowInnerLink.htm?lemmaId=84458&amp;ss_c=ssc.citiao.link" \t "https://baike.sogou.com/_blank" </w:instrText>
      </w:r>
      <w:r>
        <w:rPr>
          <w:rFonts w:hint="default" w:ascii="Arial" w:hAnsi="Arial" w:cs="Arial"/>
          <w:i w:val="0"/>
          <w:caps w:val="0"/>
          <w:color w:val="000000" w:themeColor="text1"/>
          <w:spacing w:val="0"/>
          <w:sz w:val="32"/>
          <w:szCs w:val="32"/>
          <w:u w:val="none"/>
          <w:shd w:val="clear" w:fill="FFFFFF"/>
        </w:rPr>
        <w:fldChar w:fldCharType="separate"/>
      </w:r>
      <w:r>
        <w:rPr>
          <w:rStyle w:val="8"/>
          <w:rFonts w:hint="default" w:ascii="Arial" w:hAnsi="Arial" w:cs="Arial"/>
          <w:i w:val="0"/>
          <w:caps w:val="0"/>
          <w:color w:val="000000" w:themeColor="text1"/>
          <w:spacing w:val="0"/>
          <w:sz w:val="32"/>
          <w:szCs w:val="32"/>
          <w:u w:val="none"/>
          <w:shd w:val="clear" w:fill="FFFFFF"/>
        </w:rPr>
        <w:t>地质灾害防治</w:t>
      </w:r>
      <w:r>
        <w:rPr>
          <w:rFonts w:hint="default" w:ascii="Arial" w:hAnsi="Arial" w:cs="Arial"/>
          <w:i w:val="0"/>
          <w:caps w:val="0"/>
          <w:color w:val="000000" w:themeColor="text1"/>
          <w:spacing w:val="0"/>
          <w:sz w:val="32"/>
          <w:szCs w:val="32"/>
          <w:u w:val="none"/>
          <w:shd w:val="clear" w:fill="FFFFFF"/>
        </w:rPr>
        <w:fldChar w:fldCharType="end"/>
      </w:r>
      <w:r>
        <w:rPr>
          <w:rFonts w:hint="default" w:ascii="Arial" w:hAnsi="Arial" w:cs="Arial"/>
          <w:i w:val="0"/>
          <w:caps w:val="0"/>
          <w:color w:val="000000" w:themeColor="text1"/>
          <w:spacing w:val="0"/>
          <w:sz w:val="32"/>
          <w:szCs w:val="32"/>
          <w:shd w:val="clear" w:fill="FFFFFF"/>
        </w:rPr>
        <w:t>职责、区林业局的森林防火相关职责、区科学技术局的震灾应急救援职责、区水利局的水旱灾害防治相关职责,以及防汛抗旱、减灾、抗震救灾、森林防火等指挥部（委员会）的职责整合。区应急管理局承担区安全生产委员会日常工作，不再保留区安全生产监督管理局</w:t>
      </w:r>
      <w:r>
        <w:rPr>
          <w:rFonts w:hint="eastAsia" w:ascii="Arial" w:hAnsi="Arial" w:cs="Arial"/>
          <w:i w:val="0"/>
          <w:caps w:val="0"/>
          <w:color w:val="333333"/>
          <w:spacing w:val="0"/>
          <w:sz w:val="32"/>
          <w:szCs w:val="32"/>
          <w:shd w:val="clear" w:fill="FFFFFF"/>
          <w:lang w:eastAsia="zh-CN"/>
        </w:rPr>
        <w:t>。</w:t>
      </w:r>
    </w:p>
    <w:p>
      <w:pPr>
        <w:ind w:firstLine="640" w:firstLineChars="200"/>
        <w:rPr>
          <w:rFonts w:hint="eastAsia" w:cs="宋体" w:asciiTheme="minorEastAsia" w:hAnsiTheme="minorEastAsia" w:eastAsiaTheme="minorEastAsia"/>
          <w:b/>
          <w:sz w:val="32"/>
          <w:szCs w:val="32"/>
          <w:lang w:eastAsia="zh-CN"/>
        </w:rPr>
      </w:pPr>
      <w:r>
        <w:rPr>
          <w:rFonts w:hint="eastAsia" w:cs="宋体" w:asciiTheme="minorEastAsia" w:hAnsiTheme="minorEastAsia"/>
          <w:sz w:val="32"/>
          <w:szCs w:val="32"/>
        </w:rPr>
        <w:t>3、编制人员情况:现实有在职人员</w:t>
      </w:r>
      <w:r>
        <w:rPr>
          <w:rFonts w:hint="eastAsia" w:cs="宋体" w:asciiTheme="minorEastAsia" w:hAnsiTheme="minorEastAsia"/>
          <w:sz w:val="32"/>
          <w:szCs w:val="32"/>
          <w:lang w:val="en-US" w:eastAsia="zh-CN"/>
        </w:rPr>
        <w:t>40</w:t>
      </w:r>
      <w:r>
        <w:rPr>
          <w:rFonts w:hint="eastAsia" w:cs="宋体" w:asciiTheme="minorEastAsia" w:hAnsiTheme="minorEastAsia"/>
          <w:sz w:val="32"/>
          <w:szCs w:val="32"/>
        </w:rPr>
        <w:t>人（其中全额拨款</w:t>
      </w:r>
      <w:r>
        <w:rPr>
          <w:rFonts w:hint="eastAsia" w:cs="宋体" w:asciiTheme="minorEastAsia" w:hAnsiTheme="minorEastAsia"/>
          <w:sz w:val="32"/>
          <w:szCs w:val="32"/>
          <w:lang w:val="en-US" w:eastAsia="zh-CN"/>
        </w:rPr>
        <w:t>36</w:t>
      </w:r>
      <w:r>
        <w:rPr>
          <w:rFonts w:hint="eastAsia" w:cs="宋体" w:asciiTheme="minorEastAsia" w:hAnsiTheme="minorEastAsia"/>
          <w:sz w:val="32"/>
          <w:szCs w:val="32"/>
        </w:rPr>
        <w:t>人，自收自支</w:t>
      </w:r>
      <w:r>
        <w:rPr>
          <w:rFonts w:hint="eastAsia" w:cs="宋体" w:asciiTheme="minorEastAsia" w:hAnsiTheme="minorEastAsia"/>
          <w:sz w:val="32"/>
          <w:szCs w:val="32"/>
          <w:lang w:val="en-US" w:eastAsia="zh-CN"/>
        </w:rPr>
        <w:t>4</w:t>
      </w:r>
      <w:r>
        <w:rPr>
          <w:rFonts w:hint="eastAsia" w:cs="宋体" w:asciiTheme="minorEastAsia" w:hAnsiTheme="minorEastAsia"/>
          <w:sz w:val="32"/>
          <w:szCs w:val="32"/>
        </w:rPr>
        <w:t>人），离退休人员</w:t>
      </w:r>
      <w:r>
        <w:rPr>
          <w:rFonts w:hint="eastAsia" w:cs="宋体" w:asciiTheme="minorEastAsia" w:hAnsiTheme="minorEastAsia"/>
          <w:sz w:val="32"/>
          <w:szCs w:val="32"/>
          <w:lang w:val="en-US" w:eastAsia="zh-CN"/>
        </w:rPr>
        <w:t>35</w:t>
      </w:r>
      <w:r>
        <w:rPr>
          <w:rFonts w:hint="eastAsia" w:cs="宋体" w:asciiTheme="minorEastAsia" w:hAnsiTheme="minorEastAsia"/>
          <w:sz w:val="32"/>
          <w:szCs w:val="32"/>
        </w:rPr>
        <w:t>人</w:t>
      </w:r>
      <w:r>
        <w:rPr>
          <w:rFonts w:hint="eastAsia" w:cs="宋体" w:asciiTheme="minorEastAsia" w:hAnsiTheme="minorEastAsia"/>
          <w:sz w:val="32"/>
          <w:szCs w:val="32"/>
          <w:lang w:eastAsia="zh-CN"/>
        </w:rPr>
        <w:t>。</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w:t>
      </w:r>
      <w:r>
        <w:rPr>
          <w:rFonts w:hint="eastAsia" w:cs="宋体" w:asciiTheme="minorEastAsia" w:hAnsiTheme="minorEastAsia"/>
          <w:sz w:val="32"/>
          <w:szCs w:val="32"/>
          <w:lang w:val="en-US" w:eastAsia="zh-CN"/>
        </w:rPr>
        <w:t>727</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w:t>
      </w:r>
      <w:r>
        <w:rPr>
          <w:rFonts w:hint="eastAsia" w:cs="宋体" w:asciiTheme="minorEastAsia" w:hAnsiTheme="minorEastAsia"/>
          <w:sz w:val="32"/>
          <w:szCs w:val="32"/>
          <w:lang w:val="en-US" w:eastAsia="zh-CN"/>
        </w:rPr>
        <w:t>727</w:t>
      </w:r>
      <w:r>
        <w:rPr>
          <w:rFonts w:hint="eastAsia" w:cs="宋体" w:asciiTheme="minorEastAsia" w:hAnsiTheme="minorEastAsia"/>
          <w:sz w:val="32"/>
          <w:szCs w:val="32"/>
        </w:rPr>
        <w:t>万元，其中：人员经费支出</w:t>
      </w:r>
      <w:r>
        <w:rPr>
          <w:rFonts w:hint="eastAsia" w:cs="宋体" w:asciiTheme="minorEastAsia" w:hAnsiTheme="minorEastAsia"/>
          <w:sz w:val="32"/>
          <w:szCs w:val="32"/>
          <w:lang w:val="en-US" w:eastAsia="zh-CN"/>
        </w:rPr>
        <w:t>519</w:t>
      </w:r>
      <w:r>
        <w:rPr>
          <w:rFonts w:hint="eastAsia" w:cs="宋体" w:asciiTheme="minorEastAsia" w:hAnsiTheme="minorEastAsia"/>
          <w:sz w:val="32"/>
          <w:szCs w:val="32"/>
        </w:rPr>
        <w:t>万元，日常公用经费</w:t>
      </w:r>
      <w:r>
        <w:rPr>
          <w:rFonts w:hint="eastAsia" w:cs="宋体" w:asciiTheme="minorEastAsia" w:hAnsiTheme="minorEastAsia"/>
          <w:sz w:val="32"/>
          <w:szCs w:val="32"/>
          <w:lang w:val="en-US" w:eastAsia="zh-CN"/>
        </w:rPr>
        <w:t>208</w:t>
      </w:r>
      <w:r>
        <w:rPr>
          <w:rFonts w:hint="eastAsia" w:cs="宋体" w:asciiTheme="minorEastAsia" w:hAnsiTheme="minorEastAsia"/>
          <w:sz w:val="32"/>
          <w:szCs w:val="32"/>
        </w:rPr>
        <w:t>万元，项目支出为</w:t>
      </w:r>
      <w:r>
        <w:rPr>
          <w:rFonts w:hint="eastAsia" w:cs="宋体" w:asciiTheme="minorEastAsia" w:hAnsiTheme="minorEastAsia"/>
          <w:sz w:val="32"/>
          <w:szCs w:val="32"/>
          <w:lang w:val="en-US" w:eastAsia="zh-CN"/>
        </w:rPr>
        <w:t>60</w:t>
      </w:r>
      <w:r>
        <w:rPr>
          <w:rFonts w:hint="eastAsia" w:cs="宋体" w:asciiTheme="minorEastAsia" w:hAnsiTheme="minorEastAsia"/>
          <w:sz w:val="32"/>
          <w:szCs w:val="32"/>
        </w:rPr>
        <w:t>万元。</w:t>
      </w:r>
    </w:p>
    <w:p>
      <w:pPr>
        <w:ind w:firstLine="640" w:firstLineChars="200"/>
        <w:jc w:val="left"/>
        <w:rPr>
          <w:rFonts w:eastAsia="仿宋_GB2312"/>
          <w:color w:val="000000"/>
          <w:sz w:val="32"/>
          <w:szCs w:val="32"/>
        </w:rPr>
      </w:pPr>
      <w:r>
        <w:rPr>
          <w:rFonts w:hint="eastAsia" w:cs="宋体" w:asciiTheme="minorEastAsia" w:hAnsiTheme="minorEastAsia"/>
          <w:sz w:val="32"/>
          <w:szCs w:val="32"/>
        </w:rPr>
        <w:t>3、“三公”经费说明：2019年度“三公”经费为0万元，根据各项规定，我单位按要求厉行节约，比年初预算比，没有产生“三公”经费，由于本单位公车于2016年年初全部上交公车办，所以本年度内没有发生公车维护费。</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default" w:eastAsia="仿宋_GB2312"/>
          <w:sz w:val="32"/>
          <w:szCs w:val="32"/>
          <w:lang w:val="en-US"/>
        </w:rPr>
      </w:pPr>
      <w:r>
        <w:rPr>
          <w:rFonts w:eastAsia="仿宋_GB2312"/>
          <w:sz w:val="32"/>
          <w:szCs w:val="32"/>
        </w:rPr>
        <w:t>主要反映各种</w:t>
      </w:r>
      <w:r>
        <w:rPr>
          <w:rFonts w:eastAsia="仿宋_GB2312"/>
          <w:color w:val="000000"/>
          <w:sz w:val="32"/>
          <w:szCs w:val="32"/>
        </w:rPr>
        <w:t>预算支出执行偏离绩效目标的情况，</w:t>
      </w:r>
      <w:r>
        <w:rPr>
          <w:rFonts w:eastAsia="仿宋_GB2312"/>
          <w:sz w:val="32"/>
          <w:szCs w:val="32"/>
        </w:rPr>
        <w:t>并分析其原</w:t>
      </w:r>
      <w:r>
        <w:rPr>
          <w:rFonts w:hint="eastAsia" w:eastAsia="仿宋_GB2312"/>
          <w:sz w:val="32"/>
          <w:szCs w:val="32"/>
          <w:lang w:eastAsia="zh-CN"/>
        </w:rPr>
        <w:t>因：</w:t>
      </w:r>
      <w:r>
        <w:rPr>
          <w:rFonts w:hint="eastAsia" w:eastAsia="仿宋_GB2312"/>
          <w:sz w:val="32"/>
          <w:szCs w:val="32"/>
          <w:lang w:val="en-US" w:eastAsia="zh-CN"/>
        </w:rPr>
        <w:t>2019年成立应急局人员增加、职能转隶、人员公用经费，职能专项都未转入、导致正常运转经费严重不足。</w:t>
      </w:r>
    </w:p>
    <w:p>
      <w:pPr>
        <w:widowControl/>
        <w:numPr>
          <w:ilvl w:val="0"/>
          <w:numId w:val="0"/>
        </w:numPr>
        <w:spacing w:line="600" w:lineRule="exact"/>
        <w:ind w:left="640" w:leftChars="0"/>
        <w:jc w:val="left"/>
        <w:rPr>
          <w:rFonts w:hint="eastAsia" w:eastAsia="黑体"/>
          <w:sz w:val="32"/>
          <w:szCs w:val="32"/>
          <w:lang w:eastAsia="zh-CN"/>
        </w:rPr>
      </w:pPr>
      <w:r>
        <w:rPr>
          <w:rFonts w:hint="eastAsia" w:eastAsia="黑体"/>
          <w:sz w:val="32"/>
          <w:szCs w:val="32"/>
          <w:lang w:eastAsia="zh-CN"/>
        </w:rPr>
        <w:t>八、</w:t>
      </w:r>
      <w:r>
        <w:rPr>
          <w:rFonts w:eastAsia="黑体"/>
          <w:sz w:val="32"/>
          <w:szCs w:val="32"/>
        </w:rPr>
        <w:t>下一步改进措</w:t>
      </w:r>
      <w:r>
        <w:rPr>
          <w:rFonts w:hint="eastAsia" w:eastAsia="黑体"/>
          <w:sz w:val="32"/>
          <w:szCs w:val="32"/>
          <w:lang w:eastAsia="zh-CN"/>
        </w:rPr>
        <w:t>施</w:t>
      </w:r>
    </w:p>
    <w:p>
      <w:pPr>
        <w:widowControl/>
        <w:numPr>
          <w:ilvl w:val="0"/>
          <w:numId w:val="0"/>
        </w:numPr>
        <w:spacing w:line="600" w:lineRule="exact"/>
        <w:ind w:left="640" w:leftChars="0"/>
        <w:jc w:val="left"/>
        <w:rPr>
          <w:rFonts w:hint="eastAsia" w:eastAsia="黑体"/>
          <w:sz w:val="32"/>
          <w:szCs w:val="32"/>
          <w:lang w:eastAsia="zh-CN"/>
        </w:rPr>
      </w:pPr>
      <w:r>
        <w:rPr>
          <w:rFonts w:hint="eastAsia" w:eastAsia="黑体"/>
          <w:sz w:val="32"/>
          <w:szCs w:val="32"/>
          <w:lang w:eastAsia="zh-CN"/>
        </w:rPr>
        <w:t>请求区委、区政府、区人大常委会按机构改革要求落实转隶人员经费和专项经费。</w:t>
      </w:r>
    </w:p>
    <w:p>
      <w:pPr>
        <w:widowControl/>
        <w:numPr>
          <w:ilvl w:val="0"/>
          <w:numId w:val="4"/>
        </w:numPr>
        <w:spacing w:line="600" w:lineRule="exact"/>
        <w:jc w:val="left"/>
        <w:rPr>
          <w:rFonts w:eastAsia="黑体"/>
          <w:sz w:val="32"/>
          <w:szCs w:val="32"/>
        </w:rPr>
      </w:pPr>
      <w:r>
        <w:rPr>
          <w:rFonts w:eastAsia="黑体"/>
          <w:sz w:val="32"/>
          <w:szCs w:val="32"/>
        </w:rPr>
        <w:t>其他需要说明的情况</w:t>
      </w:r>
    </w:p>
    <w:p>
      <w:pPr>
        <w:widowControl/>
        <w:numPr>
          <w:ilvl w:val="0"/>
          <w:numId w:val="0"/>
        </w:numPr>
        <w:spacing w:line="600" w:lineRule="exact"/>
        <w:jc w:val="left"/>
        <w:rPr>
          <w:rFonts w:eastAsia="黑体"/>
          <w:sz w:val="32"/>
          <w:szCs w:val="32"/>
        </w:rPr>
      </w:pPr>
      <w:r>
        <w:rPr>
          <w:rFonts w:hint="eastAsia" w:eastAsia="仿宋_GB2312"/>
          <w:sz w:val="32"/>
          <w:szCs w:val="32"/>
          <w:lang w:val="en-US" w:eastAsia="zh-CN"/>
        </w:rPr>
        <w:t>2019年3月份成立应急局人员增加、职能转隶、人员公用经费，职能专项都未转入、导致正常运转经费严重不足。</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6"/>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1"/>
              <w:numPr>
                <w:ilvl w:val="0"/>
                <w:numId w:val="5"/>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1"/>
              <w:numPr>
                <w:ilvl w:val="0"/>
                <w:numId w:val="5"/>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1"/>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1"/>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预算额度测算依据是否充分，是否按照标准编制；与</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预算确定的预算支出投资额或资金量是否工作任务相匹配1分。</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1"/>
              <w:numPr>
                <w:ilvl w:val="0"/>
                <w:numId w:val="8"/>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安全生产、危爆物品、安办等督查专项工作经费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负责组织传达安生产工作方针、组织安全检查活动、减少事故发生、完成</w:t>
            </w:r>
            <w:r>
              <w:rPr>
                <w:rFonts w:hint="eastAsia" w:eastAsia="仿宋_GB2312"/>
                <w:color w:val="000000"/>
                <w:kern w:val="0"/>
                <w:szCs w:val="21"/>
                <w:lang w:val="en-US" w:eastAsia="zh-CN"/>
              </w:rPr>
              <w:t>2019</w:t>
            </w:r>
            <w:r>
              <w:rPr>
                <w:rFonts w:hint="eastAsia" w:eastAsia="仿宋_GB2312"/>
                <w:color w:val="000000"/>
                <w:kern w:val="0"/>
                <w:szCs w:val="21"/>
                <w:lang w:eastAsia="zh-CN"/>
              </w:rPr>
              <w:t>年度考核任务。</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负责组织传达安生产工作方针、组织安全检查活动、减少事故发生、完成</w:t>
            </w:r>
            <w:r>
              <w:rPr>
                <w:rFonts w:hint="eastAsia" w:eastAsia="仿宋_GB2312"/>
                <w:color w:val="000000"/>
                <w:kern w:val="0"/>
                <w:szCs w:val="21"/>
                <w:lang w:val="en-US" w:eastAsia="zh-CN"/>
              </w:rPr>
              <w:t>2019</w:t>
            </w:r>
            <w:r>
              <w:rPr>
                <w:rFonts w:hint="eastAsia" w:eastAsia="仿宋_GB2312"/>
                <w:color w:val="000000"/>
                <w:kern w:val="0"/>
                <w:szCs w:val="21"/>
                <w:lang w:eastAsia="zh-CN"/>
              </w:rPr>
              <w:t>年度考核任务。</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传达上级安全生产工作方针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完成</w:t>
            </w:r>
            <w:r>
              <w:rPr>
                <w:rFonts w:hint="eastAsia" w:eastAsia="仿宋_GB2312"/>
                <w:color w:val="000000"/>
                <w:kern w:val="0"/>
                <w:szCs w:val="21"/>
                <w:lang w:val="en-US" w:eastAsia="zh-CN"/>
              </w:rPr>
              <w:t>200家企安全生产方针政策宣传工作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负责全区安全检查</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完成</w:t>
            </w:r>
            <w:r>
              <w:rPr>
                <w:rFonts w:hint="eastAsia" w:eastAsia="仿宋_GB2312"/>
                <w:color w:val="000000"/>
                <w:kern w:val="0"/>
                <w:szCs w:val="21"/>
                <w:lang w:val="en-US" w:eastAsia="zh-CN"/>
              </w:rPr>
              <w:t>200家企安全生产检查工作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要求完成</w:t>
            </w:r>
            <w:r>
              <w:rPr>
                <w:rFonts w:hint="eastAsia" w:eastAsia="仿宋_GB2312"/>
                <w:color w:val="000000"/>
                <w:kern w:val="0"/>
                <w:szCs w:val="21"/>
                <w:lang w:val="en-US" w:eastAsia="zh-CN"/>
              </w:rPr>
              <w:t>95%企业上级方针和检查工作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全年常态化工作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全年生产检查、执法工作专项经费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60万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60万</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保障全区生产、生活安全、保平安。</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全年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减少事故发生、保障全区人民安全。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全年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环境污染减少，无破坏现象</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全年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全年安全生产检查</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全年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全区公民</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eastAsia" w:eastAsia="仿宋_GB2312"/>
          <w:sz w:val="24"/>
          <w:lang w:eastAsia="zh-CN"/>
        </w:rPr>
      </w:pPr>
      <w:r>
        <w:rPr>
          <w:rFonts w:eastAsia="仿宋_GB2312"/>
          <w:sz w:val="24"/>
        </w:rPr>
        <w:t xml:space="preserve">填表人：   </w:t>
      </w:r>
      <w:r>
        <w:rPr>
          <w:rFonts w:hint="eastAsia" w:eastAsia="仿宋_GB2312"/>
          <w:sz w:val="24"/>
          <w:lang w:eastAsia="zh-CN"/>
        </w:rPr>
        <w:t>杨来刚</w:t>
      </w:r>
      <w:r>
        <w:rPr>
          <w:rFonts w:eastAsia="仿宋_GB2312"/>
          <w:sz w:val="24"/>
        </w:rPr>
        <w:t xml:space="preserve"> 填报日期：  </w:t>
      </w:r>
      <w:r>
        <w:rPr>
          <w:rFonts w:hint="eastAsia" w:eastAsia="仿宋_GB2312"/>
          <w:sz w:val="24"/>
          <w:lang w:val="en-US" w:eastAsia="zh-CN"/>
        </w:rPr>
        <w:t>2020.09.16</w:t>
      </w:r>
      <w:r>
        <w:rPr>
          <w:rFonts w:eastAsia="仿宋_GB2312"/>
          <w:sz w:val="24"/>
        </w:rPr>
        <w:t xml:space="preserve">  联系电话：</w:t>
      </w:r>
      <w:r>
        <w:rPr>
          <w:rFonts w:hint="eastAsia" w:eastAsia="仿宋_GB2312"/>
          <w:sz w:val="24"/>
          <w:lang w:val="en-US" w:eastAsia="zh-CN"/>
        </w:rPr>
        <w:t>2244122</w:t>
      </w:r>
      <w:r>
        <w:rPr>
          <w:rFonts w:eastAsia="仿宋_GB2312"/>
          <w:sz w:val="24"/>
        </w:rPr>
        <w:t xml:space="preserve">       单位负责人签字：</w:t>
      </w:r>
      <w:r>
        <w:rPr>
          <w:rFonts w:hint="eastAsia" w:eastAsia="仿宋_GB2312"/>
          <w:sz w:val="24"/>
          <w:lang w:eastAsia="zh-CN"/>
        </w:rPr>
        <w:t>张玉刚</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hint="default" w:eastAsia="仿宋_GB2312"/>
          <w:sz w:val="32"/>
          <w:szCs w:val="32"/>
          <w:lang w:val="en-US" w:eastAsia="zh-CN"/>
        </w:rPr>
      </w:pPr>
      <w:r>
        <w:rPr>
          <w:rFonts w:eastAsia="楷体_GB2312"/>
          <w:b/>
          <w:sz w:val="32"/>
          <w:szCs w:val="32"/>
        </w:rPr>
        <w:t>（一）预算支出概况。</w:t>
      </w:r>
      <w:r>
        <w:rPr>
          <w:rFonts w:eastAsia="仿宋_GB2312"/>
          <w:sz w:val="32"/>
          <w:szCs w:val="32"/>
        </w:rPr>
        <w:t>主要包括预算支出决策背景及其主要内容</w:t>
      </w:r>
      <w:r>
        <w:rPr>
          <w:rFonts w:hint="eastAsia" w:eastAsia="仿宋_GB2312"/>
          <w:sz w:val="32"/>
          <w:szCs w:val="32"/>
          <w:lang w:eastAsia="zh-CN"/>
        </w:rPr>
        <w:t>：怀化市鹤城区年初预算数</w:t>
      </w:r>
      <w:r>
        <w:rPr>
          <w:rFonts w:hint="eastAsia" w:eastAsia="仿宋_GB2312"/>
          <w:sz w:val="32"/>
          <w:szCs w:val="32"/>
          <w:lang w:val="en-US" w:eastAsia="zh-CN"/>
        </w:rPr>
        <w:t>727万元，年末决算数727万元，其中:基本支出667万元，占92%、项目支出60万元，占8%、其他支出无。</w:t>
      </w:r>
    </w:p>
    <w:p>
      <w:pPr>
        <w:keepNext w:val="0"/>
        <w:keepLines w:val="0"/>
        <w:pageBreakBefore w:val="0"/>
        <w:kinsoku/>
        <w:wordWrap/>
        <w:overflowPunct/>
        <w:topLinePunct w:val="0"/>
        <w:autoSpaceDE/>
        <w:autoSpaceDN/>
        <w:bidi w:val="0"/>
        <w:adjustRightInd/>
        <w:snapToGrid/>
        <w:spacing w:before="0" w:beforeAutospacing="0" w:after="0" w:line="500" w:lineRule="exact"/>
        <w:ind w:firstLine="643" w:firstLineChars="200"/>
        <w:jc w:val="left"/>
        <w:textAlignment w:val="auto"/>
        <w:rPr>
          <w:rFonts w:hint="eastAsia" w:ascii="仿宋" w:hAnsi="仿宋" w:eastAsia="仿宋" w:cs="仿宋"/>
          <w:sz w:val="32"/>
          <w:szCs w:val="32"/>
        </w:rPr>
      </w:pPr>
      <w:r>
        <w:rPr>
          <w:rFonts w:eastAsia="楷体_GB2312"/>
          <w:b/>
          <w:sz w:val="32"/>
          <w:szCs w:val="32"/>
        </w:rPr>
        <w:t>（二）预算资金使用管理情况。</w:t>
      </w:r>
      <w:r>
        <w:rPr>
          <w:rFonts w:hint="eastAsia" w:ascii="仿宋" w:hAnsi="仿宋" w:eastAsia="仿宋" w:cs="仿宋"/>
          <w:sz w:val="32"/>
          <w:szCs w:val="32"/>
        </w:rPr>
        <w:t>为加强财务管理工作，本项目严格按照政府</w:t>
      </w:r>
      <w:r>
        <w:rPr>
          <w:rFonts w:hint="eastAsia" w:ascii="仿宋" w:hAnsi="仿宋" w:eastAsia="仿宋" w:cs="仿宋"/>
          <w:sz w:val="32"/>
          <w:szCs w:val="32"/>
          <w:lang w:eastAsia="zh-CN"/>
        </w:rPr>
        <w:t>财务</w:t>
      </w:r>
      <w:r>
        <w:rPr>
          <w:rFonts w:hint="eastAsia" w:ascii="仿宋" w:hAnsi="仿宋" w:eastAsia="仿宋" w:cs="仿宋"/>
          <w:sz w:val="32"/>
          <w:szCs w:val="32"/>
        </w:rPr>
        <w:t>相关规定要求，做好账务设置和账务管理。</w:t>
      </w:r>
      <w:r>
        <w:rPr>
          <w:rFonts w:hint="eastAsia" w:ascii="仿宋" w:hAnsi="仿宋" w:eastAsia="仿宋" w:cs="仿宋"/>
          <w:sz w:val="32"/>
          <w:szCs w:val="32"/>
          <w:lang w:val="en-US" w:eastAsia="zh-CN"/>
        </w:rPr>
        <w:t>在</w:t>
      </w:r>
      <w:r>
        <w:rPr>
          <w:rFonts w:hint="eastAsia" w:ascii="仿宋" w:hAnsi="仿宋" w:eastAsia="仿宋" w:cs="仿宋"/>
          <w:sz w:val="32"/>
          <w:szCs w:val="32"/>
        </w:rPr>
        <w:t>资金使用过程中，严把监督审核关，健立健全内部审批制度。对每笔用款申请，在所附资料齐备的情况下，审核确认后再付款。同时，财务部门定期或不定期对资金使用、管理情况进行自查和检查，基本做到财务会计资料</w:t>
      </w:r>
      <w:r>
        <w:rPr>
          <w:rFonts w:hint="eastAsia" w:ascii="仿宋" w:hAnsi="仿宋" w:eastAsia="仿宋" w:cs="仿宋"/>
          <w:sz w:val="32"/>
          <w:szCs w:val="32"/>
          <w:lang w:eastAsia="zh-CN"/>
        </w:rPr>
        <w:t>公开</w:t>
      </w:r>
      <w:r>
        <w:rPr>
          <w:rFonts w:hint="eastAsia" w:ascii="仿宋" w:hAnsi="仿宋" w:eastAsia="仿宋" w:cs="仿宋"/>
          <w:sz w:val="32"/>
          <w:szCs w:val="32"/>
        </w:rPr>
        <w:t>信息真实、及时、完整，资金的拨付有完整的审批程序和手续，各项制度执行落实较好，资金使用较为安全规范。</w:t>
      </w:r>
    </w:p>
    <w:p>
      <w:pPr>
        <w:spacing w:line="600" w:lineRule="exact"/>
        <w:ind w:firstLine="640" w:firstLineChars="200"/>
        <w:rPr>
          <w:rFonts w:eastAsia="仿宋_GB2312"/>
          <w:sz w:val="32"/>
          <w:szCs w:val="32"/>
        </w:rPr>
      </w:pPr>
      <w:r>
        <w:rPr>
          <w:rFonts w:eastAsia="仿宋_GB2312"/>
          <w:sz w:val="32"/>
          <w:szCs w:val="32"/>
        </w:rPr>
        <w:t>主要包括：预算支出组织管理机构；预算资金和项目管理制度建设，预算资金投向结构合理性，资金拨付及时性等，项目立项、申报、评审、监督管理、验收等阶段组织实施的合规性等。</w:t>
      </w:r>
    </w:p>
    <w:p>
      <w:pPr>
        <w:numPr>
          <w:ilvl w:val="0"/>
          <w:numId w:val="2"/>
        </w:numPr>
        <w:spacing w:line="600" w:lineRule="exact"/>
        <w:ind w:left="640" w:leftChars="0" w:firstLine="0" w:firstLineChars="0"/>
        <w:rPr>
          <w:rFonts w:eastAsia="楷体_GB2312"/>
          <w:b/>
          <w:sz w:val="32"/>
          <w:szCs w:val="32"/>
        </w:rPr>
      </w:pPr>
      <w:r>
        <w:rPr>
          <w:rFonts w:eastAsia="楷体_GB2312"/>
          <w:b/>
          <w:sz w:val="32"/>
          <w:szCs w:val="32"/>
        </w:rPr>
        <w:t>预算支出绩效目标完成程度。</w:t>
      </w:r>
    </w:p>
    <w:p>
      <w:pPr>
        <w:spacing w:line="600" w:lineRule="exact"/>
        <w:ind w:firstLine="560" w:firstLineChars="200"/>
        <w:rPr>
          <w:rFonts w:hint="eastAsia"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2019年度财政拨款支出年初预算数为</w:t>
      </w:r>
      <w:r>
        <w:rPr>
          <w:rFonts w:hint="eastAsia" w:asciiTheme="minorEastAsia" w:hAnsiTheme="minorEastAsia" w:eastAsiaTheme="minorEastAsia"/>
          <w:color w:val="000000" w:themeColor="text1"/>
          <w:sz w:val="28"/>
          <w:szCs w:val="28"/>
          <w:lang w:val="en-US" w:eastAsia="zh-CN"/>
        </w:rPr>
        <w:t>727</w:t>
      </w:r>
      <w:r>
        <w:rPr>
          <w:rFonts w:hint="eastAsia" w:asciiTheme="minorEastAsia" w:hAnsiTheme="minorEastAsia" w:eastAsiaTheme="minorEastAsia"/>
          <w:color w:val="000000" w:themeColor="text1"/>
          <w:sz w:val="28"/>
          <w:szCs w:val="28"/>
        </w:rPr>
        <w:t>万元，支出决算数为5</w:t>
      </w:r>
      <w:r>
        <w:rPr>
          <w:rFonts w:hint="eastAsia" w:asciiTheme="minorEastAsia" w:hAnsiTheme="minorEastAsia" w:eastAsiaTheme="minorEastAsia"/>
          <w:color w:val="000000" w:themeColor="text1"/>
          <w:sz w:val="28"/>
          <w:szCs w:val="28"/>
          <w:lang w:val="en-US" w:eastAsia="zh-CN"/>
        </w:rPr>
        <w:t>727</w:t>
      </w:r>
      <w:r>
        <w:rPr>
          <w:rFonts w:hint="eastAsia" w:asciiTheme="minorEastAsia" w:hAnsiTheme="minorEastAsia" w:eastAsiaTheme="minorEastAsia"/>
          <w:color w:val="000000" w:themeColor="text1"/>
          <w:sz w:val="28"/>
          <w:szCs w:val="28"/>
        </w:rPr>
        <w:t>万元</w:t>
      </w:r>
      <w:r>
        <w:rPr>
          <w:rFonts w:asciiTheme="minorEastAsia" w:hAnsiTheme="minorEastAsia" w:eastAsiaTheme="minorEastAsia"/>
          <w:color w:val="000000" w:themeColor="text1"/>
          <w:sz w:val="28"/>
          <w:szCs w:val="28"/>
        </w:rPr>
        <w:t>.</w:t>
      </w:r>
      <w:r>
        <w:rPr>
          <w:rFonts w:hint="eastAsia" w:asciiTheme="minorEastAsia" w:hAnsiTheme="minorEastAsia" w:eastAsiaTheme="minorEastAsia"/>
          <w:color w:val="000000" w:themeColor="text1"/>
          <w:sz w:val="28"/>
          <w:szCs w:val="28"/>
        </w:rPr>
        <w:t xml:space="preserve"> 完成年初预算的100%</w:t>
      </w:r>
    </w:p>
    <w:p>
      <w:pPr>
        <w:keepNext w:val="0"/>
        <w:keepLines w:val="0"/>
        <w:pageBreakBefore w:val="0"/>
        <w:numPr>
          <w:ilvl w:val="0"/>
          <w:numId w:val="1"/>
        </w:numPr>
        <w:kinsoku/>
        <w:wordWrap/>
        <w:overflowPunct/>
        <w:topLinePunct w:val="0"/>
        <w:autoSpaceDE/>
        <w:autoSpaceDN/>
        <w:bidi w:val="0"/>
        <w:adjustRightInd/>
        <w:snapToGrid/>
        <w:spacing w:before="0" w:beforeAutospacing="0" w:after="0" w:line="500" w:lineRule="exact"/>
        <w:ind w:left="640" w:leftChars="0" w:firstLine="0" w:firstLineChars="0"/>
        <w:textAlignment w:val="auto"/>
        <w:rPr>
          <w:rFonts w:eastAsia="黑体"/>
          <w:sz w:val="32"/>
          <w:szCs w:val="32"/>
        </w:rPr>
      </w:pPr>
      <w:r>
        <w:rPr>
          <w:rFonts w:eastAsia="黑体"/>
          <w:sz w:val="32"/>
          <w:szCs w:val="32"/>
        </w:rPr>
        <w:t>绩效评价工作情况</w:t>
      </w:r>
    </w:p>
    <w:p>
      <w:pPr>
        <w:keepNext w:val="0"/>
        <w:keepLines w:val="0"/>
        <w:pageBreakBefore w:val="0"/>
        <w:numPr>
          <w:ilvl w:val="0"/>
          <w:numId w:val="0"/>
        </w:numPr>
        <w:kinsoku/>
        <w:wordWrap/>
        <w:overflowPunct/>
        <w:topLinePunct w:val="0"/>
        <w:autoSpaceDE/>
        <w:autoSpaceDN/>
        <w:bidi w:val="0"/>
        <w:adjustRightInd/>
        <w:snapToGrid/>
        <w:spacing w:before="0" w:beforeAutospacing="0" w:after="0" w:line="500" w:lineRule="exact"/>
        <w:ind w:left="64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按上级相关要求完成了全区安全生产方针政策和检查任务，把区委区政府交代工作落实到位并经上级部门验收通过</w:t>
      </w:r>
      <w:r>
        <w:rPr>
          <w:rFonts w:hint="eastAsia" w:ascii="仿宋" w:hAnsi="仿宋" w:eastAsia="仿宋" w:cs="仿宋"/>
          <w:bCs/>
          <w:color w:val="000000"/>
          <w:sz w:val="32"/>
          <w:szCs w:val="32"/>
          <w:lang w:eastAsia="zh-CN"/>
        </w:rPr>
        <w:t>。</w:t>
      </w:r>
    </w:p>
    <w:p>
      <w:pPr>
        <w:spacing w:line="600" w:lineRule="exact"/>
        <w:ind w:firstLine="640" w:firstLineChars="200"/>
        <w:rPr>
          <w:rFonts w:eastAsia="黑体"/>
          <w:sz w:val="32"/>
          <w:szCs w:val="32"/>
        </w:rPr>
      </w:pPr>
    </w:p>
    <w:p>
      <w:pPr>
        <w:numPr>
          <w:ilvl w:val="0"/>
          <w:numId w:val="1"/>
        </w:numPr>
        <w:spacing w:line="600" w:lineRule="exact"/>
        <w:ind w:left="640" w:leftChars="0" w:firstLine="0" w:firstLineChars="0"/>
        <w:rPr>
          <w:rFonts w:eastAsia="黑体"/>
          <w:sz w:val="32"/>
          <w:szCs w:val="32"/>
        </w:rPr>
      </w:pPr>
      <w:r>
        <w:rPr>
          <w:rFonts w:eastAsia="黑体"/>
          <w:sz w:val="32"/>
          <w:szCs w:val="32"/>
        </w:rPr>
        <w:t>预算支出主要绩效及评价结论</w:t>
      </w:r>
    </w:p>
    <w:p>
      <w:pPr>
        <w:keepNext w:val="0"/>
        <w:keepLines w:val="0"/>
        <w:pageBreakBefore w:val="0"/>
        <w:kinsoku/>
        <w:wordWrap/>
        <w:overflowPunct/>
        <w:topLinePunct w:val="0"/>
        <w:autoSpaceDE/>
        <w:autoSpaceDN/>
        <w:bidi w:val="0"/>
        <w:adjustRightInd/>
        <w:snapToGrid/>
        <w:spacing w:before="0" w:beforeAutospacing="0" w:line="500" w:lineRule="exact"/>
        <w:ind w:firstLine="600"/>
        <w:textAlignment w:val="auto"/>
        <w:rPr>
          <w:rFonts w:eastAsia="黑体"/>
          <w:sz w:val="32"/>
          <w:szCs w:val="32"/>
        </w:rPr>
      </w:pPr>
      <w:r>
        <w:rPr>
          <w:rFonts w:hint="eastAsia" w:ascii="仿宋" w:hAnsi="仿宋" w:eastAsia="仿宋" w:cs="仿宋"/>
          <w:sz w:val="32"/>
          <w:szCs w:val="32"/>
        </w:rPr>
        <w:t>在资金使用过程中，</w:t>
      </w:r>
      <w:r>
        <w:rPr>
          <w:rFonts w:hint="eastAsia" w:ascii="仿宋" w:hAnsi="仿宋" w:eastAsia="仿宋" w:cs="仿宋"/>
          <w:sz w:val="32"/>
          <w:szCs w:val="32"/>
          <w:lang w:eastAsia="zh-CN"/>
        </w:rPr>
        <w:t>能</w:t>
      </w:r>
      <w:r>
        <w:rPr>
          <w:rFonts w:hint="eastAsia" w:ascii="仿宋" w:hAnsi="仿宋" w:eastAsia="仿宋" w:cs="仿宋"/>
          <w:sz w:val="32"/>
          <w:szCs w:val="32"/>
        </w:rPr>
        <w:t>严把监督审核关，健立健全内部审批制度。对每笔用款申请，在所附资料齐备的情况下，审核确认后再付款。同时，财务部门定期或不定期对资金使用、管理情况进行自查和检查，基本做到财务会计资料披露信息真实、及时、完整，资金的拨付有完整的审批程序和手续，各项制度执行落实较好，资金使用较为安全规范。</w:t>
      </w:r>
    </w:p>
    <w:p>
      <w:pPr>
        <w:numPr>
          <w:ilvl w:val="0"/>
          <w:numId w:val="1"/>
        </w:numPr>
        <w:spacing w:line="600" w:lineRule="exact"/>
        <w:ind w:left="640" w:leftChars="0" w:firstLine="0" w:firstLineChars="0"/>
        <w:rPr>
          <w:rFonts w:eastAsia="黑体"/>
          <w:sz w:val="32"/>
          <w:szCs w:val="32"/>
        </w:rPr>
      </w:pPr>
      <w:r>
        <w:rPr>
          <w:rFonts w:eastAsia="黑体"/>
          <w:sz w:val="32"/>
          <w:szCs w:val="32"/>
        </w:rPr>
        <w:t>绩效评价指标分析</w:t>
      </w:r>
    </w:p>
    <w:p>
      <w:pPr>
        <w:pStyle w:val="2"/>
        <w:keepNext w:val="0"/>
        <w:keepLines w:val="0"/>
        <w:pageBreakBefore w:val="0"/>
        <w:kinsoku/>
        <w:wordWrap/>
        <w:overflowPunct/>
        <w:topLinePunct w:val="0"/>
        <w:autoSpaceDE/>
        <w:autoSpaceDN/>
        <w:bidi w:val="0"/>
        <w:adjustRightInd/>
        <w:snapToGrid/>
        <w:spacing w:before="0" w:beforeAutospacing="0" w:after="0"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预算支出决策情况</w:t>
      </w:r>
    </w:p>
    <w:p>
      <w:pPr>
        <w:pStyle w:val="2"/>
        <w:keepNext w:val="0"/>
        <w:keepLines w:val="0"/>
        <w:pageBreakBefore w:val="0"/>
        <w:kinsoku/>
        <w:wordWrap/>
        <w:overflowPunct/>
        <w:topLinePunct w:val="0"/>
        <w:autoSpaceDE/>
        <w:autoSpaceDN/>
        <w:bidi w:val="0"/>
        <w:adjustRightInd/>
        <w:snapToGrid/>
        <w:spacing w:before="0" w:beforeAutospacing="0" w:after="0" w:line="5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资金使用通过局党组研究决定，确保专款专用、历行节约、严格控制日常公用。</w:t>
      </w:r>
    </w:p>
    <w:p>
      <w:pPr>
        <w:pStyle w:val="2"/>
        <w:keepNext w:val="0"/>
        <w:keepLines w:val="0"/>
        <w:pageBreakBefore w:val="0"/>
        <w:kinsoku/>
        <w:wordWrap/>
        <w:overflowPunct/>
        <w:topLinePunct w:val="0"/>
        <w:autoSpaceDE/>
        <w:autoSpaceDN/>
        <w:bidi w:val="0"/>
        <w:adjustRightInd/>
        <w:snapToGrid/>
        <w:spacing w:before="0" w:beforeAutospacing="0" w:after="0"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（二）预算执行过程情况</w:t>
      </w:r>
    </w:p>
    <w:p>
      <w:pPr>
        <w:pStyle w:val="2"/>
        <w:keepNext w:val="0"/>
        <w:keepLines w:val="0"/>
        <w:pageBreakBefore w:val="0"/>
        <w:kinsoku/>
        <w:wordWrap/>
        <w:overflowPunct/>
        <w:topLinePunct w:val="0"/>
        <w:autoSpaceDE/>
        <w:autoSpaceDN/>
        <w:bidi w:val="0"/>
        <w:adjustRightInd/>
        <w:snapToGrid/>
        <w:spacing w:before="0" w:beforeAutospacing="0" w:after="0"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000000"/>
          <w:kern w:val="0"/>
          <w:sz w:val="32"/>
          <w:szCs w:val="32"/>
        </w:rPr>
        <w:t>专项资金</w:t>
      </w:r>
      <w:r>
        <w:rPr>
          <w:rFonts w:hint="eastAsia" w:ascii="仿宋" w:hAnsi="仿宋" w:eastAsia="仿宋" w:cs="仿宋"/>
          <w:color w:val="000000"/>
          <w:kern w:val="0"/>
          <w:sz w:val="32"/>
          <w:szCs w:val="32"/>
          <w:lang w:eastAsia="zh-CN"/>
        </w:rPr>
        <w:t>市财政局监督管理，由使用</w:t>
      </w:r>
      <w:r>
        <w:rPr>
          <w:rFonts w:hint="eastAsia" w:ascii="仿宋" w:hAnsi="仿宋" w:eastAsia="仿宋" w:cs="仿宋"/>
          <w:color w:val="000000"/>
          <w:kern w:val="0"/>
          <w:sz w:val="32"/>
          <w:szCs w:val="32"/>
        </w:rPr>
        <w:t>单位财务部门专人管理，专账核算，全面真实准确及时地反映</w:t>
      </w:r>
      <w:r>
        <w:rPr>
          <w:rFonts w:hint="eastAsia" w:ascii="仿宋" w:hAnsi="仿宋" w:eastAsia="仿宋" w:cs="仿宋"/>
          <w:color w:val="000000"/>
          <w:kern w:val="0"/>
          <w:sz w:val="32"/>
          <w:szCs w:val="32"/>
          <w:lang w:eastAsia="zh-CN"/>
        </w:rPr>
        <w:t>单位</w:t>
      </w:r>
      <w:r>
        <w:rPr>
          <w:rFonts w:hint="eastAsia" w:ascii="仿宋" w:hAnsi="仿宋" w:eastAsia="仿宋" w:cs="仿宋"/>
          <w:color w:val="000000"/>
          <w:kern w:val="0"/>
          <w:sz w:val="32"/>
          <w:szCs w:val="32"/>
        </w:rPr>
        <w:t>资金的来源和使用情况。</w:t>
      </w:r>
    </w:p>
    <w:p>
      <w:pPr>
        <w:pStyle w:val="2"/>
        <w:keepNext w:val="0"/>
        <w:keepLines w:val="0"/>
        <w:pageBreakBefore w:val="0"/>
        <w:kinsoku/>
        <w:wordWrap/>
        <w:overflowPunct/>
        <w:topLinePunct w:val="0"/>
        <w:autoSpaceDE/>
        <w:autoSpaceDN/>
        <w:bidi w:val="0"/>
        <w:adjustRightInd/>
        <w:snapToGrid/>
        <w:spacing w:before="0" w:beforeAutospacing="0" w:after="0"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（三）预算支出产出情况</w:t>
      </w:r>
    </w:p>
    <w:p>
      <w:pPr>
        <w:keepNext w:val="0"/>
        <w:keepLines w:val="0"/>
        <w:pageBreakBefore w:val="0"/>
        <w:kinsoku/>
        <w:wordWrap/>
        <w:overflowPunct/>
        <w:topLinePunct w:val="0"/>
        <w:autoSpaceDE/>
        <w:autoSpaceDN/>
        <w:bidi w:val="0"/>
        <w:adjustRightInd/>
        <w:snapToGrid/>
        <w:spacing w:before="0" w:beforeAutospacing="0" w:after="0" w:line="5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完成上级下达的各项工作任务，</w:t>
      </w:r>
      <w:r>
        <w:rPr>
          <w:rFonts w:hint="eastAsia" w:ascii="仿宋" w:hAnsi="仿宋" w:eastAsia="仿宋" w:cs="仿宋"/>
          <w:sz w:val="32"/>
          <w:szCs w:val="32"/>
          <w:lang w:val="en-US" w:eastAsia="zh-CN"/>
        </w:rPr>
        <w:t>完成了区委区政府交代任务和年终目标并经上级部门验收通过</w:t>
      </w:r>
      <w:r>
        <w:rPr>
          <w:rFonts w:hint="eastAsia" w:ascii="仿宋" w:hAnsi="仿宋" w:eastAsia="仿宋" w:cs="仿宋"/>
          <w:bCs/>
          <w:color w:val="000000"/>
          <w:sz w:val="32"/>
          <w:szCs w:val="32"/>
          <w:lang w:eastAsia="zh-CN"/>
        </w:rPr>
        <w:t>。</w:t>
      </w:r>
    </w:p>
    <w:p>
      <w:pPr>
        <w:pStyle w:val="2"/>
        <w:keepNext w:val="0"/>
        <w:keepLines w:val="0"/>
        <w:pageBreakBefore w:val="0"/>
        <w:kinsoku/>
        <w:wordWrap/>
        <w:overflowPunct/>
        <w:topLinePunct w:val="0"/>
        <w:autoSpaceDE/>
        <w:autoSpaceDN/>
        <w:bidi w:val="0"/>
        <w:adjustRightInd/>
        <w:snapToGrid/>
        <w:spacing w:before="0" w:beforeAutospacing="0" w:after="0"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（四）预算支出效益情况</w:t>
      </w:r>
    </w:p>
    <w:p>
      <w:pPr>
        <w:pStyle w:val="2"/>
        <w:keepNext w:val="0"/>
        <w:keepLines w:val="0"/>
        <w:pageBreakBefore w:val="0"/>
        <w:kinsoku/>
        <w:wordWrap/>
        <w:overflowPunct/>
        <w:topLinePunct w:val="0"/>
        <w:autoSpaceDE/>
        <w:autoSpaceDN/>
        <w:bidi w:val="0"/>
        <w:adjustRightInd/>
        <w:snapToGrid/>
        <w:spacing w:before="0" w:beforeAutospacing="0" w:after="0" w:line="500" w:lineRule="exact"/>
        <w:ind w:firstLine="640" w:firstLineChars="200"/>
        <w:textAlignment w:val="auto"/>
        <w:rPr>
          <w:rFonts w:hint="eastAsia" w:eastAsia="仿宋"/>
          <w:b/>
          <w:sz w:val="32"/>
          <w:szCs w:val="32"/>
          <w:lang w:eastAsia="zh-CN"/>
        </w:rPr>
      </w:pPr>
      <w:r>
        <w:rPr>
          <w:rFonts w:hint="eastAsia" w:ascii="仿宋" w:hAnsi="仿宋" w:eastAsia="仿宋" w:cs="仿宋"/>
          <w:kern w:val="0"/>
          <w:sz w:val="32"/>
          <w:szCs w:val="32"/>
          <w:lang w:eastAsia="zh-CN"/>
        </w:rPr>
        <w:t>提高了</w:t>
      </w:r>
      <w:r>
        <w:rPr>
          <w:rFonts w:hint="eastAsia" w:ascii="仿宋" w:hAnsi="仿宋" w:eastAsia="仿宋" w:cs="仿宋"/>
          <w:kern w:val="0"/>
          <w:sz w:val="32"/>
          <w:szCs w:val="32"/>
        </w:rPr>
        <w:t>安全生产社会化服务能力</w:t>
      </w:r>
      <w:r>
        <w:rPr>
          <w:rFonts w:hint="eastAsia" w:ascii="仿宋" w:hAnsi="仿宋" w:eastAsia="仿宋" w:cs="仿宋"/>
          <w:kern w:val="0"/>
          <w:sz w:val="32"/>
          <w:szCs w:val="32"/>
          <w:lang w:eastAsia="zh-CN"/>
        </w:rPr>
        <w:t>，应急</w:t>
      </w:r>
      <w:r>
        <w:rPr>
          <w:rFonts w:hint="eastAsia" w:ascii="仿宋" w:hAnsi="仿宋" w:eastAsia="仿宋" w:cs="仿宋"/>
          <w:kern w:val="0"/>
          <w:sz w:val="32"/>
          <w:szCs w:val="32"/>
        </w:rPr>
        <w:t>保障能力</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安全机制建设能力</w:t>
      </w:r>
      <w:r>
        <w:rPr>
          <w:rFonts w:hint="eastAsia" w:ascii="仿宋" w:hAnsi="仿宋" w:eastAsia="仿宋" w:cs="仿宋"/>
          <w:kern w:val="0"/>
          <w:sz w:val="32"/>
          <w:szCs w:val="32"/>
          <w:lang w:eastAsia="zh-CN"/>
        </w:rPr>
        <w:t>。</w:t>
      </w:r>
    </w:p>
    <w:p>
      <w:pPr>
        <w:numPr>
          <w:ilvl w:val="0"/>
          <w:numId w:val="1"/>
        </w:numPr>
        <w:spacing w:line="600" w:lineRule="exact"/>
        <w:ind w:left="640" w:leftChars="0" w:firstLine="0" w:firstLineChars="0"/>
        <w:rPr>
          <w:rFonts w:eastAsia="黑体"/>
          <w:sz w:val="32"/>
          <w:szCs w:val="32"/>
        </w:rPr>
      </w:pPr>
      <w:r>
        <w:rPr>
          <w:rFonts w:eastAsia="黑体"/>
          <w:sz w:val="32"/>
          <w:szCs w:val="32"/>
        </w:rPr>
        <w:t>主要经验及做法、存在的问题及原因分析</w:t>
      </w:r>
    </w:p>
    <w:p>
      <w:pPr>
        <w:keepNext w:val="0"/>
        <w:keepLines w:val="0"/>
        <w:pageBreakBefore w:val="0"/>
        <w:kinsoku/>
        <w:wordWrap/>
        <w:overflowPunct/>
        <w:topLinePunct w:val="0"/>
        <w:autoSpaceDE/>
        <w:autoSpaceDN/>
        <w:bidi w:val="0"/>
        <w:adjustRightInd/>
        <w:snapToGrid/>
        <w:spacing w:before="0" w:beforeAutospacing="0" w:line="500" w:lineRule="exact"/>
        <w:ind w:firstLine="480"/>
        <w:textAlignment w:val="auto"/>
        <w:rPr>
          <w:rFonts w:eastAsia="仿宋_GB2312"/>
          <w:sz w:val="32"/>
          <w:szCs w:val="32"/>
        </w:rPr>
      </w:pPr>
      <w:r>
        <w:rPr>
          <w:rFonts w:hint="eastAsia" w:ascii="仿宋" w:hAnsi="仿宋" w:eastAsia="仿宋" w:cs="仿宋"/>
          <w:sz w:val="32"/>
          <w:szCs w:val="32"/>
        </w:rPr>
        <w:t>因</w:t>
      </w:r>
      <w:r>
        <w:rPr>
          <w:rFonts w:hint="eastAsia" w:ascii="仿宋" w:hAnsi="仿宋" w:eastAsia="仿宋" w:cs="仿宋"/>
          <w:sz w:val="32"/>
          <w:szCs w:val="32"/>
          <w:lang w:eastAsia="zh-CN"/>
        </w:rPr>
        <w:t>职能转隶、人员增加、专项工作增多、项目</w:t>
      </w:r>
      <w:r>
        <w:rPr>
          <w:rFonts w:hint="eastAsia" w:ascii="仿宋" w:hAnsi="仿宋" w:eastAsia="仿宋" w:cs="仿宋"/>
          <w:sz w:val="32"/>
          <w:szCs w:val="32"/>
        </w:rPr>
        <w:t>资金有限，项目实施只能有针对性进行，不能全面铺开</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2019以来、转隶人员公用经费，职能组合专项工作经费都未转入，导致区应急局人员经费和专项经费严重不足。</w:t>
      </w:r>
    </w:p>
    <w:p>
      <w:pPr>
        <w:numPr>
          <w:ilvl w:val="0"/>
          <w:numId w:val="1"/>
        </w:numPr>
        <w:spacing w:line="600" w:lineRule="exact"/>
        <w:ind w:left="640" w:leftChars="0" w:firstLine="0" w:firstLineChars="0"/>
        <w:rPr>
          <w:rFonts w:eastAsia="黑体"/>
          <w:sz w:val="32"/>
          <w:szCs w:val="32"/>
        </w:rPr>
      </w:pPr>
      <w:r>
        <w:rPr>
          <w:rFonts w:eastAsia="黑体"/>
          <w:sz w:val="32"/>
          <w:szCs w:val="32"/>
        </w:rPr>
        <w:t>有关建议</w:t>
      </w:r>
    </w:p>
    <w:p>
      <w:pPr>
        <w:numPr>
          <w:ilvl w:val="0"/>
          <w:numId w:val="0"/>
        </w:numPr>
        <w:spacing w:line="600" w:lineRule="exact"/>
        <w:ind w:left="640" w:leftChars="0" w:firstLine="600" w:firstLineChars="200"/>
        <w:rPr>
          <w:rFonts w:hint="eastAsia" w:eastAsia="黑体"/>
          <w:b w:val="0"/>
          <w:bCs w:val="0"/>
          <w:sz w:val="30"/>
          <w:szCs w:val="30"/>
          <w:lang w:eastAsia="zh-CN"/>
        </w:rPr>
      </w:pPr>
      <w:r>
        <w:rPr>
          <w:rFonts w:hint="eastAsia" w:eastAsia="黑体"/>
          <w:b w:val="0"/>
          <w:bCs w:val="0"/>
          <w:sz w:val="30"/>
          <w:szCs w:val="30"/>
          <w:lang w:eastAsia="zh-CN"/>
        </w:rPr>
        <w:t>建议区委区政府及区人大按机构改革方案落实应急局新增人员经费和相关职能专项经费</w:t>
      </w:r>
    </w:p>
    <w:p>
      <w:pPr>
        <w:spacing w:line="600" w:lineRule="exact"/>
        <w:ind w:firstLine="640" w:firstLineChars="200"/>
        <w:rPr>
          <w:rFonts w:hint="eastAsia" w:eastAsia="黑体"/>
          <w:sz w:val="32"/>
          <w:szCs w:val="32"/>
          <w:lang w:eastAsia="zh-CN"/>
        </w:rPr>
      </w:pPr>
      <w:r>
        <w:rPr>
          <w:rFonts w:eastAsia="黑体"/>
          <w:sz w:val="32"/>
          <w:szCs w:val="32"/>
        </w:rPr>
        <w:t>七、其他需要说明的问题</w:t>
      </w:r>
      <w:r>
        <w:rPr>
          <w:rFonts w:hint="eastAsia" w:eastAsia="黑体"/>
          <w:sz w:val="32"/>
          <w:szCs w:val="32"/>
          <w:lang w:eastAsia="zh-CN"/>
        </w:rPr>
        <w:t>无</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hint="default" w:eastAsia="仿宋_GB2312"/>
          <w:sz w:val="32"/>
          <w:szCs w:val="32"/>
          <w:lang w:val="en-US" w:eastAsia="zh-CN"/>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DE308B"/>
    <w:multiLevelType w:val="singleLevel"/>
    <w:tmpl w:val="A9DE308B"/>
    <w:lvl w:ilvl="0" w:tentative="0">
      <w:start w:val="2"/>
      <w:numFmt w:val="chineseCounting"/>
      <w:suff w:val="nothing"/>
      <w:lvlText w:val="（%1）"/>
      <w:lvlJc w:val="left"/>
      <w:rPr>
        <w:rFonts w:hint="eastAsia"/>
      </w:rPr>
    </w:lvl>
  </w:abstractNum>
  <w:abstractNum w:abstractNumId="1">
    <w:nsid w:val="B10966D7"/>
    <w:multiLevelType w:val="singleLevel"/>
    <w:tmpl w:val="B10966D7"/>
    <w:lvl w:ilvl="0" w:tentative="0">
      <w:start w:val="1"/>
      <w:numFmt w:val="chineseCounting"/>
      <w:suff w:val="nothing"/>
      <w:lvlText w:val="%1、"/>
      <w:lvlJc w:val="left"/>
      <w:rPr>
        <w:rFonts w:hint="eastAsia"/>
      </w:rPr>
    </w:lvl>
  </w:abstractNum>
  <w:abstractNum w:abstractNumId="2">
    <w:nsid w:val="CEBBBF9D"/>
    <w:multiLevelType w:val="singleLevel"/>
    <w:tmpl w:val="CEBBBF9D"/>
    <w:lvl w:ilvl="0" w:tentative="0">
      <w:start w:val="9"/>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B9A3D24"/>
    <w:multiLevelType w:val="singleLevel"/>
    <w:tmpl w:val="5B9A3D24"/>
    <w:lvl w:ilvl="0" w:tentative="0">
      <w:start w:val="4"/>
      <w:numFmt w:val="chineseCounting"/>
      <w:suff w:val="nothing"/>
      <w:lvlText w:val="%1、"/>
      <w:lvlJc w:val="left"/>
      <w:rPr>
        <w:rFonts w:hint="eastAsia"/>
      </w:r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6"/>
  </w:num>
  <w:num w:numId="4">
    <w:abstractNumId w:val="2"/>
  </w:num>
  <w:num w:numId="5">
    <w:abstractNumId w:val="4"/>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20688"/>
    <w:rsid w:val="003711D0"/>
    <w:rsid w:val="00377767"/>
    <w:rsid w:val="00377A33"/>
    <w:rsid w:val="003E5114"/>
    <w:rsid w:val="00405EAE"/>
    <w:rsid w:val="00426627"/>
    <w:rsid w:val="004D773A"/>
    <w:rsid w:val="00564D30"/>
    <w:rsid w:val="005833DD"/>
    <w:rsid w:val="00595424"/>
    <w:rsid w:val="00614437"/>
    <w:rsid w:val="00624B4A"/>
    <w:rsid w:val="006370F0"/>
    <w:rsid w:val="006811E5"/>
    <w:rsid w:val="006D2667"/>
    <w:rsid w:val="007B54D9"/>
    <w:rsid w:val="00813D0D"/>
    <w:rsid w:val="00887C00"/>
    <w:rsid w:val="008A4834"/>
    <w:rsid w:val="008D7141"/>
    <w:rsid w:val="00966E5B"/>
    <w:rsid w:val="00980DBB"/>
    <w:rsid w:val="009D4AE4"/>
    <w:rsid w:val="00A045A1"/>
    <w:rsid w:val="00A070E1"/>
    <w:rsid w:val="00A16006"/>
    <w:rsid w:val="00A17183"/>
    <w:rsid w:val="00A317C9"/>
    <w:rsid w:val="00A34413"/>
    <w:rsid w:val="00A75C37"/>
    <w:rsid w:val="00AA700A"/>
    <w:rsid w:val="00B364CE"/>
    <w:rsid w:val="00B36F54"/>
    <w:rsid w:val="00BB6107"/>
    <w:rsid w:val="00BD1C3A"/>
    <w:rsid w:val="00C25716"/>
    <w:rsid w:val="00C3391C"/>
    <w:rsid w:val="00C344EC"/>
    <w:rsid w:val="00C72139"/>
    <w:rsid w:val="00CC4C2C"/>
    <w:rsid w:val="00CD20A2"/>
    <w:rsid w:val="00D10324"/>
    <w:rsid w:val="00E127F9"/>
    <w:rsid w:val="00E12B4E"/>
    <w:rsid w:val="00E3479F"/>
    <w:rsid w:val="00E50869"/>
    <w:rsid w:val="00E65ED6"/>
    <w:rsid w:val="00FC7FE9"/>
    <w:rsid w:val="00FD2794"/>
    <w:rsid w:val="02CF5C05"/>
    <w:rsid w:val="02F171A4"/>
    <w:rsid w:val="14922F4B"/>
    <w:rsid w:val="1E021BE9"/>
    <w:rsid w:val="1E3F068F"/>
    <w:rsid w:val="202A334D"/>
    <w:rsid w:val="2B03635B"/>
    <w:rsid w:val="345778A2"/>
    <w:rsid w:val="46814DE3"/>
    <w:rsid w:val="46AF7177"/>
    <w:rsid w:val="476943BC"/>
    <w:rsid w:val="49232834"/>
    <w:rsid w:val="4AE25782"/>
    <w:rsid w:val="4B8A205B"/>
    <w:rsid w:val="52F510E3"/>
    <w:rsid w:val="58414304"/>
    <w:rsid w:val="598646E6"/>
    <w:rsid w:val="5BFE7A37"/>
    <w:rsid w:val="67463E92"/>
    <w:rsid w:val="706D7023"/>
    <w:rsid w:val="74B02BDA"/>
    <w:rsid w:val="7E712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widowControl w:val="0"/>
      <w:spacing w:after="120" w:line="240" w:lineRule="auto"/>
      <w:jc w:val="both"/>
    </w:pPr>
    <w:rPr>
      <w:rFonts w:ascii="等线" w:hAnsi="等线" w:eastAsia="等线" w:cs="Times New Roman"/>
      <w:color w:val="auto"/>
      <w:sz w:val="21"/>
      <w:szCs w:val="21"/>
    </w:rPr>
  </w:style>
  <w:style w:type="paragraph" w:styleId="3">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paragraph" w:styleId="11">
    <w:name w:val="List Paragraph"/>
    <w:basedOn w:val="1"/>
    <w:qFormat/>
    <w:uiPriority w:val="99"/>
    <w:pPr>
      <w:ind w:firstLine="420" w:firstLineChars="200"/>
    </w:pPr>
    <w:rPr>
      <w:rFonts w:ascii="Calibri" w:hAnsi="Calibri"/>
      <w:szCs w:val="22"/>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3A1F8D-E0C8-4583-ACE6-F55AB6ABDBA5}">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1312</Words>
  <Characters>7479</Characters>
  <Lines>62</Lines>
  <Paragraphs>17</Paragraphs>
  <TotalTime>41</TotalTime>
  <ScaleCrop>false</ScaleCrop>
  <LinksUpToDate>false</LinksUpToDate>
  <CharactersWithSpaces>8774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2020-09-17T08:13:21Z</cp:lastPrinted>
  <dcterms:modified xsi:type="dcterms:W3CDTF">2020-09-17T09:33:51Z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