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99</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114</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114</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rPr>
            </w:pPr>
            <w:r>
              <w:rPr>
                <w:rFonts w:hint="eastAsia" w:ascii="仿宋" w:hAnsi="仿宋" w:eastAsia="仿宋"/>
                <w:lang w:val="en-US" w:eastAsia="zh-CN"/>
              </w:rPr>
              <w:t>10.5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1.17</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1.17</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6.5</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312.73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1595.86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647.11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158.3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505.07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25.15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2496.07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2496.07</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hint="eastAsia" w:eastAsia="黑体"/>
          <w:kern w:val="0"/>
          <w:sz w:val="32"/>
          <w:szCs w:val="32"/>
          <w:lang w:val="en-US" w:eastAsia="zh-CN"/>
        </w:rPr>
      </w:pPr>
      <w:r>
        <w:rPr>
          <w:rFonts w:eastAsia="黑体"/>
          <w:kern w:val="0"/>
          <w:sz w:val="32"/>
          <w:szCs w:val="32"/>
        </w:rPr>
        <w:t>附件</w:t>
      </w:r>
      <w:r>
        <w:rPr>
          <w:rFonts w:hint="eastAsia" w:eastAsia="黑体"/>
          <w:kern w:val="0"/>
          <w:sz w:val="32"/>
          <w:szCs w:val="32"/>
          <w:lang w:val="en-US" w:eastAsia="zh-CN"/>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both"/>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8"/>
        <w:widowControl/>
        <w:numPr>
          <w:ilvl w:val="0"/>
          <w:numId w:val="0"/>
        </w:numPr>
        <w:spacing w:line="600" w:lineRule="exact"/>
        <w:ind w:left="64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迎丰街道办事处系怀化市的政治中心，共辖迎丰、顺天桥、天生塘、长湾里、板桥铺、太平桥、团结、莲花池、华峰、府前、学林、银湾12个社区，辖区总面积11.75平方公里，总人口12万人。</w:t>
      </w:r>
    </w:p>
    <w:p>
      <w:pPr>
        <w:pStyle w:val="8"/>
        <w:widowControl/>
        <w:numPr>
          <w:ilvl w:val="0"/>
          <w:numId w:val="0"/>
        </w:numPr>
        <w:spacing w:line="600" w:lineRule="exact"/>
        <w:ind w:left="64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1、单位机构设置</w:t>
      </w:r>
    </w:p>
    <w:p>
      <w:pPr>
        <w:pStyle w:val="8"/>
        <w:widowControl/>
        <w:numPr>
          <w:ilvl w:val="0"/>
          <w:numId w:val="0"/>
        </w:numPr>
        <w:spacing w:line="600" w:lineRule="exact"/>
        <w:ind w:left="64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迎丰街道办事处属全额拨款的行政单位，下设党群办公室、综合办公室、综治维稳办公室、城市建设管理站、社会保障服务中心、社会事业发展服务中心、计生服务站。</w:t>
      </w:r>
    </w:p>
    <w:p>
      <w:pPr>
        <w:pStyle w:val="8"/>
        <w:widowControl/>
        <w:numPr>
          <w:ilvl w:val="0"/>
          <w:numId w:val="0"/>
        </w:numPr>
        <w:spacing w:line="600" w:lineRule="exact"/>
        <w:ind w:firstLine="1280" w:firstLineChars="4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2、主要工作职能</w:t>
      </w:r>
    </w:p>
    <w:p>
      <w:pPr>
        <w:pStyle w:val="8"/>
        <w:widowControl/>
        <w:numPr>
          <w:ilvl w:val="0"/>
          <w:numId w:val="0"/>
        </w:numPr>
        <w:spacing w:line="600" w:lineRule="exact"/>
        <w:ind w:left="64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迎丰街道办事处在区委区政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pPr>
        <w:pStyle w:val="8"/>
        <w:widowControl/>
        <w:numPr>
          <w:ilvl w:val="0"/>
          <w:numId w:val="0"/>
        </w:numPr>
        <w:spacing w:line="600" w:lineRule="exact"/>
        <w:ind w:left="64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3、人员编制情况</w:t>
      </w:r>
    </w:p>
    <w:p>
      <w:pPr>
        <w:pStyle w:val="8"/>
        <w:widowControl/>
        <w:numPr>
          <w:ilvl w:val="0"/>
          <w:numId w:val="0"/>
        </w:numPr>
        <w:spacing w:line="600" w:lineRule="exact"/>
        <w:ind w:left="64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现有在职全额编制114人，（其中行政编制20人，事业编制94人）退休27人。</w:t>
      </w:r>
    </w:p>
    <w:p>
      <w:pPr>
        <w:pStyle w:val="8"/>
        <w:widowControl/>
        <w:numPr>
          <w:ilvl w:val="0"/>
          <w:numId w:val="1"/>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spacing w:line="560" w:lineRule="exact"/>
        <w:ind w:firstLine="640" w:firstLineChars="200"/>
        <w:jc w:val="left"/>
        <w:rPr>
          <w:rFonts w:hint="eastAsia" w:ascii="仿宋_GB2312" w:eastAsia="仿宋_GB2312"/>
          <w:sz w:val="32"/>
          <w:szCs w:val="32"/>
        </w:rPr>
      </w:pPr>
      <w:r>
        <w:rPr>
          <w:rFonts w:hint="eastAsia" w:eastAsia="黑体"/>
          <w:sz w:val="32"/>
          <w:szCs w:val="32"/>
        </w:rPr>
        <w:t>（一）</w:t>
      </w:r>
      <w:r>
        <w:rPr>
          <w:rFonts w:eastAsia="黑体"/>
          <w:sz w:val="32"/>
          <w:szCs w:val="32"/>
        </w:rPr>
        <w:t>基本支出情况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lang w:val="en-US" w:eastAsia="zh-CN"/>
        </w:rPr>
        <w:t>年初预算数3043.75</w:t>
      </w:r>
      <w:r>
        <w:rPr>
          <w:rFonts w:hint="eastAsia" w:ascii="仿宋_GB2312" w:eastAsia="仿宋_GB2312"/>
          <w:sz w:val="32"/>
          <w:szCs w:val="32"/>
        </w:rPr>
        <w:t>万元</w:t>
      </w:r>
      <w:r>
        <w:rPr>
          <w:rFonts w:hint="eastAsia" w:ascii="仿宋_GB2312" w:eastAsia="仿宋_GB2312"/>
          <w:sz w:val="32"/>
          <w:szCs w:val="32"/>
          <w:lang w:val="en-US" w:eastAsia="zh-CN"/>
        </w:rPr>
        <w:t>，2019年决算数2496.07万元。</w:t>
      </w:r>
      <w:r>
        <w:rPr>
          <w:rFonts w:hint="eastAsia" w:ascii="仿宋_GB2312" w:eastAsia="仿宋_GB2312"/>
          <w:sz w:val="32"/>
          <w:szCs w:val="32"/>
        </w:rPr>
        <w:t>基本支出是指为保障单位机构正常运转、完成日常工作任务而发生的各项支出，包括用于基本工资、津贴补贴等人员经费以及办公费、印刷费、水电费、物业管理费等日常公用经费；</w:t>
      </w:r>
    </w:p>
    <w:p>
      <w:pPr>
        <w:pStyle w:val="8"/>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firstLine="640"/>
        <w:rPr>
          <w:rFonts w:hint="default" w:ascii="Times New Roman" w:hAnsi="Times New Roman" w:eastAsia="仿宋_GB2312"/>
          <w:sz w:val="32"/>
          <w:szCs w:val="32"/>
          <w:lang w:val="en-US" w:eastAsia="zh-CN"/>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w:t>
      </w:r>
      <w:r>
        <w:rPr>
          <w:rFonts w:hint="eastAsia" w:ascii="仿宋_GB2312" w:eastAsia="仿宋_GB2312"/>
          <w:sz w:val="32"/>
          <w:szCs w:val="32"/>
          <w:lang w:val="en-US" w:eastAsia="zh-CN"/>
        </w:rPr>
        <w:t>项目支出240.21万元。</w:t>
      </w:r>
    </w:p>
    <w:p>
      <w:pPr>
        <w:numPr>
          <w:ilvl w:val="0"/>
          <w:numId w:val="2"/>
        </w:numPr>
        <w:spacing w:line="560" w:lineRule="exact"/>
        <w:ind w:firstLine="640" w:firstLineChars="200"/>
        <w:jc w:val="left"/>
        <w:rPr>
          <w:rFonts w:eastAsia="黑体"/>
          <w:sz w:val="32"/>
          <w:szCs w:val="32"/>
        </w:rPr>
      </w:pPr>
      <w:r>
        <w:rPr>
          <w:rFonts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年政府性基金支出为</w:t>
      </w:r>
      <w:r>
        <w:rPr>
          <w:rFonts w:ascii="仿宋_GB2312" w:eastAsia="仿宋_GB2312"/>
          <w:sz w:val="32"/>
          <w:szCs w:val="32"/>
        </w:rPr>
        <w:t>0</w:t>
      </w:r>
      <w:r>
        <w:rPr>
          <w:rFonts w:hint="eastAsia" w:ascii="仿宋_GB2312" w:eastAsia="仿宋_GB2312"/>
          <w:sz w:val="32"/>
          <w:szCs w:val="32"/>
        </w:rPr>
        <w:t>万元。</w:t>
      </w:r>
    </w:p>
    <w:p>
      <w:pPr>
        <w:pStyle w:val="8"/>
        <w:widowControl/>
        <w:numPr>
          <w:ilvl w:val="0"/>
          <w:numId w:val="2"/>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spacing w:line="56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年国有资本经营支出为</w:t>
      </w:r>
      <w:r>
        <w:rPr>
          <w:rFonts w:ascii="仿宋_GB2312" w:eastAsia="仿宋_GB2312"/>
          <w:sz w:val="32"/>
          <w:szCs w:val="32"/>
        </w:rPr>
        <w:t>0</w:t>
      </w:r>
      <w:r>
        <w:rPr>
          <w:rFonts w:hint="eastAsia" w:ascii="仿宋_GB2312" w:eastAsia="仿宋_GB2312"/>
          <w:sz w:val="32"/>
          <w:szCs w:val="32"/>
        </w:rPr>
        <w:t>万元。</w:t>
      </w:r>
    </w:p>
    <w:p>
      <w:pPr>
        <w:pStyle w:val="8"/>
        <w:widowControl/>
        <w:numPr>
          <w:ilvl w:val="0"/>
          <w:numId w:val="2"/>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spacing w:line="560" w:lineRule="exact"/>
        <w:ind w:firstLine="640" w:firstLineChars="200"/>
        <w:jc w:val="left"/>
        <w:rPr>
          <w:rFonts w:eastAsia="黑体"/>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年社会保险基金支出为</w:t>
      </w:r>
      <w:r>
        <w:rPr>
          <w:rFonts w:hint="default" w:ascii="仿宋_GB2312" w:eastAsia="仿宋_GB2312"/>
          <w:sz w:val="32"/>
          <w:szCs w:val="32"/>
          <w:lang w:val="en-US" w:eastAsia="zh-CN"/>
        </w:rPr>
        <w:t>0</w:t>
      </w:r>
      <w:r>
        <w:rPr>
          <w:rFonts w:hint="eastAsia" w:ascii="仿宋_GB2312" w:eastAsia="仿宋_GB2312"/>
          <w:sz w:val="32"/>
          <w:szCs w:val="32"/>
        </w:rPr>
        <w:t>万元。</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年基本支出:</w:t>
      </w:r>
      <w:r>
        <w:rPr>
          <w:rFonts w:hint="eastAsia" w:ascii="仿宋_GB2312" w:eastAsia="仿宋_GB2312"/>
          <w:sz w:val="32"/>
          <w:szCs w:val="32"/>
          <w:lang w:val="en-US" w:eastAsia="zh-CN"/>
        </w:rPr>
        <w:t>2255.86</w:t>
      </w:r>
      <w:r>
        <w:rPr>
          <w:rFonts w:hint="eastAsia" w:ascii="仿宋_GB2312" w:eastAsia="仿宋_GB2312"/>
          <w:sz w:val="32"/>
          <w:szCs w:val="32"/>
        </w:rPr>
        <w:t>万元，其中人员经费支出</w:t>
      </w:r>
      <w:r>
        <w:rPr>
          <w:rFonts w:hint="eastAsia" w:ascii="仿宋_GB2312" w:eastAsia="仿宋_GB2312"/>
          <w:sz w:val="32"/>
          <w:szCs w:val="32"/>
          <w:lang w:val="en-US" w:eastAsia="zh-CN"/>
        </w:rPr>
        <w:t>1608.75</w:t>
      </w:r>
      <w:r>
        <w:rPr>
          <w:rFonts w:hint="eastAsia" w:ascii="仿宋_GB2312" w:eastAsia="仿宋_GB2312"/>
          <w:sz w:val="32"/>
          <w:szCs w:val="32"/>
        </w:rPr>
        <w:t>万元;</w:t>
      </w:r>
      <w:r>
        <w:rPr>
          <w:rFonts w:hint="eastAsia" w:ascii="仿宋_GB2312" w:eastAsia="仿宋_GB2312"/>
          <w:sz w:val="32"/>
          <w:szCs w:val="32"/>
          <w:lang w:val="en-US" w:eastAsia="zh-CN"/>
        </w:rPr>
        <w:t>公用</w:t>
      </w:r>
      <w:r>
        <w:rPr>
          <w:rFonts w:hint="eastAsia" w:ascii="仿宋_GB2312" w:eastAsia="仿宋_GB2312"/>
          <w:sz w:val="32"/>
          <w:szCs w:val="32"/>
        </w:rPr>
        <w:t>经费支出</w:t>
      </w:r>
      <w:r>
        <w:rPr>
          <w:rFonts w:hint="eastAsia" w:ascii="仿宋_GB2312" w:eastAsia="仿宋_GB2312"/>
          <w:sz w:val="32"/>
          <w:szCs w:val="32"/>
          <w:lang w:val="en-US" w:eastAsia="zh-CN"/>
        </w:rPr>
        <w:t>647.11</w:t>
      </w:r>
      <w:r>
        <w:rPr>
          <w:rFonts w:hint="eastAsia" w:ascii="仿宋_GB2312" w:eastAsia="仿宋_GB2312"/>
          <w:sz w:val="32"/>
          <w:szCs w:val="32"/>
        </w:rPr>
        <w:t>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无</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无</w:t>
      </w:r>
    </w:p>
    <w:p>
      <w:pPr>
        <w:widowControl/>
        <w:numPr>
          <w:ilvl w:val="0"/>
          <w:numId w:val="3"/>
        </w:numPr>
        <w:spacing w:line="600" w:lineRule="exact"/>
        <w:ind w:left="0" w:leftChars="0" w:firstLine="640" w:firstLineChars="200"/>
        <w:jc w:val="left"/>
        <w:rPr>
          <w:rFonts w:eastAsia="黑体"/>
          <w:sz w:val="32"/>
          <w:szCs w:val="32"/>
        </w:rPr>
      </w:pPr>
      <w:r>
        <w:rPr>
          <w:rFonts w:eastAsia="黑体"/>
          <w:sz w:val="32"/>
          <w:szCs w:val="32"/>
        </w:rPr>
        <w:t>其他需要说明的情况</w:t>
      </w:r>
    </w:p>
    <w:p>
      <w:pPr>
        <w:widowControl/>
        <w:numPr>
          <w:ilvl w:val="0"/>
          <w:numId w:val="0"/>
        </w:numPr>
        <w:spacing w:line="600" w:lineRule="exact"/>
        <w:ind w:leftChars="200"/>
        <w:jc w:val="left"/>
        <w:rPr>
          <w:rFonts w:eastAsia="仿宋_GB2312"/>
          <w:sz w:val="32"/>
          <w:szCs w:val="32"/>
        </w:rPr>
      </w:pPr>
      <w:r>
        <w:rPr>
          <w:rFonts w:hint="eastAsia" w:eastAsia="黑体"/>
          <w:sz w:val="32"/>
          <w:szCs w:val="32"/>
          <w:lang w:val="en-US" w:eastAsia="zh-CN"/>
        </w:rPr>
        <w:t xml:space="preserve"> </w:t>
      </w:r>
      <w:r>
        <w:rPr>
          <w:rFonts w:hint="eastAsia" w:eastAsia="仿宋_GB2312"/>
          <w:sz w:val="32"/>
          <w:szCs w:val="32"/>
          <w:lang w:val="en-US" w:eastAsia="zh-CN"/>
        </w:rPr>
        <w:t xml:space="preserve"> 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无项目</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pPr>
        <w:spacing w:line="600" w:lineRule="exact"/>
        <w:ind w:firstLine="643" w:firstLineChars="200"/>
        <w:rPr>
          <w:rFonts w:eastAsia="仿宋_GB2312"/>
          <w:sz w:val="32"/>
          <w:szCs w:val="32"/>
        </w:rPr>
      </w:pPr>
      <w:r>
        <w:rPr>
          <w:rFonts w:eastAsia="楷体_GB2312"/>
          <w:b/>
          <w:sz w:val="32"/>
          <w:szCs w:val="32"/>
        </w:rPr>
        <w:t>（二）预算资金使用管理情况。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eastAsia="仿宋_GB2312"/>
          <w:sz w:val="32"/>
          <w:szCs w:val="32"/>
        </w:rPr>
        <w:t>主要包括绩效总目标和阶段性目标，实现的产出情况和取得的效益情况。</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bookmarkStart w:id="0" w:name="_GoBack"/>
      <w:bookmarkEnd w:id="0"/>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1BF1C3"/>
    <w:multiLevelType w:val="singleLevel"/>
    <w:tmpl w:val="ED1BF1C3"/>
    <w:lvl w:ilvl="0" w:tentative="0">
      <w:start w:val="1"/>
      <w:numFmt w:val="chineseCounting"/>
      <w:suff w:val="nothing"/>
      <w:lvlText w:val="%1、"/>
      <w:lvlJc w:val="left"/>
      <w:rPr>
        <w:rFonts w:hint="eastAsia"/>
      </w:rPr>
    </w:lvl>
  </w:abstractNum>
  <w:abstractNum w:abstractNumId="1">
    <w:nsid w:val="F613CC65"/>
    <w:multiLevelType w:val="singleLevel"/>
    <w:tmpl w:val="F613CC65"/>
    <w:lvl w:ilvl="0" w:tentative="0">
      <w:start w:val="3"/>
      <w:numFmt w:val="chineseCounting"/>
      <w:suff w:val="nothing"/>
      <w:lvlText w:val="%1、"/>
      <w:lvlJc w:val="left"/>
      <w:rPr>
        <w:rFonts w:hint="eastAsia"/>
      </w:rPr>
    </w:lvl>
  </w:abstractNum>
  <w:abstractNum w:abstractNumId="2">
    <w:nsid w:val="12AD9BD8"/>
    <w:multiLevelType w:val="singleLevel"/>
    <w:tmpl w:val="12AD9BD8"/>
    <w:lvl w:ilvl="0" w:tentative="0">
      <w:start w:val="8"/>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1E2268F"/>
    <w:rsid w:val="0BD50049"/>
    <w:rsid w:val="1C4A24FC"/>
    <w:rsid w:val="1C9D6A96"/>
    <w:rsid w:val="25E35517"/>
    <w:rsid w:val="3B257CF4"/>
    <w:rsid w:val="446C705E"/>
    <w:rsid w:val="69DD0F77"/>
    <w:rsid w:val="7072166E"/>
    <w:rsid w:val="70F45E5D"/>
    <w:rsid w:val="74261D0E"/>
    <w:rsid w:val="743A2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TotalTime>
  <ScaleCrop>false</ScaleCrop>
  <LinksUpToDate>false</LinksUpToDate>
  <CharactersWithSpaces>8635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2020-09-17T01:14:07Z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