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3E4529" w:rsidRDefault="00A045A1" w:rsidP="001573FC">
      <w:pPr>
        <w:spacing w:beforeLines="50" w:afterLines="50"/>
        <w:jc w:val="center"/>
        <w:rPr>
          <w:rFonts w:asciiTheme="minorEastAsia" w:eastAsiaTheme="minorEastAsia" w:hAnsiTheme="minorEastAsia"/>
          <w:bCs/>
          <w:sz w:val="36"/>
          <w:szCs w:val="36"/>
        </w:rPr>
      </w:pPr>
      <w:r w:rsidRPr="003E4529">
        <w:rPr>
          <w:rFonts w:asciiTheme="minorEastAsia" w:eastAsiaTheme="minorEastAsia" w:hAnsiTheme="minorEastAsia"/>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5C02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5C02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5C02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w:t>
            </w:r>
            <w:r>
              <w:rPr>
                <w:rFonts w:ascii="仿宋_GB2312" w:eastAsia="仿宋_GB2312"/>
                <w:szCs w:val="21"/>
              </w:rPr>
              <w:t>3</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Pr="00F81B16" w:rsidRDefault="00C72139" w:rsidP="00C72139">
      <w:r>
        <w:rPr>
          <w:rFonts w:ascii="仿宋" w:eastAsia="仿宋" w:hAnsi="仿宋" w:hint="eastAsia"/>
        </w:rPr>
        <w:t>填报单位：</w:t>
      </w:r>
      <w:r w:rsidR="00F81B16">
        <w:t>鹤城区政府办公室</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BC61C1" w:rsidP="005C0210">
            <w:pPr>
              <w:spacing w:line="440" w:lineRule="exact"/>
              <w:jc w:val="center"/>
              <w:rPr>
                <w:rFonts w:ascii="仿宋" w:eastAsia="仿宋" w:hAnsi="仿宋"/>
              </w:rPr>
            </w:pPr>
            <w:r>
              <w:rPr>
                <w:rFonts w:ascii="仿宋" w:eastAsia="仿宋" w:hAnsi="仿宋" w:hint="eastAsia"/>
              </w:rPr>
              <w:t>7</w:t>
            </w:r>
            <w:r>
              <w:rPr>
                <w:rFonts w:ascii="仿宋" w:eastAsia="仿宋" w:hAnsi="仿宋"/>
              </w:rPr>
              <w:t>4</w:t>
            </w:r>
          </w:p>
        </w:tc>
        <w:tc>
          <w:tcPr>
            <w:tcW w:w="2292" w:type="dxa"/>
            <w:tcBorders>
              <w:top w:val="single" w:sz="4" w:space="0" w:color="000000"/>
              <w:left w:val="nil"/>
              <w:bottom w:val="single" w:sz="4" w:space="0" w:color="000000"/>
              <w:right w:val="single" w:sz="4" w:space="0" w:color="000000"/>
            </w:tcBorders>
            <w:vAlign w:val="center"/>
          </w:tcPr>
          <w:p w:rsidR="00C72139" w:rsidRDefault="00BC61C1" w:rsidP="005C0210">
            <w:pPr>
              <w:spacing w:line="440" w:lineRule="exact"/>
              <w:jc w:val="center"/>
              <w:rPr>
                <w:rFonts w:ascii="仿宋" w:eastAsia="仿宋" w:hAnsi="仿宋"/>
              </w:rPr>
            </w:pPr>
            <w:r>
              <w:rPr>
                <w:rFonts w:ascii="仿宋" w:eastAsia="仿宋" w:hAnsi="仿宋" w:hint="eastAsia"/>
              </w:rPr>
              <w:t>7</w:t>
            </w:r>
            <w:r>
              <w:rPr>
                <w:rFonts w:ascii="仿宋" w:eastAsia="仿宋" w:hAnsi="仿宋"/>
              </w:rPr>
              <w:t>4</w:t>
            </w:r>
          </w:p>
        </w:tc>
        <w:tc>
          <w:tcPr>
            <w:tcW w:w="2244" w:type="dxa"/>
            <w:tcBorders>
              <w:top w:val="single" w:sz="4" w:space="0" w:color="000000"/>
              <w:left w:val="nil"/>
              <w:bottom w:val="single" w:sz="4" w:space="0" w:color="000000"/>
              <w:right w:val="single" w:sz="4" w:space="0" w:color="000000"/>
            </w:tcBorders>
            <w:vAlign w:val="center"/>
          </w:tcPr>
          <w:p w:rsidR="00C72139" w:rsidRDefault="00BC61C1"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00</w:t>
            </w:r>
            <w:r>
              <w:rPr>
                <w:rFonts w:ascii="仿宋" w:eastAsia="仿宋" w:hAnsi="仿宋" w:hint="eastAsia"/>
              </w:rPr>
              <w:t>%</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5C0210" w:rsidP="005C0210">
            <w:pPr>
              <w:tabs>
                <w:tab w:val="left" w:pos="690"/>
              </w:tabs>
              <w:spacing w:line="440" w:lineRule="exact"/>
              <w:jc w:val="center"/>
              <w:rPr>
                <w:rFonts w:ascii="仿宋" w:eastAsia="仿宋" w:hAnsi="仿宋"/>
              </w:rPr>
            </w:pPr>
            <w:r>
              <w:rPr>
                <w:rFonts w:ascii="仿宋" w:eastAsia="仿宋" w:hAnsi="仿宋"/>
              </w:rPr>
              <w:t>14.9万元</w:t>
            </w:r>
          </w:p>
        </w:tc>
        <w:tc>
          <w:tcPr>
            <w:tcW w:w="2292" w:type="dxa"/>
            <w:tcBorders>
              <w:top w:val="single" w:sz="4" w:space="0" w:color="000000"/>
              <w:left w:val="nil"/>
              <w:bottom w:val="single" w:sz="4" w:space="0" w:color="000000"/>
              <w:right w:val="single" w:sz="4" w:space="0" w:color="000000"/>
            </w:tcBorders>
          </w:tcPr>
          <w:p w:rsidR="00C72139" w:rsidRDefault="008D5E2C" w:rsidP="005C0210">
            <w:pPr>
              <w:spacing w:line="440" w:lineRule="exact"/>
              <w:jc w:val="center"/>
              <w:rPr>
                <w:rFonts w:ascii="仿宋" w:eastAsia="仿宋" w:hAnsi="仿宋"/>
              </w:rPr>
            </w:pPr>
            <w:r>
              <w:rPr>
                <w:rFonts w:ascii="仿宋" w:eastAsia="仿宋" w:hAnsi="仿宋" w:hint="eastAsia"/>
              </w:rPr>
              <w:t>2</w:t>
            </w:r>
            <w:r>
              <w:rPr>
                <w:rFonts w:ascii="仿宋" w:eastAsia="仿宋" w:hAnsi="仿宋"/>
              </w:rPr>
              <w:t>2万元</w:t>
            </w:r>
          </w:p>
        </w:tc>
        <w:tc>
          <w:tcPr>
            <w:tcW w:w="2244" w:type="dxa"/>
            <w:tcBorders>
              <w:top w:val="single" w:sz="4" w:space="0" w:color="000000"/>
              <w:left w:val="nil"/>
              <w:bottom w:val="single" w:sz="4" w:space="0" w:color="000000"/>
              <w:right w:val="single" w:sz="4" w:space="0" w:color="000000"/>
            </w:tcBorders>
          </w:tcPr>
          <w:p w:rsidR="00C72139" w:rsidRDefault="005C0210"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5.16万元</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5C0210"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3.21</w:t>
            </w:r>
            <w:r w:rsidR="00BC61C1">
              <w:rPr>
                <w:rFonts w:ascii="仿宋" w:eastAsia="仿宋" w:hAnsi="仿宋"/>
              </w:rPr>
              <w:t>万元</w:t>
            </w:r>
          </w:p>
        </w:tc>
        <w:tc>
          <w:tcPr>
            <w:tcW w:w="2292" w:type="dxa"/>
            <w:tcBorders>
              <w:top w:val="single" w:sz="4" w:space="0" w:color="000000"/>
              <w:left w:val="nil"/>
              <w:bottom w:val="single" w:sz="4" w:space="0" w:color="000000"/>
              <w:right w:val="single" w:sz="4" w:space="0" w:color="000000"/>
            </w:tcBorders>
          </w:tcPr>
          <w:p w:rsidR="00C72139" w:rsidRDefault="008D5E2C" w:rsidP="005C0210">
            <w:pPr>
              <w:spacing w:line="440" w:lineRule="exact"/>
              <w:jc w:val="center"/>
              <w:rPr>
                <w:rFonts w:ascii="仿宋" w:eastAsia="仿宋" w:hAnsi="仿宋"/>
              </w:rPr>
            </w:pPr>
            <w:r>
              <w:rPr>
                <w:rFonts w:ascii="仿宋" w:eastAsia="仿宋" w:hAnsi="仿宋"/>
              </w:rPr>
              <w:t>20万元</w:t>
            </w:r>
          </w:p>
        </w:tc>
        <w:tc>
          <w:tcPr>
            <w:tcW w:w="2244" w:type="dxa"/>
            <w:tcBorders>
              <w:top w:val="single" w:sz="4" w:space="0" w:color="000000"/>
              <w:left w:val="nil"/>
              <w:bottom w:val="single" w:sz="4" w:space="0" w:color="000000"/>
              <w:right w:val="single" w:sz="4" w:space="0" w:color="000000"/>
            </w:tcBorders>
          </w:tcPr>
          <w:p w:rsidR="00C72139" w:rsidRDefault="005C0210"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4.81</w:t>
            </w:r>
            <w:r w:rsidR="00BC61C1">
              <w:rPr>
                <w:rFonts w:ascii="仿宋" w:eastAsia="仿宋" w:hAnsi="仿宋"/>
              </w:rPr>
              <w:t>万元</w:t>
            </w: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3.21万元</w:t>
            </w:r>
          </w:p>
        </w:tc>
        <w:tc>
          <w:tcPr>
            <w:tcW w:w="2292" w:type="dxa"/>
            <w:tcBorders>
              <w:top w:val="single" w:sz="4" w:space="0" w:color="000000"/>
              <w:left w:val="nil"/>
              <w:bottom w:val="single" w:sz="4" w:space="0" w:color="000000"/>
              <w:right w:val="single" w:sz="4" w:space="0" w:color="000000"/>
            </w:tcBorders>
          </w:tcPr>
          <w:p w:rsidR="00C72139" w:rsidRDefault="008D5E2C" w:rsidP="005C0210">
            <w:pPr>
              <w:spacing w:line="440" w:lineRule="exact"/>
              <w:jc w:val="center"/>
              <w:rPr>
                <w:rFonts w:ascii="仿宋" w:eastAsia="仿宋" w:hAnsi="仿宋"/>
              </w:rPr>
            </w:pPr>
            <w:r>
              <w:rPr>
                <w:rFonts w:ascii="仿宋" w:eastAsia="仿宋" w:hAnsi="仿宋"/>
              </w:rPr>
              <w:t>20万元</w:t>
            </w:r>
          </w:p>
        </w:tc>
        <w:tc>
          <w:tcPr>
            <w:tcW w:w="2244"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4.81万元</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.61万元</w:t>
            </w:r>
          </w:p>
        </w:tc>
        <w:tc>
          <w:tcPr>
            <w:tcW w:w="2292" w:type="dxa"/>
            <w:tcBorders>
              <w:top w:val="single" w:sz="4" w:space="0" w:color="000000"/>
              <w:left w:val="nil"/>
              <w:bottom w:val="single" w:sz="4" w:space="0" w:color="000000"/>
              <w:right w:val="single" w:sz="4" w:space="0" w:color="000000"/>
            </w:tcBorders>
          </w:tcPr>
          <w:p w:rsidR="00C72139" w:rsidRDefault="008D5E2C" w:rsidP="005C0210">
            <w:pPr>
              <w:spacing w:line="440" w:lineRule="exact"/>
              <w:jc w:val="center"/>
              <w:rPr>
                <w:rFonts w:ascii="仿宋" w:eastAsia="仿宋" w:hAnsi="仿宋"/>
              </w:rPr>
            </w:pPr>
            <w:r>
              <w:rPr>
                <w:rFonts w:ascii="仿宋" w:eastAsia="仿宋" w:hAnsi="仿宋" w:hint="eastAsia"/>
              </w:rPr>
              <w:t>2万元</w:t>
            </w:r>
          </w:p>
        </w:tc>
        <w:tc>
          <w:tcPr>
            <w:tcW w:w="2244"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0</w:t>
            </w:r>
            <w:r>
              <w:rPr>
                <w:rFonts w:ascii="仿宋" w:eastAsia="仿宋" w:hAnsi="仿宋"/>
              </w:rPr>
              <w:t>.35万元</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4</w:t>
            </w:r>
            <w:r>
              <w:rPr>
                <w:rFonts w:ascii="仿宋" w:eastAsia="仿宋" w:hAnsi="仿宋"/>
              </w:rPr>
              <w:t>15.13万元</w:t>
            </w:r>
          </w:p>
        </w:tc>
        <w:tc>
          <w:tcPr>
            <w:tcW w:w="2292" w:type="dxa"/>
            <w:tcBorders>
              <w:top w:val="single" w:sz="4" w:space="0" w:color="000000"/>
              <w:left w:val="nil"/>
              <w:bottom w:val="single" w:sz="4" w:space="0" w:color="000000"/>
              <w:right w:val="single" w:sz="4" w:space="0" w:color="000000"/>
            </w:tcBorders>
          </w:tcPr>
          <w:p w:rsidR="00C72139" w:rsidRDefault="008D5E2C" w:rsidP="005C0210">
            <w:pPr>
              <w:spacing w:line="440" w:lineRule="exact"/>
              <w:jc w:val="center"/>
              <w:rPr>
                <w:rFonts w:ascii="仿宋" w:eastAsia="仿宋" w:hAnsi="仿宋"/>
              </w:rPr>
            </w:pPr>
            <w:r>
              <w:rPr>
                <w:rFonts w:ascii="仿宋" w:eastAsia="仿宋" w:hAnsi="仿宋" w:hint="eastAsia"/>
              </w:rPr>
              <w:t>8</w:t>
            </w:r>
            <w:r>
              <w:rPr>
                <w:rFonts w:ascii="仿宋" w:eastAsia="仿宋" w:hAnsi="仿宋"/>
              </w:rPr>
              <w:t>58.03万元</w:t>
            </w:r>
          </w:p>
        </w:tc>
        <w:tc>
          <w:tcPr>
            <w:tcW w:w="2244"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5</w:t>
            </w:r>
            <w:r>
              <w:rPr>
                <w:rFonts w:ascii="仿宋" w:eastAsia="仿宋" w:hAnsi="仿宋"/>
              </w:rPr>
              <w:t>71.5万元</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1265C" w:rsidP="005C0210">
            <w:pPr>
              <w:spacing w:line="440" w:lineRule="exact"/>
              <w:jc w:val="center"/>
              <w:rPr>
                <w:rFonts w:ascii="仿宋" w:eastAsia="仿宋" w:hAnsi="仿宋"/>
              </w:rPr>
            </w:pPr>
            <w:r>
              <w:rPr>
                <w:rFonts w:ascii="仿宋" w:eastAsia="仿宋" w:hAnsi="仿宋" w:hint="eastAsia"/>
              </w:rPr>
              <w:t>4</w:t>
            </w:r>
            <w:r>
              <w:rPr>
                <w:rFonts w:ascii="仿宋" w:eastAsia="仿宋" w:hAnsi="仿宋"/>
              </w:rPr>
              <w:t>9.04万元</w:t>
            </w:r>
          </w:p>
        </w:tc>
        <w:tc>
          <w:tcPr>
            <w:tcW w:w="2244"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4</w:t>
            </w:r>
            <w:r>
              <w:rPr>
                <w:rFonts w:ascii="仿宋" w:eastAsia="仿宋" w:hAnsi="仿宋"/>
              </w:rPr>
              <w:t>5.33万元</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1265C" w:rsidP="005C0210">
            <w:pPr>
              <w:spacing w:line="440" w:lineRule="exact"/>
              <w:jc w:val="center"/>
              <w:rPr>
                <w:rFonts w:ascii="仿宋" w:eastAsia="仿宋" w:hAnsi="仿宋"/>
              </w:rPr>
            </w:pPr>
            <w:r>
              <w:rPr>
                <w:rFonts w:ascii="仿宋" w:eastAsia="仿宋" w:hAnsi="仿宋" w:hint="eastAsia"/>
              </w:rPr>
              <w:t>2</w:t>
            </w:r>
            <w:r>
              <w:rPr>
                <w:rFonts w:ascii="仿宋" w:eastAsia="仿宋" w:hAnsi="仿宋"/>
              </w:rPr>
              <w:t>9万元</w:t>
            </w:r>
          </w:p>
        </w:tc>
        <w:tc>
          <w:tcPr>
            <w:tcW w:w="2244"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2</w:t>
            </w:r>
            <w:r>
              <w:rPr>
                <w:rFonts w:ascii="仿宋" w:eastAsia="仿宋" w:hAnsi="仿宋"/>
              </w:rPr>
              <w:t>3.9万元</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1265C"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8万元</w:t>
            </w:r>
          </w:p>
        </w:tc>
        <w:tc>
          <w:tcPr>
            <w:tcW w:w="2244"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4</w:t>
            </w:r>
            <w:r>
              <w:rPr>
                <w:rFonts w:ascii="仿宋" w:eastAsia="仿宋" w:hAnsi="仿宋"/>
              </w:rPr>
              <w:t>.5万元</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2</w:t>
            </w:r>
            <w:r>
              <w:rPr>
                <w:rFonts w:ascii="仿宋" w:eastAsia="仿宋" w:hAnsi="仿宋"/>
              </w:rPr>
              <w:t>94.22万元</w:t>
            </w:r>
          </w:p>
        </w:tc>
        <w:tc>
          <w:tcPr>
            <w:tcW w:w="2244"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2</w:t>
            </w:r>
            <w:r>
              <w:rPr>
                <w:rFonts w:ascii="仿宋" w:eastAsia="仿宋" w:hAnsi="仿宋"/>
              </w:rPr>
              <w:t>59.38万元</w:t>
            </w: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3E4529" w:rsidRDefault="00C72139" w:rsidP="00C72139">
      <w:pPr>
        <w:spacing w:line="600" w:lineRule="exact"/>
        <w:jc w:val="center"/>
        <w:rPr>
          <w:rFonts w:asciiTheme="minorEastAsia" w:eastAsiaTheme="minorEastAsia" w:hAnsiTheme="minorEastAsia"/>
          <w:sz w:val="32"/>
          <w:szCs w:val="32"/>
        </w:rPr>
      </w:pPr>
      <w:r w:rsidRPr="003E4529">
        <w:rPr>
          <w:rFonts w:asciiTheme="minorEastAsia" w:eastAsiaTheme="minorEastAsia" w:hAnsiTheme="minorEastAsia"/>
          <w:sz w:val="36"/>
          <w:szCs w:val="36"/>
        </w:rPr>
        <w:t>部门整体支出绩效评价报告</w:t>
      </w:r>
    </w:p>
    <w:p w:rsidR="00C72139" w:rsidRPr="00A3605E" w:rsidRDefault="00C72139" w:rsidP="00C72139">
      <w:pPr>
        <w:spacing w:line="600" w:lineRule="exact"/>
        <w:jc w:val="center"/>
        <w:rPr>
          <w:rFonts w:eastAsia="楷体_GB2312"/>
          <w:sz w:val="32"/>
          <w:szCs w:val="32"/>
        </w:rPr>
      </w:pPr>
      <w:r w:rsidRPr="00A3605E">
        <w:rPr>
          <w:rFonts w:eastAsia="楷体_GB2312"/>
          <w:sz w:val="32"/>
          <w:szCs w:val="32"/>
        </w:rPr>
        <w:t>（</w:t>
      </w:r>
      <w:r w:rsidR="004D168F">
        <w:rPr>
          <w:rFonts w:eastAsia="楷体_GB2312" w:hint="eastAsia"/>
          <w:sz w:val="32"/>
          <w:szCs w:val="32"/>
        </w:rPr>
        <w:t>区政府办</w:t>
      </w:r>
      <w:r w:rsidRPr="00A3605E">
        <w:rPr>
          <w:rFonts w:eastAsia="楷体_GB2312"/>
          <w:sz w:val="32"/>
          <w:szCs w:val="32"/>
        </w:rPr>
        <w:t>）</w:t>
      </w:r>
    </w:p>
    <w:p w:rsidR="00C72139" w:rsidRPr="00A3605E" w:rsidRDefault="00C72139" w:rsidP="00C72139">
      <w:pPr>
        <w:spacing w:line="600" w:lineRule="exact"/>
        <w:jc w:val="center"/>
        <w:rPr>
          <w:rFonts w:eastAsia="方正小标宋_GBK"/>
          <w:sz w:val="32"/>
          <w:szCs w:val="32"/>
        </w:rPr>
      </w:pPr>
    </w:p>
    <w:p w:rsidR="00C1265C" w:rsidRDefault="00C72139" w:rsidP="00C1265C">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部门、单位基本情况</w:t>
      </w:r>
    </w:p>
    <w:p w:rsidR="00C1265C" w:rsidRPr="00C1265C" w:rsidRDefault="00C1265C" w:rsidP="00C1265C">
      <w:pPr>
        <w:widowControl/>
        <w:spacing w:line="600" w:lineRule="exact"/>
        <w:ind w:firstLineChars="300" w:firstLine="960"/>
        <w:rPr>
          <w:rFonts w:eastAsia="黑体"/>
          <w:sz w:val="32"/>
          <w:szCs w:val="32"/>
        </w:rPr>
      </w:pPr>
      <w:r w:rsidRPr="00C1265C">
        <w:rPr>
          <w:rFonts w:ascii="宋体" w:hAnsi="宋体" w:cs="仿宋_GB2312" w:hint="eastAsia"/>
          <w:sz w:val="32"/>
          <w:szCs w:val="32"/>
        </w:rPr>
        <w:t>区政府办公室是全额拨款行政单位，内设1</w:t>
      </w:r>
      <w:r w:rsidRPr="00C1265C">
        <w:rPr>
          <w:rFonts w:ascii="宋体" w:hAnsi="宋体" w:cs="仿宋_GB2312"/>
          <w:sz w:val="32"/>
          <w:szCs w:val="32"/>
        </w:rPr>
        <w:t>5</w:t>
      </w:r>
      <w:r w:rsidRPr="00C1265C">
        <w:rPr>
          <w:rFonts w:ascii="宋体" w:hAnsi="宋体" w:cs="仿宋_GB2312" w:hint="eastAsia"/>
          <w:sz w:val="32"/>
          <w:szCs w:val="32"/>
        </w:rPr>
        <w:t>个职能科室：</w:t>
      </w:r>
      <w:r w:rsidRPr="00C1265C">
        <w:rPr>
          <w:rFonts w:ascii="宋体" w:hAnsi="宋体" w:hint="eastAsia"/>
          <w:sz w:val="28"/>
          <w:szCs w:val="28"/>
        </w:rPr>
        <w:t>经调室、督查室、文秘一室（值班机要室）、文秘二室（文电室）、文秘三室（城建室）、文秘四室（财税办）、优化办、信息室、财务室、调纠办、禁毒室、房改办、区对外联络管理办公室、政工室、爱卫站。</w:t>
      </w:r>
    </w:p>
    <w:p w:rsidR="00C72139" w:rsidRDefault="00C72139" w:rsidP="00C1265C">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一般公共预算支出情况</w:t>
      </w:r>
    </w:p>
    <w:p w:rsidR="00C1265C" w:rsidRPr="00C1265C" w:rsidRDefault="00C1265C" w:rsidP="00C1265C">
      <w:pPr>
        <w:widowControl/>
        <w:spacing w:line="600" w:lineRule="exact"/>
        <w:ind w:firstLineChars="200" w:firstLine="640"/>
        <w:rPr>
          <w:rFonts w:eastAsia="黑体"/>
          <w:sz w:val="32"/>
          <w:szCs w:val="32"/>
        </w:rPr>
      </w:pPr>
      <w:r>
        <w:rPr>
          <w:rFonts w:ascii="宋体" w:hAnsi="宋体"/>
          <w:sz w:val="32"/>
          <w:szCs w:val="32"/>
        </w:rPr>
        <w:t>2019</w:t>
      </w:r>
      <w:r>
        <w:rPr>
          <w:rFonts w:ascii="宋体" w:hAnsi="宋体" w:hint="eastAsia"/>
          <w:sz w:val="32"/>
          <w:szCs w:val="32"/>
        </w:rPr>
        <w:t>年度财政拨款</w:t>
      </w:r>
      <w:r w:rsidRPr="00DD5FE9">
        <w:rPr>
          <w:rFonts w:ascii="宋体" w:hAnsi="宋体" w:hint="eastAsia"/>
          <w:sz w:val="32"/>
          <w:szCs w:val="32"/>
        </w:rPr>
        <w:t>收</w:t>
      </w:r>
      <w:r>
        <w:rPr>
          <w:rFonts w:ascii="宋体" w:hAnsi="宋体" w:hint="eastAsia"/>
          <w:sz w:val="32"/>
          <w:szCs w:val="32"/>
        </w:rPr>
        <w:t>入</w:t>
      </w:r>
      <w:r w:rsidRPr="00DD5FE9">
        <w:rPr>
          <w:rFonts w:ascii="宋体" w:hAnsi="宋体" w:hint="eastAsia"/>
          <w:sz w:val="32"/>
          <w:szCs w:val="32"/>
        </w:rPr>
        <w:t>总计</w:t>
      </w:r>
      <w:r>
        <w:rPr>
          <w:rFonts w:ascii="宋体" w:hAnsi="宋体"/>
          <w:sz w:val="32"/>
          <w:szCs w:val="32"/>
        </w:rPr>
        <w:t>1704.77</w:t>
      </w:r>
      <w:r w:rsidRPr="00DD5FE9">
        <w:rPr>
          <w:rFonts w:ascii="宋体" w:hAnsi="宋体" w:hint="eastAsia"/>
          <w:sz w:val="32"/>
          <w:szCs w:val="32"/>
        </w:rPr>
        <w:t>万元</w:t>
      </w:r>
      <w:r>
        <w:rPr>
          <w:rFonts w:ascii="宋体" w:hAnsi="宋体" w:hint="eastAsia"/>
          <w:sz w:val="32"/>
          <w:szCs w:val="32"/>
        </w:rPr>
        <w:t>，支出总计</w:t>
      </w:r>
      <w:r>
        <w:rPr>
          <w:rFonts w:ascii="宋体" w:hAnsi="宋体"/>
          <w:sz w:val="32"/>
          <w:szCs w:val="32"/>
        </w:rPr>
        <w:t>1728.17</w:t>
      </w:r>
      <w:r>
        <w:rPr>
          <w:rFonts w:ascii="宋体" w:hAnsi="宋体" w:hint="eastAsia"/>
          <w:sz w:val="32"/>
          <w:szCs w:val="32"/>
        </w:rPr>
        <w:t>万元。与</w:t>
      </w:r>
      <w:r w:rsidRPr="00DD5FE9">
        <w:rPr>
          <w:rFonts w:ascii="宋体" w:hAnsi="宋体"/>
          <w:sz w:val="32"/>
          <w:szCs w:val="32"/>
        </w:rPr>
        <w:t>2018</w:t>
      </w:r>
      <w:r w:rsidRPr="00DD5FE9">
        <w:rPr>
          <w:rFonts w:ascii="宋体" w:hAnsi="宋体" w:hint="eastAsia"/>
          <w:sz w:val="32"/>
          <w:szCs w:val="32"/>
        </w:rPr>
        <w:t>年相比</w:t>
      </w:r>
      <w:r>
        <w:rPr>
          <w:rFonts w:ascii="宋体" w:hAnsi="宋体" w:hint="eastAsia"/>
          <w:sz w:val="32"/>
          <w:szCs w:val="32"/>
        </w:rPr>
        <w:t>，收入增加</w:t>
      </w:r>
      <w:r>
        <w:rPr>
          <w:rFonts w:ascii="宋体" w:hAnsi="宋体"/>
          <w:sz w:val="32"/>
          <w:szCs w:val="32"/>
        </w:rPr>
        <w:t>277.3</w:t>
      </w:r>
      <w:r>
        <w:rPr>
          <w:rFonts w:ascii="宋体" w:hAnsi="宋体" w:hint="eastAsia"/>
          <w:sz w:val="32"/>
          <w:szCs w:val="32"/>
        </w:rPr>
        <w:t>万元，增长</w:t>
      </w:r>
      <w:r>
        <w:rPr>
          <w:rFonts w:ascii="宋体" w:hAnsi="宋体"/>
          <w:sz w:val="32"/>
          <w:szCs w:val="32"/>
        </w:rPr>
        <w:t>19.4%</w:t>
      </w:r>
      <w:r>
        <w:rPr>
          <w:rFonts w:ascii="宋体" w:hAnsi="宋体" w:hint="eastAsia"/>
          <w:sz w:val="32"/>
          <w:szCs w:val="32"/>
        </w:rPr>
        <w:t>。支出增加</w:t>
      </w:r>
      <w:r>
        <w:rPr>
          <w:rFonts w:ascii="宋体" w:hAnsi="宋体"/>
          <w:sz w:val="32"/>
          <w:szCs w:val="32"/>
        </w:rPr>
        <w:t>309.46</w:t>
      </w:r>
      <w:r>
        <w:rPr>
          <w:rFonts w:ascii="宋体" w:hAnsi="宋体" w:hint="eastAsia"/>
          <w:sz w:val="32"/>
          <w:szCs w:val="32"/>
        </w:rPr>
        <w:t>万元，增长</w:t>
      </w:r>
      <w:r>
        <w:rPr>
          <w:rFonts w:ascii="宋体" w:hAnsi="宋体"/>
          <w:sz w:val="32"/>
          <w:szCs w:val="32"/>
        </w:rPr>
        <w:t>21.81%</w:t>
      </w:r>
      <w:r>
        <w:rPr>
          <w:rFonts w:ascii="宋体" w:hAnsi="宋体" w:hint="eastAsia"/>
          <w:sz w:val="32"/>
          <w:szCs w:val="32"/>
        </w:rPr>
        <w:t>主要是因为爱卫办等部门合并到政府办，相关经费增加。</w:t>
      </w:r>
    </w:p>
    <w:p w:rsidR="00C72139" w:rsidRDefault="00C72139" w:rsidP="00C1265C">
      <w:pPr>
        <w:pStyle w:val="a5"/>
        <w:widowControl/>
        <w:numPr>
          <w:ilvl w:val="0"/>
          <w:numId w:val="6"/>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基本支出情况</w:t>
      </w:r>
    </w:p>
    <w:p w:rsidR="00C1265C" w:rsidRPr="00C1265C" w:rsidRDefault="00C1265C" w:rsidP="00C1265C">
      <w:pPr>
        <w:widowControl/>
        <w:spacing w:line="600" w:lineRule="exact"/>
        <w:ind w:firstLineChars="200" w:firstLine="640"/>
        <w:rPr>
          <w:rFonts w:eastAsia="黑体"/>
          <w:sz w:val="32"/>
          <w:szCs w:val="32"/>
        </w:rPr>
      </w:pPr>
      <w:r>
        <w:rPr>
          <w:rFonts w:ascii="宋体" w:hAnsi="宋体"/>
          <w:sz w:val="32"/>
          <w:szCs w:val="32"/>
        </w:rPr>
        <w:t>2019</w:t>
      </w:r>
      <w:r>
        <w:rPr>
          <w:rFonts w:ascii="宋体" w:hAnsi="宋体" w:hint="eastAsia"/>
          <w:sz w:val="32"/>
          <w:szCs w:val="32"/>
        </w:rPr>
        <w:t>年度财政拨款基本支出</w:t>
      </w:r>
      <w:r>
        <w:rPr>
          <w:rFonts w:ascii="宋体" w:hAnsi="宋体"/>
          <w:sz w:val="32"/>
          <w:szCs w:val="32"/>
        </w:rPr>
        <w:t>1728.17</w:t>
      </w:r>
      <w:r>
        <w:rPr>
          <w:rFonts w:ascii="宋体" w:hAnsi="宋体" w:hint="eastAsia"/>
          <w:sz w:val="32"/>
          <w:szCs w:val="32"/>
        </w:rPr>
        <w:t>万元，其中：人员经费</w:t>
      </w:r>
      <w:r>
        <w:rPr>
          <w:rFonts w:ascii="宋体" w:hAnsi="宋体"/>
          <w:sz w:val="32"/>
          <w:szCs w:val="32"/>
        </w:rPr>
        <w:t>1006.54</w:t>
      </w:r>
      <w:r>
        <w:rPr>
          <w:rFonts w:ascii="宋体" w:hAnsi="宋体" w:hint="eastAsia"/>
          <w:sz w:val="32"/>
          <w:szCs w:val="32"/>
        </w:rPr>
        <w:t>万元，占基本支出的</w:t>
      </w:r>
      <w:r>
        <w:rPr>
          <w:rFonts w:ascii="宋体" w:hAnsi="宋体"/>
          <w:sz w:val="32"/>
          <w:szCs w:val="32"/>
        </w:rPr>
        <w:t>66.93%,</w:t>
      </w:r>
      <w:r>
        <w:rPr>
          <w:rFonts w:ascii="宋体" w:hAnsi="宋体" w:hint="eastAsia"/>
          <w:sz w:val="32"/>
          <w:szCs w:val="32"/>
        </w:rPr>
        <w:t>主要包括</w:t>
      </w:r>
      <w:r w:rsidRPr="0027426B">
        <w:rPr>
          <w:rFonts w:ascii="宋体" w:hAnsi="宋体" w:hint="eastAsia"/>
          <w:sz w:val="32"/>
          <w:szCs w:val="32"/>
        </w:rPr>
        <w:t>基本工资</w:t>
      </w:r>
      <w:r>
        <w:rPr>
          <w:rFonts w:ascii="宋体" w:hAnsi="宋体" w:hint="eastAsia"/>
          <w:sz w:val="32"/>
          <w:szCs w:val="32"/>
        </w:rPr>
        <w:t>4</w:t>
      </w:r>
      <w:r>
        <w:rPr>
          <w:rFonts w:ascii="宋体" w:hAnsi="宋体"/>
          <w:sz w:val="32"/>
          <w:szCs w:val="32"/>
        </w:rPr>
        <w:t>40.69万元</w:t>
      </w:r>
      <w:r>
        <w:rPr>
          <w:rFonts w:ascii="宋体" w:hAnsi="宋体" w:hint="eastAsia"/>
          <w:sz w:val="32"/>
          <w:szCs w:val="32"/>
        </w:rPr>
        <w:t>、</w:t>
      </w:r>
      <w:r w:rsidRPr="0027426B">
        <w:rPr>
          <w:rFonts w:ascii="宋体" w:hAnsi="宋体" w:hint="eastAsia"/>
          <w:sz w:val="32"/>
          <w:szCs w:val="32"/>
        </w:rPr>
        <w:t>津贴补贴</w:t>
      </w:r>
      <w:r>
        <w:rPr>
          <w:rFonts w:ascii="宋体" w:hAnsi="宋体" w:hint="eastAsia"/>
          <w:sz w:val="32"/>
          <w:szCs w:val="32"/>
        </w:rPr>
        <w:t>1</w:t>
      </w:r>
      <w:r>
        <w:rPr>
          <w:rFonts w:ascii="宋体" w:hAnsi="宋体"/>
          <w:sz w:val="32"/>
          <w:szCs w:val="32"/>
        </w:rPr>
        <w:t>64.55万元</w:t>
      </w:r>
      <w:r>
        <w:rPr>
          <w:rFonts w:ascii="宋体" w:hAnsi="宋体" w:hint="eastAsia"/>
          <w:sz w:val="32"/>
          <w:szCs w:val="32"/>
        </w:rPr>
        <w:t>、</w:t>
      </w:r>
      <w:r w:rsidRPr="0027426B">
        <w:rPr>
          <w:rFonts w:ascii="宋体" w:hAnsi="宋体" w:hint="eastAsia"/>
          <w:sz w:val="32"/>
          <w:szCs w:val="32"/>
        </w:rPr>
        <w:t>奖金</w:t>
      </w:r>
      <w:r>
        <w:rPr>
          <w:rFonts w:ascii="宋体" w:hAnsi="宋体" w:hint="eastAsia"/>
          <w:sz w:val="32"/>
          <w:szCs w:val="32"/>
        </w:rPr>
        <w:t>1</w:t>
      </w:r>
      <w:r>
        <w:rPr>
          <w:rFonts w:ascii="宋体" w:hAnsi="宋体"/>
          <w:sz w:val="32"/>
          <w:szCs w:val="32"/>
        </w:rPr>
        <w:t>5.68万元</w:t>
      </w:r>
      <w:r>
        <w:rPr>
          <w:rFonts w:ascii="宋体" w:hAnsi="宋体" w:hint="eastAsia"/>
          <w:sz w:val="32"/>
          <w:szCs w:val="32"/>
        </w:rPr>
        <w:t>、</w:t>
      </w:r>
      <w:r w:rsidRPr="0027426B">
        <w:rPr>
          <w:rFonts w:ascii="宋体" w:hAnsi="宋体" w:hint="eastAsia"/>
          <w:sz w:val="32"/>
          <w:szCs w:val="32"/>
        </w:rPr>
        <w:t>伙食补助费</w:t>
      </w:r>
      <w:r>
        <w:rPr>
          <w:rFonts w:ascii="宋体" w:hAnsi="宋体" w:hint="eastAsia"/>
          <w:sz w:val="32"/>
          <w:szCs w:val="32"/>
        </w:rPr>
        <w:t>3</w:t>
      </w:r>
      <w:r>
        <w:rPr>
          <w:rFonts w:ascii="宋体" w:hAnsi="宋体"/>
          <w:sz w:val="32"/>
          <w:szCs w:val="32"/>
        </w:rPr>
        <w:t>1.64万元</w:t>
      </w:r>
      <w:r>
        <w:rPr>
          <w:rFonts w:ascii="宋体" w:hAnsi="宋体" w:hint="eastAsia"/>
          <w:sz w:val="32"/>
          <w:szCs w:val="32"/>
        </w:rPr>
        <w:t>、绩效工资2</w:t>
      </w:r>
      <w:r>
        <w:rPr>
          <w:rFonts w:ascii="宋体" w:hAnsi="宋体"/>
          <w:sz w:val="32"/>
          <w:szCs w:val="32"/>
        </w:rPr>
        <w:t>70.78万元、其他社会保险缴费</w:t>
      </w:r>
      <w:r>
        <w:rPr>
          <w:rFonts w:ascii="宋体" w:hAnsi="宋体" w:hint="eastAsia"/>
          <w:sz w:val="32"/>
          <w:szCs w:val="32"/>
        </w:rPr>
        <w:t>1</w:t>
      </w:r>
      <w:r>
        <w:rPr>
          <w:rFonts w:ascii="宋体" w:hAnsi="宋体"/>
          <w:sz w:val="32"/>
          <w:szCs w:val="32"/>
        </w:rPr>
        <w:t>1.78万元、住房公积金</w:t>
      </w:r>
      <w:r>
        <w:rPr>
          <w:rFonts w:ascii="宋体" w:hAnsi="宋体" w:hint="eastAsia"/>
          <w:sz w:val="32"/>
          <w:szCs w:val="32"/>
        </w:rPr>
        <w:t>3</w:t>
      </w:r>
      <w:r>
        <w:rPr>
          <w:rFonts w:ascii="宋体" w:hAnsi="宋体"/>
          <w:sz w:val="32"/>
          <w:szCs w:val="32"/>
        </w:rPr>
        <w:t>4.94万元、其他工资福利支出</w:t>
      </w:r>
      <w:r>
        <w:rPr>
          <w:rFonts w:ascii="宋体" w:hAnsi="宋体" w:hint="eastAsia"/>
          <w:sz w:val="32"/>
          <w:szCs w:val="32"/>
        </w:rPr>
        <w:t>3</w:t>
      </w:r>
      <w:r>
        <w:rPr>
          <w:rFonts w:ascii="宋体" w:hAnsi="宋体"/>
          <w:sz w:val="32"/>
          <w:szCs w:val="32"/>
        </w:rPr>
        <w:t>6.49万元</w:t>
      </w:r>
      <w:r>
        <w:rPr>
          <w:rFonts w:ascii="宋体" w:hAnsi="宋体" w:hint="eastAsia"/>
          <w:sz w:val="32"/>
          <w:szCs w:val="32"/>
        </w:rPr>
        <w:t>；公用经费</w:t>
      </w:r>
      <w:r>
        <w:rPr>
          <w:rFonts w:ascii="宋体" w:hAnsi="宋体"/>
          <w:sz w:val="32"/>
          <w:szCs w:val="32"/>
        </w:rPr>
        <w:t>571.5</w:t>
      </w:r>
      <w:r>
        <w:rPr>
          <w:rFonts w:ascii="宋体" w:hAnsi="宋体" w:hint="eastAsia"/>
          <w:sz w:val="32"/>
          <w:szCs w:val="32"/>
        </w:rPr>
        <w:t>万元，</w:t>
      </w:r>
      <w:r w:rsidRPr="00074155">
        <w:rPr>
          <w:rFonts w:ascii="宋体" w:hAnsi="宋体" w:hint="eastAsia"/>
          <w:sz w:val="32"/>
          <w:szCs w:val="32"/>
        </w:rPr>
        <w:t>占基本支出的</w:t>
      </w:r>
      <w:r>
        <w:rPr>
          <w:rFonts w:ascii="宋体" w:hAnsi="宋体"/>
          <w:sz w:val="32"/>
          <w:szCs w:val="32"/>
        </w:rPr>
        <w:lastRenderedPageBreak/>
        <w:t>33.07</w:t>
      </w:r>
      <w:r w:rsidRPr="00074155">
        <w:rPr>
          <w:rFonts w:ascii="宋体" w:hAnsi="宋体"/>
          <w:sz w:val="32"/>
          <w:szCs w:val="32"/>
        </w:rPr>
        <w:t>%</w:t>
      </w:r>
      <w:r>
        <w:rPr>
          <w:rFonts w:ascii="宋体" w:hAnsi="宋体" w:hint="eastAsia"/>
          <w:sz w:val="32"/>
          <w:szCs w:val="32"/>
        </w:rPr>
        <w:t>，主要包括</w:t>
      </w:r>
      <w:r w:rsidRPr="00FE16FA">
        <w:rPr>
          <w:rFonts w:ascii="宋体" w:hAnsi="宋体" w:hint="eastAsia"/>
          <w:sz w:val="32"/>
          <w:szCs w:val="32"/>
        </w:rPr>
        <w:t>办公费</w:t>
      </w:r>
      <w:r w:rsidR="00791BFA">
        <w:rPr>
          <w:rFonts w:ascii="宋体" w:hAnsi="宋体" w:hint="eastAsia"/>
          <w:sz w:val="32"/>
          <w:szCs w:val="32"/>
        </w:rPr>
        <w:t>4</w:t>
      </w:r>
      <w:r w:rsidR="00791BFA">
        <w:rPr>
          <w:rFonts w:ascii="宋体" w:hAnsi="宋体"/>
          <w:sz w:val="32"/>
          <w:szCs w:val="32"/>
        </w:rPr>
        <w:t>5.33万元</w:t>
      </w:r>
      <w:r>
        <w:rPr>
          <w:rFonts w:ascii="宋体" w:hAnsi="宋体" w:hint="eastAsia"/>
          <w:sz w:val="32"/>
          <w:szCs w:val="32"/>
        </w:rPr>
        <w:t>、</w:t>
      </w:r>
      <w:r w:rsidRPr="00FE16FA">
        <w:rPr>
          <w:rFonts w:ascii="宋体" w:hAnsi="宋体" w:hint="eastAsia"/>
          <w:sz w:val="32"/>
          <w:szCs w:val="32"/>
        </w:rPr>
        <w:t>印刷费</w:t>
      </w:r>
      <w:r w:rsidR="00791BFA">
        <w:rPr>
          <w:rFonts w:ascii="宋体" w:hAnsi="宋体" w:hint="eastAsia"/>
          <w:sz w:val="32"/>
          <w:szCs w:val="32"/>
        </w:rPr>
        <w:t>1</w:t>
      </w:r>
      <w:r w:rsidR="00791BFA">
        <w:rPr>
          <w:rFonts w:ascii="宋体" w:hAnsi="宋体"/>
          <w:sz w:val="32"/>
          <w:szCs w:val="32"/>
        </w:rPr>
        <w:t>4</w:t>
      </w:r>
      <w:r w:rsidR="009864A7">
        <w:rPr>
          <w:rFonts w:ascii="宋体" w:hAnsi="宋体"/>
          <w:sz w:val="32"/>
          <w:szCs w:val="32"/>
        </w:rPr>
        <w:t>3</w:t>
      </w:r>
      <w:r w:rsidR="00791BFA">
        <w:rPr>
          <w:rFonts w:ascii="宋体" w:hAnsi="宋体"/>
          <w:sz w:val="32"/>
          <w:szCs w:val="32"/>
        </w:rPr>
        <w:t>.</w:t>
      </w:r>
      <w:r w:rsidR="009864A7">
        <w:rPr>
          <w:rFonts w:ascii="宋体" w:hAnsi="宋体"/>
          <w:sz w:val="32"/>
          <w:szCs w:val="32"/>
        </w:rPr>
        <w:t>5</w:t>
      </w:r>
      <w:r w:rsidR="00791BFA">
        <w:rPr>
          <w:rFonts w:ascii="宋体" w:hAnsi="宋体"/>
          <w:sz w:val="32"/>
          <w:szCs w:val="32"/>
        </w:rPr>
        <w:t>万元</w:t>
      </w:r>
      <w:r>
        <w:rPr>
          <w:rFonts w:ascii="宋体" w:hAnsi="宋体" w:hint="eastAsia"/>
          <w:sz w:val="32"/>
          <w:szCs w:val="32"/>
        </w:rPr>
        <w:t>、</w:t>
      </w:r>
      <w:r w:rsidR="00791BFA">
        <w:rPr>
          <w:rFonts w:ascii="宋体" w:hAnsi="宋体" w:hint="eastAsia"/>
          <w:sz w:val="32"/>
          <w:szCs w:val="32"/>
        </w:rPr>
        <w:t>水费0</w:t>
      </w:r>
      <w:r w:rsidR="00791BFA">
        <w:rPr>
          <w:rFonts w:ascii="宋体" w:hAnsi="宋体"/>
          <w:sz w:val="32"/>
          <w:szCs w:val="32"/>
        </w:rPr>
        <w:t>.88万元</w:t>
      </w:r>
      <w:r>
        <w:rPr>
          <w:rFonts w:ascii="宋体" w:hAnsi="宋体" w:hint="eastAsia"/>
          <w:sz w:val="32"/>
          <w:szCs w:val="32"/>
        </w:rPr>
        <w:t>、</w:t>
      </w:r>
      <w:r w:rsidRPr="00FE16FA">
        <w:rPr>
          <w:rFonts w:ascii="宋体" w:hAnsi="宋体" w:hint="eastAsia"/>
          <w:sz w:val="32"/>
          <w:szCs w:val="32"/>
        </w:rPr>
        <w:t>手续费</w:t>
      </w:r>
      <w:r w:rsidR="00791BFA">
        <w:rPr>
          <w:rFonts w:ascii="宋体" w:hAnsi="宋体" w:hint="eastAsia"/>
          <w:sz w:val="32"/>
          <w:szCs w:val="32"/>
        </w:rPr>
        <w:t>0</w:t>
      </w:r>
      <w:r w:rsidR="00791BFA">
        <w:rPr>
          <w:rFonts w:ascii="宋体" w:hAnsi="宋体"/>
          <w:sz w:val="32"/>
          <w:szCs w:val="32"/>
        </w:rPr>
        <w:t>.04万元、邮电费</w:t>
      </w:r>
      <w:r w:rsidR="00791BFA">
        <w:rPr>
          <w:rFonts w:ascii="宋体" w:hAnsi="宋体" w:hint="eastAsia"/>
          <w:sz w:val="32"/>
          <w:szCs w:val="32"/>
        </w:rPr>
        <w:t>2</w:t>
      </w:r>
      <w:r w:rsidR="00791BFA">
        <w:rPr>
          <w:rFonts w:ascii="宋体" w:hAnsi="宋体"/>
          <w:sz w:val="32"/>
          <w:szCs w:val="32"/>
        </w:rPr>
        <w:t>6.</w:t>
      </w:r>
      <w:bookmarkStart w:id="0" w:name="_GoBack"/>
      <w:bookmarkEnd w:id="0"/>
      <w:r w:rsidR="00791BFA">
        <w:rPr>
          <w:rFonts w:ascii="宋体" w:hAnsi="宋体"/>
          <w:sz w:val="32"/>
          <w:szCs w:val="32"/>
        </w:rPr>
        <w:t>56万元、物业管理费</w:t>
      </w:r>
      <w:r w:rsidR="00791BFA">
        <w:rPr>
          <w:rFonts w:ascii="宋体" w:hAnsi="宋体" w:hint="eastAsia"/>
          <w:sz w:val="32"/>
          <w:szCs w:val="32"/>
        </w:rPr>
        <w:t>0</w:t>
      </w:r>
      <w:r w:rsidR="00791BFA">
        <w:rPr>
          <w:rFonts w:ascii="宋体" w:hAnsi="宋体"/>
          <w:sz w:val="32"/>
          <w:szCs w:val="32"/>
        </w:rPr>
        <w:t>.16万元、差旅费</w:t>
      </w:r>
      <w:r w:rsidR="00791BFA">
        <w:rPr>
          <w:rFonts w:ascii="宋体" w:hAnsi="宋体" w:hint="eastAsia"/>
          <w:sz w:val="32"/>
          <w:szCs w:val="32"/>
        </w:rPr>
        <w:t>2</w:t>
      </w:r>
      <w:r w:rsidR="00791BFA">
        <w:rPr>
          <w:rFonts w:ascii="宋体" w:hAnsi="宋体"/>
          <w:sz w:val="32"/>
          <w:szCs w:val="32"/>
        </w:rPr>
        <w:t>3.03万元、维修费</w:t>
      </w:r>
      <w:r w:rsidR="00791BFA">
        <w:rPr>
          <w:rFonts w:ascii="宋体" w:hAnsi="宋体" w:hint="eastAsia"/>
          <w:sz w:val="32"/>
          <w:szCs w:val="32"/>
        </w:rPr>
        <w:t>1</w:t>
      </w:r>
      <w:r w:rsidR="00791BFA">
        <w:rPr>
          <w:rFonts w:ascii="宋体" w:hAnsi="宋体"/>
          <w:sz w:val="32"/>
          <w:szCs w:val="32"/>
        </w:rPr>
        <w:t>3.73万元、租赁费</w:t>
      </w:r>
      <w:r w:rsidR="00791BFA">
        <w:rPr>
          <w:rFonts w:ascii="宋体" w:hAnsi="宋体" w:hint="eastAsia"/>
          <w:sz w:val="32"/>
          <w:szCs w:val="32"/>
        </w:rPr>
        <w:t>3万元、会议费</w:t>
      </w:r>
      <w:r w:rsidR="00791BFA">
        <w:rPr>
          <w:rFonts w:ascii="宋体" w:hAnsi="宋体"/>
          <w:sz w:val="32"/>
          <w:szCs w:val="32"/>
        </w:rPr>
        <w:t>3.8万元、培训费</w:t>
      </w:r>
      <w:r w:rsidR="00791BFA">
        <w:rPr>
          <w:rFonts w:ascii="宋体" w:hAnsi="宋体" w:hint="eastAsia"/>
          <w:sz w:val="32"/>
          <w:szCs w:val="32"/>
        </w:rPr>
        <w:t>0</w:t>
      </w:r>
      <w:r w:rsidR="00791BFA">
        <w:rPr>
          <w:rFonts w:ascii="宋体" w:hAnsi="宋体"/>
          <w:sz w:val="32"/>
          <w:szCs w:val="32"/>
        </w:rPr>
        <w:t>.7万元、公务接待费</w:t>
      </w:r>
      <w:r w:rsidR="00791BFA">
        <w:rPr>
          <w:rFonts w:ascii="宋体" w:hAnsi="宋体" w:hint="eastAsia"/>
          <w:sz w:val="32"/>
          <w:szCs w:val="32"/>
        </w:rPr>
        <w:t>0</w:t>
      </w:r>
      <w:r w:rsidR="00791BFA">
        <w:rPr>
          <w:rFonts w:ascii="宋体" w:hAnsi="宋体"/>
          <w:sz w:val="32"/>
          <w:szCs w:val="32"/>
        </w:rPr>
        <w:t>.35万元、委托业务费</w:t>
      </w:r>
      <w:r w:rsidR="00791BFA">
        <w:rPr>
          <w:rFonts w:ascii="宋体" w:hAnsi="宋体" w:hint="eastAsia"/>
          <w:sz w:val="32"/>
          <w:szCs w:val="32"/>
        </w:rPr>
        <w:t>8</w:t>
      </w:r>
      <w:r w:rsidR="00791BFA">
        <w:rPr>
          <w:rFonts w:ascii="宋体" w:hAnsi="宋体"/>
          <w:sz w:val="32"/>
          <w:szCs w:val="32"/>
        </w:rPr>
        <w:t>8.35万元、工会经费</w:t>
      </w:r>
      <w:r w:rsidR="00791BFA">
        <w:rPr>
          <w:rFonts w:ascii="宋体" w:hAnsi="宋体" w:hint="eastAsia"/>
          <w:sz w:val="32"/>
          <w:szCs w:val="32"/>
        </w:rPr>
        <w:t>3</w:t>
      </w:r>
      <w:r w:rsidR="00791BFA">
        <w:rPr>
          <w:rFonts w:ascii="宋体" w:hAnsi="宋体"/>
          <w:sz w:val="32"/>
          <w:szCs w:val="32"/>
        </w:rPr>
        <w:t>0万元、福利费3.54万元、公务用车运行维护费</w:t>
      </w:r>
      <w:r w:rsidR="00791BFA">
        <w:rPr>
          <w:rFonts w:ascii="宋体" w:hAnsi="宋体" w:hint="eastAsia"/>
          <w:sz w:val="32"/>
          <w:szCs w:val="32"/>
        </w:rPr>
        <w:t>1</w:t>
      </w:r>
      <w:r w:rsidR="00791BFA">
        <w:rPr>
          <w:rFonts w:ascii="宋体" w:hAnsi="宋体"/>
          <w:sz w:val="32"/>
          <w:szCs w:val="32"/>
        </w:rPr>
        <w:t>4.81万元、其他商品和服务支出</w:t>
      </w:r>
      <w:r w:rsidR="00791BFA">
        <w:rPr>
          <w:rFonts w:ascii="宋体" w:hAnsi="宋体" w:hint="eastAsia"/>
          <w:sz w:val="32"/>
          <w:szCs w:val="32"/>
        </w:rPr>
        <w:t>1</w:t>
      </w:r>
      <w:r w:rsidR="00791BFA">
        <w:rPr>
          <w:rFonts w:ascii="宋体" w:hAnsi="宋体"/>
          <w:sz w:val="32"/>
          <w:szCs w:val="32"/>
        </w:rPr>
        <w:t>10.06万元、设备购置费</w:t>
      </w:r>
      <w:r w:rsidR="00791BFA">
        <w:rPr>
          <w:rFonts w:ascii="宋体" w:hAnsi="宋体" w:hint="eastAsia"/>
          <w:sz w:val="32"/>
          <w:szCs w:val="32"/>
        </w:rPr>
        <w:t>4</w:t>
      </w:r>
      <w:r w:rsidR="00791BFA">
        <w:rPr>
          <w:rFonts w:ascii="宋体" w:hAnsi="宋体"/>
          <w:sz w:val="32"/>
          <w:szCs w:val="32"/>
        </w:rPr>
        <w:t>1.35万元</w:t>
      </w:r>
      <w:r w:rsidR="00791BFA">
        <w:rPr>
          <w:rFonts w:ascii="宋体" w:hAnsi="宋体" w:hint="eastAsia"/>
          <w:sz w:val="32"/>
          <w:szCs w:val="32"/>
        </w:rPr>
        <w:t>。</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项目支出情况</w:t>
      </w:r>
    </w:p>
    <w:p w:rsidR="00C72139" w:rsidRPr="009118D2" w:rsidRDefault="009118D2" w:rsidP="009118D2">
      <w:pPr>
        <w:widowControl/>
        <w:spacing w:line="600" w:lineRule="exact"/>
        <w:ind w:firstLineChars="300" w:firstLine="960"/>
        <w:jc w:val="left"/>
        <w:rPr>
          <w:rFonts w:asciiTheme="minorEastAsia" w:eastAsiaTheme="minorEastAsia" w:hAnsiTheme="minorEastAsia"/>
          <w:sz w:val="32"/>
          <w:szCs w:val="32"/>
        </w:rPr>
      </w:pPr>
      <w:r w:rsidRPr="009118D2">
        <w:rPr>
          <w:rFonts w:asciiTheme="minorEastAsia" w:eastAsiaTheme="minorEastAsia" w:hAnsiTheme="minorEastAsia"/>
          <w:sz w:val="32"/>
          <w:szCs w:val="32"/>
        </w:rPr>
        <w:t>本单位无项目支出</w:t>
      </w:r>
      <w:r w:rsidR="00C72139" w:rsidRPr="009118D2">
        <w:rPr>
          <w:rFonts w:asciiTheme="minorEastAsia" w:eastAsiaTheme="minorEastAsia" w:hAnsiTheme="minorEastAsia"/>
          <w:sz w:val="32"/>
          <w:szCs w:val="32"/>
        </w:rPr>
        <w:t>。</w:t>
      </w:r>
    </w:p>
    <w:p w:rsidR="00C72139" w:rsidRDefault="00C72139" w:rsidP="00791BFA">
      <w:pPr>
        <w:pStyle w:val="a5"/>
        <w:widowControl/>
        <w:numPr>
          <w:ilvl w:val="0"/>
          <w:numId w:val="5"/>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政府性基金预算支出情况</w:t>
      </w:r>
    </w:p>
    <w:p w:rsidR="00791BFA" w:rsidRPr="00791BFA" w:rsidRDefault="00791BFA" w:rsidP="00791BFA">
      <w:pPr>
        <w:pStyle w:val="Default"/>
        <w:ind w:firstLineChars="300" w:firstLine="960"/>
        <w:rPr>
          <w:rFonts w:ascii="宋体" w:eastAsia="宋体" w:hAnsi="宋体"/>
          <w:i/>
          <w:color w:val="FF0000"/>
          <w:sz w:val="32"/>
          <w:szCs w:val="32"/>
        </w:rPr>
      </w:pPr>
      <w:r>
        <w:rPr>
          <w:rFonts w:ascii="宋体" w:eastAsia="宋体" w:hAnsi="宋体" w:hint="eastAsia"/>
          <w:sz w:val="32"/>
          <w:szCs w:val="32"/>
        </w:rPr>
        <w:t>本单位无政府性基金收支。</w:t>
      </w:r>
    </w:p>
    <w:p w:rsidR="00C72139" w:rsidRDefault="00C72139" w:rsidP="00791BFA">
      <w:pPr>
        <w:pStyle w:val="a5"/>
        <w:widowControl/>
        <w:numPr>
          <w:ilvl w:val="0"/>
          <w:numId w:val="5"/>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国有资本经营预算支出情况</w:t>
      </w:r>
    </w:p>
    <w:p w:rsidR="00791BFA" w:rsidRPr="00791BFA" w:rsidRDefault="00791BFA" w:rsidP="00791BFA">
      <w:pPr>
        <w:pStyle w:val="Default"/>
        <w:ind w:firstLineChars="300" w:firstLine="960"/>
        <w:rPr>
          <w:rFonts w:ascii="宋体" w:eastAsia="宋体" w:hAnsi="宋体"/>
          <w:i/>
          <w:color w:val="FF0000"/>
          <w:sz w:val="32"/>
          <w:szCs w:val="32"/>
        </w:rPr>
      </w:pPr>
      <w:r>
        <w:rPr>
          <w:rFonts w:ascii="宋体" w:eastAsia="宋体" w:hAnsi="宋体" w:hint="eastAsia"/>
          <w:sz w:val="32"/>
          <w:szCs w:val="32"/>
        </w:rPr>
        <w:t>本单位无国有资本经营预算收支。</w:t>
      </w:r>
    </w:p>
    <w:p w:rsidR="00C72139" w:rsidRDefault="00C72139" w:rsidP="00791BFA">
      <w:pPr>
        <w:pStyle w:val="a5"/>
        <w:widowControl/>
        <w:numPr>
          <w:ilvl w:val="0"/>
          <w:numId w:val="5"/>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社会保险基金预算支出情况</w:t>
      </w:r>
    </w:p>
    <w:p w:rsidR="00791BFA" w:rsidRPr="00791BFA" w:rsidRDefault="00791BFA" w:rsidP="00791BFA">
      <w:pPr>
        <w:pStyle w:val="Default"/>
        <w:ind w:left="640" w:firstLineChars="100" w:firstLine="320"/>
        <w:rPr>
          <w:rFonts w:ascii="宋体" w:eastAsia="宋体" w:hAnsi="宋体"/>
          <w:i/>
          <w:color w:val="FF0000"/>
          <w:sz w:val="32"/>
          <w:szCs w:val="32"/>
        </w:rPr>
      </w:pPr>
      <w:r>
        <w:rPr>
          <w:rFonts w:ascii="宋体" w:eastAsia="宋体" w:hAnsi="宋体" w:hint="eastAsia"/>
          <w:sz w:val="32"/>
          <w:szCs w:val="32"/>
        </w:rPr>
        <w:t>本单位无社会保险基金预算收支。</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六、部门整体支出绩效情况</w:t>
      </w:r>
    </w:p>
    <w:p w:rsidR="009118D2" w:rsidRDefault="009118D2" w:rsidP="009118D2">
      <w:pPr>
        <w:widowControl/>
        <w:spacing w:line="600" w:lineRule="exact"/>
        <w:ind w:firstLineChars="200" w:firstLine="640"/>
        <w:rPr>
          <w:rFonts w:ascii="宋体" w:hAnsi="宋体"/>
          <w:sz w:val="32"/>
          <w:szCs w:val="32"/>
        </w:rPr>
      </w:pPr>
      <w:r>
        <w:rPr>
          <w:rFonts w:ascii="宋体" w:hAnsi="宋体"/>
          <w:sz w:val="32"/>
          <w:szCs w:val="32"/>
        </w:rPr>
        <w:t>2019</w:t>
      </w:r>
      <w:r>
        <w:rPr>
          <w:rFonts w:ascii="宋体" w:hAnsi="宋体" w:hint="eastAsia"/>
          <w:sz w:val="32"/>
          <w:szCs w:val="32"/>
        </w:rPr>
        <w:t>年度财政拨款</w:t>
      </w:r>
      <w:r w:rsidRPr="00DD5FE9">
        <w:rPr>
          <w:rFonts w:ascii="宋体" w:hAnsi="宋体" w:hint="eastAsia"/>
          <w:sz w:val="32"/>
          <w:szCs w:val="32"/>
        </w:rPr>
        <w:t>收</w:t>
      </w:r>
      <w:r>
        <w:rPr>
          <w:rFonts w:ascii="宋体" w:hAnsi="宋体" w:hint="eastAsia"/>
          <w:sz w:val="32"/>
          <w:szCs w:val="32"/>
        </w:rPr>
        <w:t>入</w:t>
      </w:r>
      <w:r w:rsidRPr="00DD5FE9">
        <w:rPr>
          <w:rFonts w:ascii="宋体" w:hAnsi="宋体" w:hint="eastAsia"/>
          <w:sz w:val="32"/>
          <w:szCs w:val="32"/>
        </w:rPr>
        <w:t>总计</w:t>
      </w:r>
      <w:r>
        <w:rPr>
          <w:rFonts w:ascii="宋体" w:hAnsi="宋体"/>
          <w:sz w:val="32"/>
          <w:szCs w:val="32"/>
        </w:rPr>
        <w:t>1704.77</w:t>
      </w:r>
      <w:r w:rsidRPr="00DD5FE9">
        <w:rPr>
          <w:rFonts w:ascii="宋体" w:hAnsi="宋体" w:hint="eastAsia"/>
          <w:sz w:val="32"/>
          <w:szCs w:val="32"/>
        </w:rPr>
        <w:t>万元</w:t>
      </w:r>
      <w:r>
        <w:rPr>
          <w:rFonts w:ascii="宋体" w:hAnsi="宋体" w:hint="eastAsia"/>
          <w:sz w:val="32"/>
          <w:szCs w:val="32"/>
        </w:rPr>
        <w:t>，支出总计</w:t>
      </w:r>
      <w:r>
        <w:rPr>
          <w:rFonts w:ascii="宋体" w:hAnsi="宋体"/>
          <w:sz w:val="32"/>
          <w:szCs w:val="32"/>
        </w:rPr>
        <w:t>1728.17</w:t>
      </w:r>
      <w:r>
        <w:rPr>
          <w:rFonts w:ascii="宋体" w:hAnsi="宋体" w:hint="eastAsia"/>
          <w:sz w:val="32"/>
          <w:szCs w:val="32"/>
        </w:rPr>
        <w:t>万元。与</w:t>
      </w:r>
      <w:r w:rsidRPr="00DD5FE9">
        <w:rPr>
          <w:rFonts w:ascii="宋体" w:hAnsi="宋体"/>
          <w:sz w:val="32"/>
          <w:szCs w:val="32"/>
        </w:rPr>
        <w:t>2018</w:t>
      </w:r>
      <w:r w:rsidRPr="00DD5FE9">
        <w:rPr>
          <w:rFonts w:ascii="宋体" w:hAnsi="宋体" w:hint="eastAsia"/>
          <w:sz w:val="32"/>
          <w:szCs w:val="32"/>
        </w:rPr>
        <w:t>年相比</w:t>
      </w:r>
      <w:r>
        <w:rPr>
          <w:rFonts w:ascii="宋体" w:hAnsi="宋体" w:hint="eastAsia"/>
          <w:sz w:val="32"/>
          <w:szCs w:val="32"/>
        </w:rPr>
        <w:t>，收入增加</w:t>
      </w:r>
      <w:r>
        <w:rPr>
          <w:rFonts w:ascii="宋体" w:hAnsi="宋体"/>
          <w:sz w:val="32"/>
          <w:szCs w:val="32"/>
        </w:rPr>
        <w:t>277.3</w:t>
      </w:r>
      <w:r>
        <w:rPr>
          <w:rFonts w:ascii="宋体" w:hAnsi="宋体" w:hint="eastAsia"/>
          <w:sz w:val="32"/>
          <w:szCs w:val="32"/>
        </w:rPr>
        <w:t>万元，增长</w:t>
      </w:r>
      <w:r>
        <w:rPr>
          <w:rFonts w:ascii="宋体" w:hAnsi="宋体"/>
          <w:sz w:val="32"/>
          <w:szCs w:val="32"/>
        </w:rPr>
        <w:t>19.4%</w:t>
      </w:r>
      <w:r>
        <w:rPr>
          <w:rFonts w:ascii="宋体" w:hAnsi="宋体" w:hint="eastAsia"/>
          <w:sz w:val="32"/>
          <w:szCs w:val="32"/>
        </w:rPr>
        <w:t>。支出增加</w:t>
      </w:r>
      <w:r>
        <w:rPr>
          <w:rFonts w:ascii="宋体" w:hAnsi="宋体"/>
          <w:sz w:val="32"/>
          <w:szCs w:val="32"/>
        </w:rPr>
        <w:t>309.46</w:t>
      </w:r>
      <w:r>
        <w:rPr>
          <w:rFonts w:ascii="宋体" w:hAnsi="宋体" w:hint="eastAsia"/>
          <w:sz w:val="32"/>
          <w:szCs w:val="32"/>
        </w:rPr>
        <w:t>万元，增长</w:t>
      </w:r>
      <w:r>
        <w:rPr>
          <w:rFonts w:ascii="宋体" w:hAnsi="宋体"/>
          <w:sz w:val="32"/>
          <w:szCs w:val="32"/>
        </w:rPr>
        <w:t>21.81%</w:t>
      </w:r>
      <w:r>
        <w:rPr>
          <w:rFonts w:ascii="宋体" w:hAnsi="宋体" w:hint="eastAsia"/>
          <w:sz w:val="32"/>
          <w:szCs w:val="32"/>
        </w:rPr>
        <w:t>主要是因为爱卫办等部门合并到政府办，相关经费增加。</w:t>
      </w:r>
    </w:p>
    <w:p w:rsidR="00FE7732" w:rsidRPr="00C1265C" w:rsidRDefault="00FE7732" w:rsidP="009118D2">
      <w:pPr>
        <w:widowControl/>
        <w:spacing w:line="600" w:lineRule="exact"/>
        <w:ind w:firstLineChars="200" w:firstLine="640"/>
        <w:rPr>
          <w:rFonts w:eastAsia="黑体"/>
          <w:sz w:val="32"/>
          <w:szCs w:val="32"/>
        </w:rPr>
      </w:pPr>
      <w:r>
        <w:rPr>
          <w:rFonts w:ascii="宋体" w:hAnsi="宋体" w:hint="eastAsia"/>
          <w:sz w:val="32"/>
          <w:szCs w:val="32"/>
        </w:rPr>
        <w:t>2019年部门整体支出绩效评价单位自评93分，等级优秀。</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2E14AA" w:rsidRPr="009118D2" w:rsidRDefault="002E14AA" w:rsidP="002E14AA">
      <w:pPr>
        <w:widowControl/>
        <w:spacing w:line="600" w:lineRule="exact"/>
        <w:ind w:firstLineChars="196" w:firstLine="627"/>
        <w:jc w:val="left"/>
        <w:rPr>
          <w:rFonts w:asciiTheme="minorEastAsia" w:eastAsiaTheme="minorEastAsia" w:hAnsiTheme="minorEastAsia"/>
          <w:sz w:val="32"/>
          <w:szCs w:val="32"/>
        </w:rPr>
      </w:pPr>
      <w:r w:rsidRPr="009118D2">
        <w:rPr>
          <w:rFonts w:asciiTheme="minorEastAsia" w:eastAsiaTheme="minorEastAsia" w:hAnsiTheme="minorEastAsia" w:hint="eastAsia"/>
          <w:sz w:val="32"/>
          <w:szCs w:val="32"/>
        </w:rPr>
        <w:lastRenderedPageBreak/>
        <w:t>我单位按照工作要求和规定程序有步骤的开展了决算编制、送审等工作，但在决算过程中存在对决算数据分析不够全面的问题。</w:t>
      </w:r>
    </w:p>
    <w:p w:rsidR="00C72139" w:rsidRDefault="00C72139" w:rsidP="00C72139">
      <w:pPr>
        <w:widowControl/>
        <w:spacing w:line="600" w:lineRule="exact"/>
        <w:ind w:firstLineChars="200" w:firstLine="640"/>
        <w:jc w:val="left"/>
        <w:rPr>
          <w:rFonts w:eastAsia="黑体"/>
          <w:sz w:val="32"/>
          <w:szCs w:val="32"/>
        </w:rPr>
      </w:pPr>
      <w:r w:rsidRPr="00A3605E">
        <w:rPr>
          <w:rFonts w:eastAsia="黑体"/>
          <w:sz w:val="32"/>
          <w:szCs w:val="32"/>
        </w:rPr>
        <w:t>八、下一步改进措施</w:t>
      </w:r>
    </w:p>
    <w:p w:rsidR="002E14AA" w:rsidRPr="009118D2" w:rsidRDefault="002E14AA" w:rsidP="002E14AA">
      <w:pPr>
        <w:ind w:firstLine="660"/>
        <w:rPr>
          <w:rFonts w:asciiTheme="minorEastAsia" w:eastAsiaTheme="minorEastAsia" w:hAnsiTheme="minorEastAsia"/>
          <w:sz w:val="32"/>
          <w:szCs w:val="32"/>
        </w:rPr>
      </w:pPr>
      <w:r w:rsidRPr="009118D2">
        <w:rPr>
          <w:rFonts w:asciiTheme="minorEastAsia" w:eastAsiaTheme="minorEastAsia" w:hAnsiTheme="minorEastAsia" w:hint="eastAsia"/>
          <w:sz w:val="32"/>
          <w:szCs w:val="32"/>
        </w:rPr>
        <w:t>应多加强业务培训，积极学习新的财务知识和财经法规，不断提高财务人员工作能力和工作水平。</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九、其他需要说明的情况</w:t>
      </w:r>
    </w:p>
    <w:p w:rsidR="00C72139" w:rsidRPr="00A3605E" w:rsidRDefault="00C72139" w:rsidP="00C72139">
      <w:pPr>
        <w:widowControl/>
        <w:spacing w:line="600" w:lineRule="exact"/>
        <w:ind w:firstLine="645"/>
        <w:jc w:val="left"/>
        <w:rPr>
          <w:rFonts w:eastAsia="仿宋_GB2312"/>
          <w:sz w:val="32"/>
          <w:szCs w:val="32"/>
        </w:rPr>
      </w:pP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sectPr w:rsidR="00C72139" w:rsidRPr="00A3605E"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EB1" w:rsidRDefault="00A42EB1" w:rsidP="00A045A1">
      <w:r>
        <w:separator/>
      </w:r>
    </w:p>
  </w:endnote>
  <w:endnote w:type="continuationSeparator" w:id="1">
    <w:p w:rsidR="00A42EB1" w:rsidRDefault="00A42EB1"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EB1" w:rsidRDefault="00A42EB1" w:rsidP="00A045A1">
      <w:r>
        <w:separator/>
      </w:r>
    </w:p>
  </w:footnote>
  <w:footnote w:type="continuationSeparator" w:id="1">
    <w:p w:rsidR="00A42EB1" w:rsidRDefault="00A42EB1"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2BF939E7"/>
    <w:multiLevelType w:val="hybridMultilevel"/>
    <w:tmpl w:val="8B78F246"/>
    <w:lvl w:ilvl="0" w:tplc="0406D63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3B237F3F"/>
    <w:multiLevelType w:val="hybridMultilevel"/>
    <w:tmpl w:val="377AD5C0"/>
    <w:lvl w:ilvl="0" w:tplc="B1C8F6FE">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5">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76D9D"/>
    <w:rsid w:val="000B0765"/>
    <w:rsid w:val="000B57BC"/>
    <w:rsid w:val="001573FC"/>
    <w:rsid w:val="00162440"/>
    <w:rsid w:val="00174EEF"/>
    <w:rsid w:val="001A127E"/>
    <w:rsid w:val="002558F7"/>
    <w:rsid w:val="002E14AA"/>
    <w:rsid w:val="002E1E0B"/>
    <w:rsid w:val="0031755D"/>
    <w:rsid w:val="003711D0"/>
    <w:rsid w:val="00377767"/>
    <w:rsid w:val="00377A33"/>
    <w:rsid w:val="00385D78"/>
    <w:rsid w:val="003A3418"/>
    <w:rsid w:val="003B3C2E"/>
    <w:rsid w:val="003E4529"/>
    <w:rsid w:val="003E5114"/>
    <w:rsid w:val="00426627"/>
    <w:rsid w:val="004D168F"/>
    <w:rsid w:val="004D5066"/>
    <w:rsid w:val="004F01BA"/>
    <w:rsid w:val="005833DD"/>
    <w:rsid w:val="00595424"/>
    <w:rsid w:val="005C0210"/>
    <w:rsid w:val="00614437"/>
    <w:rsid w:val="00624B4A"/>
    <w:rsid w:val="006370F0"/>
    <w:rsid w:val="006811E5"/>
    <w:rsid w:val="00791BFA"/>
    <w:rsid w:val="007B54D9"/>
    <w:rsid w:val="007E5569"/>
    <w:rsid w:val="007F5930"/>
    <w:rsid w:val="00887C00"/>
    <w:rsid w:val="008A4834"/>
    <w:rsid w:val="008D5E2C"/>
    <w:rsid w:val="008D7141"/>
    <w:rsid w:val="009118D2"/>
    <w:rsid w:val="00925CEC"/>
    <w:rsid w:val="00965B13"/>
    <w:rsid w:val="00980DBB"/>
    <w:rsid w:val="009864A7"/>
    <w:rsid w:val="009D4AE4"/>
    <w:rsid w:val="00A045A1"/>
    <w:rsid w:val="00A070E1"/>
    <w:rsid w:val="00A317C9"/>
    <w:rsid w:val="00A34413"/>
    <w:rsid w:val="00A42EB1"/>
    <w:rsid w:val="00A75C37"/>
    <w:rsid w:val="00AA700A"/>
    <w:rsid w:val="00B364CE"/>
    <w:rsid w:val="00B52EA5"/>
    <w:rsid w:val="00B8180E"/>
    <w:rsid w:val="00BB6107"/>
    <w:rsid w:val="00BC61C1"/>
    <w:rsid w:val="00BD1C3A"/>
    <w:rsid w:val="00C1265C"/>
    <w:rsid w:val="00C25716"/>
    <w:rsid w:val="00C3391C"/>
    <w:rsid w:val="00C344EC"/>
    <w:rsid w:val="00C72139"/>
    <w:rsid w:val="00CC4C2C"/>
    <w:rsid w:val="00CD20A2"/>
    <w:rsid w:val="00D028DB"/>
    <w:rsid w:val="00D10324"/>
    <w:rsid w:val="00D159EE"/>
    <w:rsid w:val="00D53FEB"/>
    <w:rsid w:val="00E127F9"/>
    <w:rsid w:val="00E50869"/>
    <w:rsid w:val="00E51A17"/>
    <w:rsid w:val="00E7312E"/>
    <w:rsid w:val="00F81B16"/>
    <w:rsid w:val="00FA46A4"/>
    <w:rsid w:val="00FC7FE9"/>
    <w:rsid w:val="00FE77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customStyle="1" w:styleId="Default">
    <w:name w:val="Default"/>
    <w:uiPriority w:val="99"/>
    <w:rsid w:val="00791BFA"/>
    <w:pPr>
      <w:widowControl w:val="0"/>
      <w:autoSpaceDE w:val="0"/>
      <w:autoSpaceDN w:val="0"/>
      <w:adjustRightInd w:val="0"/>
    </w:pPr>
    <w:rPr>
      <w:rFonts w:ascii="黑体" w:eastAsia="黑体" w:hAnsi="Calibri" w:cs="黑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5192C-5E87-41A1-B8F4-BA43A23C4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815</Words>
  <Characters>4651</Characters>
  <Application>Microsoft Office Word</Application>
  <DocSecurity>0</DocSecurity>
  <Lines>38</Lines>
  <Paragraphs>10</Paragraphs>
  <ScaleCrop>false</ScaleCrop>
  <Company>china</Company>
  <LinksUpToDate>false</LinksUpToDate>
  <CharactersWithSpaces>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9</cp:revision>
  <cp:lastPrinted>2020-06-24T02:12:00Z</cp:lastPrinted>
  <dcterms:created xsi:type="dcterms:W3CDTF">2020-09-23T05:29:00Z</dcterms:created>
  <dcterms:modified xsi:type="dcterms:W3CDTF">2020-10-22T03:12:00Z</dcterms:modified>
</cp:coreProperties>
</file>