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8"/>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color w:val="FF0000"/>
                <w:sz w:val="28"/>
                <w:szCs w:val="28"/>
              </w:rPr>
            </w:pPr>
            <w:r>
              <w:rPr>
                <w:rFonts w:hint="eastAsia" w:ascii="仿宋_GB2312" w:eastAsia="仿宋_GB2312"/>
                <w:color w:val="auto"/>
                <w:sz w:val="28"/>
                <w:szCs w:val="28"/>
              </w:rPr>
              <w:t>总分</w:t>
            </w:r>
          </w:p>
        </w:tc>
        <w:tc>
          <w:tcPr>
            <w:tcW w:w="938" w:type="dxa"/>
            <w:vAlign w:val="center"/>
          </w:tcPr>
          <w:p>
            <w:pPr>
              <w:spacing w:line="320" w:lineRule="exact"/>
              <w:ind w:left="105" w:leftChars="50" w:right="105" w:rightChars="50"/>
              <w:jc w:val="center"/>
              <w:rPr>
                <w:rFonts w:hint="default" w:ascii="仿宋_GB2312" w:eastAsia="仿宋_GB2312"/>
                <w:color w:val="FF0000"/>
                <w:szCs w:val="21"/>
                <w:lang w:val="en-US" w:eastAsia="zh-CN"/>
              </w:rPr>
            </w:pPr>
            <w:r>
              <w:rPr>
                <w:rFonts w:hint="eastAsia" w:ascii="仿宋_GB2312" w:eastAsia="仿宋_GB2312"/>
                <w:color w:val="auto"/>
                <w:szCs w:val="21"/>
                <w:lang w:val="en-US" w:eastAsia="zh-CN"/>
              </w:rPr>
              <w:t>94</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color w:val="auto"/>
          <w:lang w:eastAsia="zh-CN"/>
        </w:rPr>
      </w:pPr>
      <w:r>
        <w:rPr>
          <w:rFonts w:hint="eastAsia" w:ascii="仿宋" w:hAnsi="仿宋" w:eastAsia="仿宋"/>
        </w:rPr>
        <w:t>填报单位：</w:t>
      </w:r>
      <w:r>
        <w:rPr>
          <w:rFonts w:hint="eastAsia" w:ascii="仿宋" w:hAnsi="仿宋" w:eastAsia="仿宋"/>
          <w:color w:val="auto"/>
          <w:lang w:eastAsia="zh-CN"/>
        </w:rPr>
        <w:t>鹤城区水利局</w:t>
      </w:r>
    </w:p>
    <w:tbl>
      <w:tblPr>
        <w:tblStyle w:val="8"/>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76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76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17.46万元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18万元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0.77万元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2.3万元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6万元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0.77万元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3526万元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4790.17万元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4082.01万元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103.67万元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121.22万元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86.38万元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48.03万元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20.99万元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27.50万元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11.79万元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12万元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8.35万元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6"/>
          <w:szCs w:val="36"/>
        </w:rPr>
      </w:pPr>
      <w:r>
        <w:rPr>
          <w:rFonts w:hint="eastAsia" w:eastAsia="方正小标宋_GBK"/>
          <w:sz w:val="36"/>
          <w:szCs w:val="36"/>
        </w:rPr>
        <w:t>怀化市鹤城区水利局2019年度</w:t>
      </w:r>
      <w:r>
        <w:rPr>
          <w:rFonts w:eastAsia="方正小标宋_GBK"/>
          <w:sz w:val="36"/>
          <w:szCs w:val="36"/>
        </w:rPr>
        <w:t>部门整体支出</w:t>
      </w:r>
    </w:p>
    <w:p>
      <w:pPr>
        <w:spacing w:line="600" w:lineRule="exact"/>
        <w:jc w:val="center"/>
        <w:rPr>
          <w:rFonts w:eastAsia="方正小标宋_GBK"/>
          <w:sz w:val="32"/>
          <w:szCs w:val="32"/>
        </w:rPr>
      </w:pPr>
      <w:r>
        <w:rPr>
          <w:rFonts w:eastAsia="方正小标宋_GBK"/>
          <w:sz w:val="36"/>
          <w:szCs w:val="36"/>
        </w:rPr>
        <w:t>绩效评价报告</w:t>
      </w:r>
    </w:p>
    <w:p>
      <w:pPr>
        <w:spacing w:line="600" w:lineRule="exact"/>
        <w:jc w:val="center"/>
        <w:rPr>
          <w:rFonts w:eastAsia="方正小标宋_GBK"/>
          <w:sz w:val="32"/>
          <w:szCs w:val="32"/>
        </w:rPr>
      </w:pPr>
    </w:p>
    <w:p>
      <w:pPr>
        <w:spacing w:line="600" w:lineRule="exact"/>
        <w:jc w:val="center"/>
        <w:rPr>
          <w:rFonts w:eastAsia="方正小标宋_GBK"/>
          <w:sz w:val="32"/>
          <w:szCs w:val="32"/>
        </w:rPr>
      </w:pP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根据《中华人民共和国预算法》、中共湖南省委办公厅 湖南省人民政府办公厅《关于全面实施预算绩效管理的实施意见》（湘办发[2019]10号）等相关规定，我单位领导高度重视，认真组织，对2019年部门整体支出进行了绩效评价，现将我单位部门整体支出绩效评价情况报告如下： </w:t>
      </w:r>
    </w:p>
    <w:p>
      <w:pPr>
        <w:pStyle w:val="13"/>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单位机构设置:鹤城区水利局是全额财政拨款行政事业单位，作为一般部门预算单位,纳入2020年部门预算编制范围的二级部门预算单位包括：竹林坪水库服务所、板木溪水库服务所、红岩水轮泵站。水利局内设7个职能股室：办公室（人事、财务、党建），水利水电建设站(水利工程质量与运行安全监管站)，水政水资源站（行政审批），水土保持预防站，水旱灾害防御事务中心，移民开发服务中心，河长制工作站。</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2、单位主要工作职责: 贯彻实施国家有关水利、水土保持政策和法律、法规，统一管理全区水资源，拟定全区城乡供水、计划用水、节约用水政策；编制全区城乡供水水源规划，组织、指导全区水利基本建设，承担我区防汛抗旱指挥部的日常工作，负责全区移民工作。部门主要工作任务及目标：</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①组织实施取水许可制度，负责水资源费、水土保持补偿费等规费的征收、使用和管理工作。</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②组织实施全区农田水利基本建设、农村人畜饮水、小型水库除险加固；</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③负责全区城市防洪和舞水河、太平溪城区段的综合治理、管理和维护。</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④承担我区防汛抗旱指挥部的日常工作，组织、协调、监督、指导全区防洪抗旱工作，对主要河流和重要水利工程实施防汛抗旱调度；</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⑤负责全区移民工作，及移民开发项目建设。</w:t>
      </w:r>
    </w:p>
    <w:p>
      <w:pPr>
        <w:numPr>
          <w:ilvl w:val="0"/>
          <w:numId w:val="2"/>
        </w:numPr>
        <w:ind w:firstLine="640" w:firstLineChars="200"/>
        <w:rPr>
          <w:rFonts w:cs="宋体" w:asciiTheme="minorEastAsia" w:hAnsiTheme="minorEastAsia"/>
          <w:sz w:val="32"/>
          <w:szCs w:val="32"/>
        </w:rPr>
      </w:pPr>
      <w:r>
        <w:rPr>
          <w:rFonts w:hint="eastAsia" w:cs="宋体" w:asciiTheme="minorEastAsia" w:hAnsiTheme="minorEastAsia"/>
          <w:sz w:val="32"/>
          <w:szCs w:val="32"/>
        </w:rPr>
        <w:t>水利局编制人员情况：49个编制（行政编7个，2个机关后勤编，5个差额编，35个全额事业编），局机关实有42人（全额37人，差额5人）。离退休人员41人（34人全额编退休、7人自收自支退休）。</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竹林坪水库13个全额事业编制，实有8人；板木溪水库7个编制（1个全额事业编，6个自收自支编），实有5人（1个全额编，4个自收自支编）；红岩泵站42个编制（13个全额事业编、29个自收自支编），实有42人。</w:t>
      </w:r>
    </w:p>
    <w:p>
      <w:pPr>
        <w:ind w:firstLine="640" w:firstLineChars="200"/>
        <w:rPr>
          <w:rFonts w:ascii="仿宋" w:hAnsi="仿宋" w:eastAsia="仿宋" w:cs="宋体"/>
          <w:sz w:val="32"/>
          <w:szCs w:val="32"/>
        </w:rPr>
      </w:pPr>
      <w:r>
        <w:rPr>
          <w:rFonts w:hint="eastAsia" w:cs="宋体" w:asciiTheme="minorEastAsia" w:hAnsiTheme="minorEastAsia"/>
          <w:sz w:val="32"/>
          <w:szCs w:val="32"/>
        </w:rPr>
        <w:t>4、</w:t>
      </w:r>
      <w:r>
        <w:rPr>
          <w:rFonts w:hint="eastAsia" w:ascii="仿宋" w:hAnsi="仿宋" w:eastAsia="仿宋" w:cs="宋体"/>
          <w:sz w:val="32"/>
          <w:szCs w:val="32"/>
        </w:rPr>
        <w:t>绩效总目标</w:t>
      </w:r>
    </w:p>
    <w:p>
      <w:pPr>
        <w:rPr>
          <w:rFonts w:cs="宋体" w:asciiTheme="minorEastAsia" w:hAnsiTheme="minorEastAsia"/>
          <w:sz w:val="32"/>
          <w:szCs w:val="32"/>
        </w:rPr>
      </w:pPr>
      <w:r>
        <w:rPr>
          <w:rFonts w:hint="eastAsia" w:ascii="仿宋" w:hAnsi="仿宋" w:eastAsia="仿宋" w:cs="宋体"/>
          <w:sz w:val="32"/>
          <w:szCs w:val="32"/>
        </w:rPr>
        <w:t xml:space="preserve">     保民生、保稳定、保障局机关的正常运转。保障水利工程建设项目的顺利实施，及防汛抗旱、移民开发、河长制、精准扶贫等中心工作的顺利开展。</w:t>
      </w:r>
    </w:p>
    <w:p>
      <w:pPr>
        <w:pStyle w:val="13"/>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3"/>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3"/>
        <w:widowControl/>
        <w:spacing w:line="600" w:lineRule="exact"/>
        <w:ind w:firstLine="640"/>
        <w:rPr>
          <w:rFonts w:ascii="Times New Roman" w:hAnsi="Times New Roman" w:eastAsia="黑体"/>
          <w:sz w:val="32"/>
          <w:szCs w:val="32"/>
        </w:rPr>
      </w:pPr>
      <w:r>
        <w:rPr>
          <w:rFonts w:hint="eastAsia" w:ascii="仿宋" w:hAnsi="仿宋" w:eastAsia="仿宋" w:cs="宋体"/>
          <w:sz w:val="32"/>
          <w:szCs w:val="32"/>
        </w:rPr>
        <w:t>2019年年初预算数为877.9万元，2019年度财政决算基本支出781.31万元，其中：人员经费694.93万元，占基本支出的88.94%,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86.38万元，占基本支出的11.06%。</w:t>
      </w:r>
    </w:p>
    <w:p>
      <w:pPr>
        <w:pStyle w:val="13"/>
        <w:widowControl/>
        <w:spacing w:line="600" w:lineRule="exact"/>
        <w:ind w:left="640" w:firstLine="0" w:firstLineChars="0"/>
        <w:rPr>
          <w:rFonts w:ascii="仿宋" w:hAnsi="仿宋" w:eastAsia="仿宋" w:cs="宋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tabs>
          <w:tab w:val="left" w:pos="433"/>
          <w:tab w:val="left" w:pos="673"/>
          <w:tab w:val="left" w:pos="1078"/>
        </w:tabs>
        <w:ind w:firstLine="640" w:firstLineChars="200"/>
        <w:rPr>
          <w:rFonts w:ascii="仿宋" w:hAnsi="仿宋" w:eastAsia="仿宋" w:cs="宋体"/>
          <w:sz w:val="32"/>
          <w:szCs w:val="32"/>
        </w:rPr>
      </w:pPr>
      <w:r>
        <w:rPr>
          <w:rFonts w:hint="eastAsia" w:ascii="仿宋" w:hAnsi="仿宋" w:eastAsia="仿宋" w:cs="宋体"/>
          <w:sz w:val="32"/>
          <w:szCs w:val="32"/>
        </w:rPr>
        <w:t>2019年年初预算数为4790.17万元，是指单位为完成特定行政工作任务或事业发展目标而发生的支出，包括专项业务费用类170万元，基本建设类4607.9万元，对个人和家庭补助类12.28万元。2019年度财政决算项目支出4082.01万元，主要用防汛抗旱、精准扶贫、农村安全饮水、高效节水灌溉项目、中小河流治理项目。</w:t>
      </w:r>
    </w:p>
    <w:p>
      <w:pPr>
        <w:widowControl/>
        <w:numPr>
          <w:ilvl w:val="0"/>
          <w:numId w:val="3"/>
        </w:numPr>
        <w:spacing w:line="600" w:lineRule="exact"/>
        <w:ind w:firstLine="640" w:firstLineChars="200"/>
        <w:jc w:val="left"/>
        <w:rPr>
          <w:rFonts w:ascii="仿宋" w:hAnsi="仿宋" w:eastAsia="仿宋" w:cs="宋体"/>
          <w:sz w:val="32"/>
          <w:szCs w:val="32"/>
        </w:rPr>
      </w:pPr>
      <w:r>
        <w:rPr>
          <w:rFonts w:hint="eastAsia" w:ascii="仿宋" w:hAnsi="仿宋" w:eastAsia="仿宋" w:cs="宋体"/>
          <w:sz w:val="32"/>
          <w:szCs w:val="32"/>
        </w:rPr>
        <w:t>中小河流治理项目，根据《湖南省财政厅关于提前下达2019年第一批中央水利发展资金的通知》（湘财农指〔2018〕177号）和《湖南省财政厅关于下达2019年第二批省级新增水利预算资金的通知》（湘财农指〔2019〕80号）通知，2019年度鹤城区获得中央财政水利发展资金817万元，省级资金150万元；根据文件要求，鹤城区将资金主要用于中小河流治理工程项目。</w:t>
      </w:r>
    </w:p>
    <w:p>
      <w:pPr>
        <w:ind w:firstLine="640"/>
        <w:rPr>
          <w:rFonts w:ascii="宋体" w:hAnsi="宋体" w:cs="宋体"/>
          <w:sz w:val="32"/>
          <w:szCs w:val="32"/>
        </w:rPr>
      </w:pPr>
      <w:r>
        <w:rPr>
          <w:rFonts w:hint="eastAsia" w:ascii="仿宋" w:hAnsi="仿宋" w:eastAsia="仿宋" w:cs="宋体"/>
          <w:sz w:val="32"/>
          <w:szCs w:val="32"/>
        </w:rPr>
        <w:t>在项目资金管理和使用过程中严格按照项目批复、实施计划、资金的性质和要求实施。资金拨付基本及时到位，并严格按照独立账户专人管理，使用合理规范，资金拨付严格按合同规定执行，未出现超前支付和滞留、截留资金，符合专项资金管理办法的规定，严格按照计划完成了投资和建设任务。</w:t>
      </w:r>
      <w:r>
        <w:rPr>
          <w:rFonts w:hint="eastAsia"/>
          <w:sz w:val="32"/>
          <w:szCs w:val="32"/>
        </w:rPr>
        <w:t>项目施工完成后及时进行了完工验收，实际完成中小河流治理3.8公里，工程验收达到合格标准。</w:t>
      </w:r>
      <w:r>
        <w:rPr>
          <w:rFonts w:hint="eastAsia" w:ascii="宋体" w:hAnsi="宋体" w:cs="宋体"/>
          <w:sz w:val="32"/>
          <w:szCs w:val="32"/>
        </w:rPr>
        <w:t>我区</w:t>
      </w:r>
      <w:r>
        <w:rPr>
          <w:sz w:val="32"/>
          <w:szCs w:val="32"/>
        </w:rPr>
        <w:t>201</w:t>
      </w:r>
      <w:r>
        <w:rPr>
          <w:rFonts w:hint="eastAsia"/>
          <w:sz w:val="32"/>
          <w:szCs w:val="32"/>
        </w:rPr>
        <w:t>9</w:t>
      </w:r>
      <w:r>
        <w:rPr>
          <w:rFonts w:hint="eastAsia" w:ascii="宋体" w:hAnsi="宋体" w:cs="宋体"/>
          <w:sz w:val="32"/>
          <w:szCs w:val="32"/>
        </w:rPr>
        <w:t>年太平溪流域中小河流治理项目总价均控制在批复合同总价成本内。</w:t>
      </w:r>
    </w:p>
    <w:p>
      <w:pPr>
        <w:widowControl/>
        <w:numPr>
          <w:ilvl w:val="0"/>
          <w:numId w:val="3"/>
        </w:numPr>
        <w:spacing w:line="600" w:lineRule="exact"/>
        <w:ind w:firstLine="640" w:firstLineChars="200"/>
        <w:jc w:val="left"/>
        <w:rPr>
          <w:rFonts w:ascii="仿宋" w:hAnsi="仿宋" w:eastAsia="仿宋" w:cs="宋体"/>
          <w:sz w:val="32"/>
          <w:szCs w:val="32"/>
        </w:rPr>
      </w:pPr>
      <w:r>
        <w:rPr>
          <w:rFonts w:hint="eastAsia" w:ascii="仿宋" w:hAnsi="仿宋" w:eastAsia="仿宋" w:cs="宋体"/>
          <w:sz w:val="32"/>
          <w:szCs w:val="32"/>
        </w:rPr>
        <w:t>山洪灾害防治：根据《湖南省财政厅关于提前下达2019年第一批中央水利发展资金的通知（湘财农指〔2018〕177号）》文件，2019年防汛专项资金下发鹤城防汛金额为10万元。我局防汛抗旱项目资金在拨付、分配、使用等方面手续齐全、符合财务规定，我单位（怀化市鹤城区防汛抗旱指挥部办公室）根据相关文件要求和防汛抗旱工作实际需要，将资金用于我区防汛物资采购。于2019年5月5日和5月13日分三次从由鹤城区防汛抗旱指挥部办公室向经济开发区悦翔塑料经营部实施采购，合同总金额13.96万元。相关防汛抗旱物资已全部入库，从根本上解决了鹤城区防汛抗旱物资短缺的问题，随着鹤城区经济发展、人口增加，鹤城区山洪灾害防治的范围与人数也比过去几年有所增加，达到5万人左右。</w:t>
      </w:r>
    </w:p>
    <w:p>
      <w:pPr>
        <w:widowControl/>
        <w:numPr>
          <w:ilvl w:val="0"/>
          <w:numId w:val="3"/>
        </w:numPr>
        <w:spacing w:line="600" w:lineRule="exact"/>
        <w:ind w:firstLine="640" w:firstLineChars="200"/>
        <w:jc w:val="left"/>
        <w:rPr>
          <w:rFonts w:eastAsia="仿宋_GB2312"/>
          <w:sz w:val="32"/>
          <w:szCs w:val="32"/>
        </w:rPr>
      </w:pPr>
      <w:r>
        <w:rPr>
          <w:rFonts w:hint="eastAsia" w:ascii="仿宋" w:hAnsi="仿宋" w:eastAsia="仿宋" w:cs="宋体"/>
          <w:sz w:val="32"/>
          <w:szCs w:val="32"/>
        </w:rPr>
        <w:t>红岩灌区左干渠节水改造项目：项目方案经市水利局批复，总体投资994.02万元，下达2019年度批复总投资500万元，计划红岩灌区左干渠防渗改造4km，隧洞、渡槽、倒虹吸改建等。新增恢复灌溉面积0.15万亩，改善灌溉面积0.6万亩，工程施工划分一个施工标段，通过公开招投标（电子招标）选取施工单位。工程于2019年8月开工，2019年6月完工及验收，项目实施按照相关规范标准要求，达到预期的目标。</w:t>
      </w:r>
    </w:p>
    <w:p>
      <w:pPr>
        <w:pStyle w:val="13"/>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4"/>
        <w:rPr>
          <w:rFonts w:ascii="Times New Roman" w:hAnsi="Times New Roman"/>
          <w:sz w:val="32"/>
          <w:szCs w:val="32"/>
        </w:rPr>
      </w:pPr>
      <w:r>
        <w:rPr>
          <w:rFonts w:hint="eastAsia" w:ascii="仿宋" w:hAnsi="仿宋" w:eastAsia="仿宋" w:cs="宋体"/>
          <w:color w:val="auto"/>
          <w:kern w:val="2"/>
          <w:sz w:val="32"/>
          <w:szCs w:val="32"/>
        </w:rPr>
        <w:t xml:space="preserve">    本单位无政府性基金预算支出。</w:t>
      </w:r>
    </w:p>
    <w:p>
      <w:pPr>
        <w:pStyle w:val="13"/>
        <w:widowControl/>
        <w:numPr>
          <w:ilvl w:val="0"/>
          <w:numId w:val="4"/>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14"/>
        <w:ind w:firstLine="640" w:firstLineChars="200"/>
        <w:rPr>
          <w:rFonts w:ascii="Times New Roman" w:hAnsi="Times New Roman"/>
          <w:sz w:val="32"/>
          <w:szCs w:val="32"/>
        </w:rPr>
      </w:pPr>
      <w:r>
        <w:rPr>
          <w:rFonts w:hint="eastAsia" w:ascii="仿宋" w:hAnsi="仿宋" w:eastAsia="仿宋" w:cs="宋体"/>
          <w:color w:val="auto"/>
          <w:kern w:val="2"/>
          <w:sz w:val="32"/>
          <w:szCs w:val="32"/>
        </w:rPr>
        <w:t>本单位无国有资本经营预算支出。</w:t>
      </w:r>
    </w:p>
    <w:p>
      <w:pPr>
        <w:pStyle w:val="13"/>
        <w:widowControl/>
        <w:numPr>
          <w:ilvl w:val="0"/>
          <w:numId w:val="4"/>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3"/>
        <w:widowControl/>
        <w:spacing w:line="600" w:lineRule="exact"/>
        <w:ind w:firstLine="640"/>
        <w:jc w:val="left"/>
        <w:rPr>
          <w:rFonts w:ascii="Times New Roman" w:hAnsi="Times New Roman" w:eastAsia="黑体"/>
          <w:sz w:val="32"/>
          <w:szCs w:val="32"/>
        </w:rPr>
      </w:pPr>
      <w:r>
        <w:rPr>
          <w:rFonts w:hint="eastAsia" w:ascii="仿宋" w:hAnsi="仿宋" w:eastAsia="仿宋" w:cs="宋体"/>
          <w:sz w:val="32"/>
          <w:szCs w:val="32"/>
        </w:rPr>
        <w:t>本单位无保险基金预算支出。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（一）部门基本支出和项目支出绩效目标完成情况</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2019年预算总收入5668.07万元，决算总支出 4863.32万元，其中：基本支出</w:t>
      </w:r>
      <w:r>
        <w:rPr>
          <w:rFonts w:hint="eastAsia" w:asciiTheme="minorEastAsia" w:hAnsiTheme="minorEastAsia" w:eastAsiaTheme="minorEastAsia"/>
          <w:sz w:val="32"/>
          <w:szCs w:val="32"/>
        </w:rPr>
        <w:t>781.31万元</w:t>
      </w:r>
      <w:r>
        <w:rPr>
          <w:rFonts w:hint="eastAsia" w:eastAsia="仿宋_GB2312"/>
          <w:color w:val="000000"/>
          <w:sz w:val="32"/>
          <w:szCs w:val="32"/>
        </w:rPr>
        <w:t>，项目支出4082.01万元。全年基本实现收支平衡。也按照上级的要求，在网站上进行了预决算公开。</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1、基本支出781.31万元，其中：工资福利支出661.67万元；商品服务支出86.38万元；对个人和家庭的补助33.26万元。基本支出围绕局中心工作，合理调度资金，保证局机关正常运转，干部职工工资福利也基本得到了保障。</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2、项目支出4082.01万元，其中：其他城乡社区公共设施支出750万元；农林水支出3332.01万元。项目支出为扶贫、防汛、河长制、移民开发、水利工程建设等局重点工作提供了有力支撑。</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(二）社会效益和社会公众满意度情况履职效益。</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2019年，我局在区委、区政府的正确领导下，各项工作有序推进，紧紧咬住全年目标任务不放松，取得了较好的成绩。</w:t>
      </w:r>
    </w:p>
    <w:p>
      <w:pPr>
        <w:widowControl/>
        <w:spacing w:line="600" w:lineRule="exact"/>
        <w:ind w:firstLine="640" w:firstLineChars="200"/>
        <w:jc w:val="left"/>
        <w:rPr>
          <w:rFonts w:eastAsia="仿宋_GB2312"/>
          <w:color w:val="000000"/>
          <w:sz w:val="32"/>
          <w:szCs w:val="32"/>
        </w:rPr>
      </w:pPr>
      <w:r>
        <w:rPr>
          <w:rFonts w:hint="eastAsia" w:eastAsia="仿宋_GB2312"/>
          <w:color w:val="000000"/>
          <w:sz w:val="32"/>
          <w:szCs w:val="32"/>
        </w:rPr>
        <w:t>一是抓好基层党建工作。扎实开展了“不忘初心、牢记使命”主题教育，积极配合区委专项整治组开展了整治工作。强化意识形态管控工作，在市级以上媒体共发表宣传文章50篇，为水利工作发展营造良好的舆论环境和社会氛围；二是抓好防汛抗旱工作。通过全区各部门的共同努力，不发生一死一伤，不垮一库一坝，最大限度减轻了灾害损失，取得了防汛抗旱工作的全面胜利；三是抓好“河长制”工作。2019年为河长制工作由“有名”向“有实”转变的关键一年，重点完成了太平溪流域专项整治工作，同时对朱溪和其余区级河流开展河流整治、沿河绿化、河流保洁等日常工作，实现全域水生态环境质量明显提高。在2018年河长制工作获得全市第一的基础上，2019年6月代表怀化市迎接水利部、生态环境部河长制总结评估，以满分成绩顺利通过验收。建成全省首个河道文化科普示范基地，人民网、学习强国、中国水利报等国家级媒体先后进行报道；四是抓好水利项目建设工作。农村饮水安全巩固提升两个乡镇6个行政村共1630人的饮水安全，总投入约354万元。中小河流治理项目坨院溪九丰段综合治理一期工程，总投入约1902万，革命溪山下花海段综合治理工程项目，总投入约1036万，“四水治理”城南岸坡整治项目1公里，总投入约808万元，项目正在有序推进中。红岩灌区节水改造项目总投入约994.02万元，改善灌溉面积1.2万亩，项目正在有序推进中；五是抓好水资源管理工作。完成6条河流的河道划界工作，对辖区内30个取用水户实施依法监管，完成全区600多处取水工程摸底调查，321处取水工程的勘测，完成水资源论证报告，成功通过水利部和省市检查验收；六是抓好水事案件查处工作。依法开展水土保持执法检查，共下达限期办理水土保持方案审批通知12份，办理水保审批15个项目,下达停止违法行为通知2份，限期整改通知4份。狠抓涉黑涉恶和行业乱象突出问题整治，依法依规进行查办查处，已完成潭口水库4处涉水违建别墅的拆除和整治；七是扎实开展水利脱贫攻坚。始终坚持把脱贫攻坚工作作为最大的政治任务和民生工程来抓，全力以赴抓推进、抓落实，群众满意率达到96%，取得了很好的社会效益。</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三）资产管理：根据《怀化市鹤城区行政、企事业单位国有资产清查工作的通知》，组织局机关及局属各部门进行全面的资产清查，并就清查中发现的问题进行全面整改。完善了财务管理制度，确保各项资产核算准确、账实相符、管理到位。</w:t>
      </w:r>
    </w:p>
    <w:p>
      <w:pPr>
        <w:widowControl/>
        <w:spacing w:line="600" w:lineRule="exact"/>
        <w:ind w:firstLine="645"/>
        <w:jc w:val="left"/>
        <w:rPr>
          <w:rFonts w:eastAsia="仿宋_GB2312"/>
          <w:color w:val="000000"/>
          <w:sz w:val="32"/>
          <w:szCs w:val="32"/>
        </w:rPr>
      </w:pPr>
      <w:r>
        <w:rPr>
          <w:rFonts w:hint="eastAsia" w:eastAsia="仿宋_GB2312"/>
          <w:color w:val="000000"/>
          <w:sz w:val="32"/>
          <w:szCs w:val="32"/>
        </w:rPr>
        <w:t>内部管理制度建设情况：近年来，我局制定、完善了《财务管理制度》、《内控管理制度》等一系列内部制度。</w:t>
      </w:r>
    </w:p>
    <w:p>
      <w:pPr>
        <w:widowControl/>
        <w:numPr>
          <w:ilvl w:val="0"/>
          <w:numId w:val="5"/>
        </w:numPr>
        <w:spacing w:line="600" w:lineRule="exact"/>
        <w:ind w:firstLine="645"/>
        <w:jc w:val="left"/>
        <w:rPr>
          <w:rFonts w:eastAsia="仿宋_GB2312"/>
          <w:color w:val="000000"/>
          <w:sz w:val="32"/>
          <w:szCs w:val="32"/>
        </w:rPr>
      </w:pPr>
      <w:r>
        <w:rPr>
          <w:rFonts w:hint="eastAsia" w:eastAsia="仿宋_GB2312"/>
          <w:color w:val="000000"/>
          <w:sz w:val="32"/>
          <w:szCs w:val="32"/>
        </w:rPr>
        <w:t>部门整体支出情况分析：从整体情况来看，我局严格按照年初预算进行部门整体支出。在支出过程中，能严格遵守各项规章制度，所有项目都详细制定了方案，严格按方案组织实施，并加强了监督。尤其是在专项经费支出上，我们能专款专用，按项目实施计划的进度情况进行资金拨付，无截留、无挪用等现象。实行了先有预算、后有执行、“用钱必问效、无效必问责”的新常态。</w:t>
      </w:r>
    </w:p>
    <w:p>
      <w:pPr>
        <w:widowControl/>
        <w:numPr>
          <w:ilvl w:val="0"/>
          <w:numId w:val="5"/>
        </w:numPr>
        <w:spacing w:line="600" w:lineRule="exact"/>
        <w:ind w:firstLine="645"/>
        <w:jc w:val="left"/>
        <w:rPr>
          <w:rFonts w:eastAsia="仿宋_GB2312"/>
          <w:color w:val="FF0000"/>
          <w:sz w:val="32"/>
          <w:szCs w:val="32"/>
        </w:rPr>
      </w:pPr>
      <w:r>
        <w:rPr>
          <w:rFonts w:hint="eastAsia" w:eastAsia="仿宋_GB2312"/>
          <w:color w:val="000000"/>
          <w:sz w:val="32"/>
          <w:szCs w:val="32"/>
        </w:rPr>
        <w:t>绩效评价工作情况：此次绩效评价的目的是严格落实《预算法》及区绩效管理工作的有关规定，进一步规范财政资金的管理，强化财政支出绩效理念，提升部门责任意识，提高资金使用效益，促进局各项工作全面开展。根据绩效评价的要求，我们对照自评方案进行研究和布署，党组成员、局属各部门及机关各股室全程参与，按照自评方案的要求，对照各实施项目的内容逐条逐项自评。在自评过程发现问题，查找原因，及时纠正偏差，为下一步工作夯实基础。2019年，</w:t>
      </w:r>
      <w:r>
        <w:rPr>
          <w:rFonts w:hint="eastAsia" w:eastAsia="仿宋_GB2312"/>
          <w:color w:val="auto"/>
          <w:sz w:val="32"/>
          <w:szCs w:val="32"/>
        </w:rPr>
        <w:t>我单位部门整体支出绩效评份自评为</w:t>
      </w:r>
      <w:r>
        <w:rPr>
          <w:rFonts w:hint="eastAsia" w:eastAsia="仿宋_GB2312"/>
          <w:color w:val="auto"/>
          <w:sz w:val="32"/>
          <w:szCs w:val="32"/>
          <w:lang w:val="en-US" w:eastAsia="zh-CN"/>
        </w:rPr>
        <w:t>94</w:t>
      </w:r>
      <w:r>
        <w:rPr>
          <w:rFonts w:hint="eastAsia" w:eastAsia="仿宋_GB2312"/>
          <w:color w:val="auto"/>
          <w:sz w:val="32"/>
          <w:szCs w:val="32"/>
        </w:rPr>
        <w:t>分。</w:t>
      </w:r>
    </w:p>
    <w:p>
      <w:pPr>
        <w:pStyle w:val="13"/>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rPr>
        <w:t>2019年按照年初计划目标，基本未偏离绩效目标。因一些项目跨年度，地方配套资金难以到位，建设项目负债较多，导致设计效益与实际效益有些出入，影响了水利工程建设。一是影响个别水库除险加固后续扫尾，延误整体改造进程；二是长期拖欠施工单位的工程款得不到保障，连锁影响施工单位无法支付农民工工资，导致施工单位和农民工多次上访,潜在社会不稳定因素；三是施工队伍对参与今后水利工程积极性不高，影响后续水库除险加固提质改造和其他水利工程建设项目；四是连锁影响扶贫工作巩固提升及贫困人口增产增收。</w:t>
      </w:r>
    </w:p>
    <w:p>
      <w:pPr>
        <w:widowControl/>
        <w:numPr>
          <w:ilvl w:val="0"/>
          <w:numId w:val="6"/>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0" w:firstLineChars="200"/>
        <w:jc w:val="left"/>
        <w:rPr>
          <w:rFonts w:eastAsia="仿宋_GB2312"/>
          <w:sz w:val="32"/>
          <w:szCs w:val="32"/>
        </w:rPr>
      </w:pPr>
      <w:r>
        <w:rPr>
          <w:rFonts w:hint="eastAsia" w:eastAsia="仿宋_GB2312"/>
          <w:sz w:val="32"/>
          <w:szCs w:val="32"/>
        </w:rPr>
        <w:t>通过绩效自评工作可以更清晰的分析项目实施过程中出现的问题和不足，及时总结原因和制定整改措施。</w:t>
      </w:r>
    </w:p>
    <w:p>
      <w:pPr>
        <w:widowControl/>
        <w:spacing w:line="600" w:lineRule="exact"/>
        <w:ind w:firstLine="640" w:firstLineChars="200"/>
        <w:jc w:val="left"/>
        <w:rPr>
          <w:rFonts w:eastAsia="仿宋_GB2312"/>
          <w:sz w:val="32"/>
          <w:szCs w:val="32"/>
        </w:rPr>
      </w:pPr>
      <w:r>
        <w:rPr>
          <w:rFonts w:hint="eastAsia" w:eastAsia="仿宋_GB2312"/>
          <w:sz w:val="32"/>
          <w:szCs w:val="32"/>
        </w:rPr>
        <w:t>1、加强制度建设，创新体制机制。制度的健全能促使我局在资金使用上坚持按制度办事，严格审批程序，控制预算支出，做到量入为出，各项费用支出能得到有效的控制。按照国家财经制度及各类水利资金的使用管理办法的要求，我局将不断修订和完善各类资金管理制度，从制度上规范水利建设资金、行政运行经费的管理和使用。</w:t>
      </w:r>
    </w:p>
    <w:p>
      <w:pPr>
        <w:widowControl/>
        <w:spacing w:line="600" w:lineRule="exact"/>
        <w:ind w:firstLine="640" w:firstLineChars="200"/>
        <w:jc w:val="left"/>
        <w:rPr>
          <w:rFonts w:eastAsia="仿宋_GB2312"/>
          <w:sz w:val="32"/>
          <w:szCs w:val="32"/>
        </w:rPr>
      </w:pPr>
      <w:r>
        <w:rPr>
          <w:rFonts w:hint="eastAsia" w:eastAsia="仿宋_GB2312"/>
          <w:sz w:val="32"/>
          <w:szCs w:val="32"/>
        </w:rPr>
        <w:t>2、加强资金监管，提高资金效益。认真贯彻落实中央、省、市关于大力开展厉行节约、压缩“三公经费”、严格控制行政成本的工作要求。</w:t>
      </w:r>
    </w:p>
    <w:p>
      <w:pPr>
        <w:widowControl/>
        <w:spacing w:line="600" w:lineRule="exact"/>
        <w:ind w:firstLine="640" w:firstLineChars="200"/>
        <w:jc w:val="left"/>
        <w:rPr>
          <w:rFonts w:eastAsia="黑体"/>
          <w:sz w:val="32"/>
          <w:szCs w:val="32"/>
        </w:rPr>
      </w:pPr>
      <w:r>
        <w:rPr>
          <w:rFonts w:hint="eastAsia" w:eastAsia="仿宋_GB2312"/>
          <w:sz w:val="32"/>
          <w:szCs w:val="32"/>
        </w:rPr>
        <w:t>3、严格执行预算，有预算才能有支出。加强政府采购管理，有预算才能有采购。日常采购由使用部门、财务、纪检组成三人询价小组，按正常的采购程序进行。</w:t>
      </w:r>
    </w:p>
    <w:p>
      <w:pPr>
        <w:widowControl/>
        <w:spacing w:line="600" w:lineRule="exact"/>
        <w:ind w:firstLine="645"/>
        <w:jc w:val="left"/>
        <w:rPr>
          <w:rFonts w:eastAsia="仿宋_GB2312"/>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hint="eastAsia" w:eastAsia="仿宋_GB2312"/>
          <w:sz w:val="32"/>
          <w:szCs w:val="32"/>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8"/>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3"/>
              <w:numPr>
                <w:ilvl w:val="0"/>
                <w:numId w:val="7"/>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3"/>
              <w:numPr>
                <w:ilvl w:val="0"/>
                <w:numId w:val="7"/>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3"/>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3"/>
              <w:numPr>
                <w:ilvl w:val="0"/>
                <w:numId w:val="9"/>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3"/>
              <w:numPr>
                <w:ilvl w:val="0"/>
                <w:numId w:val="10"/>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79" w:type="dxa"/>
            <w:gridSpan w:val="5"/>
            <w:shd w:val="clear" w:color="auto" w:fill="auto"/>
            <w:vAlign w:val="center"/>
          </w:tcPr>
          <w:p>
            <w:pPr>
              <w:spacing w:line="260" w:lineRule="exact"/>
              <w:ind w:left="105" w:leftChars="50" w:right="105" w:rightChars="50"/>
              <w:jc w:val="center"/>
              <w:rPr>
                <w:rFonts w:hint="eastAsia" w:ascii="仿宋_GB2312" w:eastAsia="仿宋_GB2312"/>
                <w:color w:val="FF0000"/>
                <w:szCs w:val="21"/>
              </w:rPr>
            </w:pPr>
            <w:r>
              <w:rPr>
                <w:rFonts w:hint="eastAsia" w:ascii="仿宋_GB2312" w:eastAsia="仿宋_GB2312"/>
                <w:color w:val="auto"/>
                <w:szCs w:val="21"/>
              </w:rPr>
              <w:t>总分</w:t>
            </w:r>
          </w:p>
        </w:tc>
        <w:tc>
          <w:tcPr>
            <w:tcW w:w="954" w:type="dxa"/>
            <w:vAlign w:val="center"/>
          </w:tcPr>
          <w:p>
            <w:pPr>
              <w:spacing w:line="260" w:lineRule="exact"/>
              <w:ind w:left="105" w:leftChars="50" w:right="105" w:rightChars="50"/>
              <w:jc w:val="center"/>
              <w:rPr>
                <w:rFonts w:hint="default" w:ascii="仿宋_GB2312" w:eastAsia="仿宋_GB2312"/>
                <w:color w:val="FF0000"/>
                <w:szCs w:val="21"/>
                <w:lang w:val="en-US" w:eastAsia="zh-CN"/>
              </w:rPr>
            </w:pPr>
            <w:r>
              <w:rPr>
                <w:rFonts w:hint="eastAsia" w:ascii="仿宋_GB2312" w:eastAsia="仿宋_GB2312"/>
                <w:color w:val="auto"/>
                <w:szCs w:val="21"/>
                <w:lang w:val="en-US" w:eastAsia="zh-CN"/>
              </w:rPr>
              <w:t>91</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8"/>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防汛、扶贫、山洪灾害防治工作经费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鹤城区水利局</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184.84</w:t>
            </w:r>
          </w:p>
        </w:tc>
        <w:tc>
          <w:tcPr>
            <w:tcW w:w="113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184.84</w:t>
            </w:r>
          </w:p>
        </w:tc>
        <w:tc>
          <w:tcPr>
            <w:tcW w:w="113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184.84</w:t>
            </w:r>
          </w:p>
        </w:tc>
        <w:tc>
          <w:tcPr>
            <w:tcW w:w="82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3280" w:hRule="atLeast"/>
          <w:jc w:val="center"/>
        </w:trPr>
        <w:tc>
          <w:tcPr>
            <w:tcW w:w="1135" w:type="dxa"/>
            <w:vMerge w:val="continue"/>
            <w:tcBorders>
              <w:top w:val="nil"/>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保障全年防汛抗旱工作顺利进行，防汛预案编制，汛期防汛值班值守，防汛物资储备，应急处险，防汛演练和培训。2、保障山洪灾害防御预警系统正常运行；保障与各乡镇预警系统的联接，实现信息共享；及时进行雨量监测。3、农村饮水安全关系到人民生命健康安全的一项重要大事，是全面迈进小康社会的基础条件。</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基本达到预期目标，1、保障全年防汛抗旱工作顺利进行，防汛预案编制，汛期防汛值班值守，防汛物资储备，应急处险，防汛演练和培训。2、保障山洪灾害防御预警系统正常运行；保障与各乡镇预警系统的联接，实现信息共享；及时进行雨量监测。3、扎实开展水利脱贫攻坚。始终坚持把脱贫攻坚工作作为最大的政治任务和民生工程来抓，全力以赴抓推进、抓落实，群众满意率达到96%，取得了很好的社会效益。</w:t>
            </w:r>
          </w:p>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700"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1、保障全年防汛抗旱工作。2、保障山洪灾害防御预警系统运行。</w:t>
            </w:r>
          </w:p>
        </w:tc>
        <w:tc>
          <w:tcPr>
            <w:tcW w:w="113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1、编制预案40座；补充防汛物资一批；开展防汛演练和培训4次。2、确保预警监测系统的正常运行.</w:t>
            </w:r>
            <w:r>
              <w:rPr>
                <w:rFonts w:eastAsia="仿宋_GB2312"/>
                <w:color w:val="000000"/>
                <w:kern w:val="0"/>
                <w:szCs w:val="21"/>
              </w:rPr>
              <w:t xml:space="preserve"> </w:t>
            </w:r>
          </w:p>
        </w:tc>
        <w:tc>
          <w:tcPr>
            <w:tcW w:w="113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1、编制预案44座；补充防汛物资一批；开展防汛演练和培训8次。2、预警监测系统的正常运行。</w:t>
            </w:r>
          </w:p>
        </w:tc>
        <w:tc>
          <w:tcPr>
            <w:tcW w:w="828" w:type="dxa"/>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15</w:t>
            </w:r>
          </w:p>
          <w:p>
            <w:pPr>
              <w:widowControl/>
              <w:spacing w:line="320" w:lineRule="exact"/>
              <w:jc w:val="center"/>
              <w:rPr>
                <w:rFonts w:eastAsia="仿宋_GB2312"/>
                <w:color w:val="000000"/>
                <w:kern w:val="0"/>
                <w:szCs w:val="21"/>
              </w:rPr>
            </w:pPr>
          </w:p>
        </w:tc>
        <w:tc>
          <w:tcPr>
            <w:tcW w:w="873" w:type="dxa"/>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15</w:t>
            </w:r>
          </w:p>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700"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合格率100%</w:t>
            </w:r>
          </w:p>
        </w:tc>
        <w:tc>
          <w:tcPr>
            <w:tcW w:w="1134" w:type="dxa"/>
            <w:tcBorders>
              <w:top w:val="single" w:color="auto" w:sz="4" w:space="0"/>
              <w:left w:val="nil"/>
              <w:right w:val="single" w:color="auto" w:sz="4" w:space="0"/>
            </w:tcBorders>
            <w:noWrap/>
            <w:vAlign w:val="bottom"/>
          </w:tcPr>
          <w:p>
            <w:pPr>
              <w:widowControl/>
              <w:spacing w:line="320" w:lineRule="exact"/>
              <w:rPr>
                <w:rFonts w:eastAsia="仿宋_GB2312"/>
                <w:color w:val="000000"/>
                <w:kern w:val="0"/>
                <w:szCs w:val="21"/>
              </w:rPr>
            </w:pPr>
          </w:p>
          <w:p>
            <w:pPr>
              <w:widowControl/>
              <w:spacing w:line="320" w:lineRule="exac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00"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完成及时率100%</w:t>
            </w:r>
          </w:p>
        </w:tc>
        <w:tc>
          <w:tcPr>
            <w:tcW w:w="1134" w:type="dxa"/>
            <w:tcBorders>
              <w:top w:val="single" w:color="auto" w:sz="4" w:space="0"/>
              <w:left w:val="nil"/>
              <w:right w:val="single" w:color="auto" w:sz="4" w:space="0"/>
            </w:tcBorders>
            <w:noWrap/>
            <w:vAlign w:val="bottom"/>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p>
            <w:pPr>
              <w:widowControl/>
              <w:spacing w:line="320" w:lineRule="exact"/>
              <w:rPr>
                <w:rFonts w:eastAsia="仿宋_GB2312"/>
                <w:color w:val="000000"/>
                <w:kern w:val="0"/>
                <w:szCs w:val="21"/>
              </w:rPr>
            </w:pPr>
          </w:p>
        </w:tc>
        <w:tc>
          <w:tcPr>
            <w:tcW w:w="113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right w:val="single" w:color="auto" w:sz="4" w:space="0"/>
            </w:tcBorders>
            <w:noWrap/>
            <w:vAlign w:val="bottom"/>
          </w:tcPr>
          <w:p>
            <w:pPr>
              <w:widowControl/>
              <w:spacing w:line="320" w:lineRule="exac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p>
            <w:pPr>
              <w:widowControl/>
              <w:spacing w:line="320" w:lineRule="exac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95"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184.84万元</w:t>
            </w:r>
          </w:p>
        </w:tc>
        <w:tc>
          <w:tcPr>
            <w:tcW w:w="113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184.84万元</w:t>
            </w:r>
          </w:p>
        </w:tc>
        <w:tc>
          <w:tcPr>
            <w:tcW w:w="113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184.84万元</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vMerge w:val="restart"/>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vMerge w:val="restart"/>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vMerge w:val="restart"/>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vMerge w:val="restart"/>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p>
            <w:pPr>
              <w:widowControl/>
              <w:spacing w:line="320" w:lineRule="exact"/>
              <w:jc w:val="center"/>
              <w:rPr>
                <w:rFonts w:eastAsia="仿宋_GB2312"/>
                <w:color w:val="000000"/>
                <w:kern w:val="0"/>
                <w:szCs w:val="21"/>
              </w:rPr>
            </w:pPr>
          </w:p>
        </w:tc>
        <w:tc>
          <w:tcPr>
            <w:tcW w:w="873" w:type="dxa"/>
            <w:vMerge w:val="restart"/>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122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28" w:type="dxa"/>
            <w:vMerge w:val="continue"/>
            <w:tcBorders>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873" w:type="dxa"/>
            <w:vMerge w:val="continue"/>
            <w:tcBorders>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vMerge w:val="restart"/>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确保群众生命财产安全，提高群众防灾减灾意识</w:t>
            </w:r>
          </w:p>
        </w:tc>
        <w:tc>
          <w:tcPr>
            <w:tcW w:w="1134" w:type="dxa"/>
            <w:vMerge w:val="restart"/>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确保群众生命财产安全，提高群众防灾减灾意识</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vMerge w:val="restart"/>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确保群众生命财产安全，提高群众防灾减灾意识</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vMerge w:val="restart"/>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p>
            <w:pPr>
              <w:widowControl/>
              <w:spacing w:line="320" w:lineRule="exact"/>
              <w:jc w:val="center"/>
              <w:rPr>
                <w:rFonts w:eastAsia="仿宋_GB2312"/>
                <w:color w:val="000000"/>
                <w:kern w:val="0"/>
                <w:szCs w:val="21"/>
              </w:rPr>
            </w:pPr>
          </w:p>
        </w:tc>
        <w:tc>
          <w:tcPr>
            <w:tcW w:w="873" w:type="dxa"/>
            <w:vMerge w:val="restart"/>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122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28" w:type="dxa"/>
            <w:vMerge w:val="continue"/>
            <w:tcBorders>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873" w:type="dxa"/>
            <w:vMerge w:val="continue"/>
            <w:tcBorders>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vMerge w:val="restart"/>
            <w:tcBorders>
              <w:top w:val="single" w:color="auto" w:sz="4" w:space="0"/>
              <w:left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73" w:type="dxa"/>
            <w:vMerge w:val="restart"/>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24"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28" w:type="dxa"/>
            <w:vMerge w:val="continue"/>
            <w:tcBorders>
              <w:left w:val="single" w:color="auto" w:sz="4" w:space="0"/>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873" w:type="dxa"/>
            <w:vMerge w:val="continue"/>
            <w:tcBorders>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保障区域内全年防洪安全</w:t>
            </w:r>
          </w:p>
        </w:tc>
        <w:tc>
          <w:tcPr>
            <w:tcW w:w="1134"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保障区域内全年防洪安全</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保障区域内全年防洪安全</w:t>
            </w:r>
          </w:p>
        </w:tc>
        <w:tc>
          <w:tcPr>
            <w:tcW w:w="828" w:type="dxa"/>
            <w:vMerge w:val="restart"/>
            <w:tcBorders>
              <w:top w:val="single" w:color="auto" w:sz="4" w:space="0"/>
              <w:left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p>
            <w:pPr>
              <w:widowControl/>
              <w:spacing w:line="320" w:lineRule="exact"/>
              <w:jc w:val="center"/>
              <w:rPr>
                <w:rFonts w:eastAsia="仿宋_GB2312"/>
                <w:color w:val="000000"/>
                <w:kern w:val="0"/>
                <w:szCs w:val="21"/>
              </w:rPr>
            </w:pPr>
          </w:p>
        </w:tc>
        <w:tc>
          <w:tcPr>
            <w:tcW w:w="873" w:type="dxa"/>
            <w:vMerge w:val="restart"/>
            <w:tcBorders>
              <w:top w:val="single" w:color="auto" w:sz="4" w:space="0"/>
              <w:left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p>
            <w:pPr>
              <w:widowControl/>
              <w:spacing w:line="320" w:lineRule="exact"/>
              <w:jc w:val="center"/>
              <w:rPr>
                <w:rFonts w:eastAsia="仿宋_GB2312"/>
                <w:color w:val="000000"/>
                <w:kern w:val="0"/>
                <w:szCs w:val="21"/>
              </w:rPr>
            </w:pPr>
          </w:p>
        </w:tc>
        <w:tc>
          <w:tcPr>
            <w:tcW w:w="1418"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24"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28" w:type="dxa"/>
            <w:vMerge w:val="continue"/>
            <w:tcBorders>
              <w:left w:val="single" w:color="auto" w:sz="4" w:space="0"/>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873" w:type="dxa"/>
            <w:vMerge w:val="continue"/>
            <w:tcBorders>
              <w:left w:val="single" w:color="auto" w:sz="4" w:space="0"/>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vMerge w:val="restart"/>
            <w:tcBorders>
              <w:top w:val="nil"/>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项目区群众满意度100%</w:t>
            </w:r>
          </w:p>
        </w:tc>
        <w:tc>
          <w:tcPr>
            <w:tcW w:w="1134" w:type="dxa"/>
            <w:vMerge w:val="restart"/>
            <w:tcBorders>
              <w:top w:val="nil"/>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p>
            <w:pPr>
              <w:widowControl/>
              <w:spacing w:line="320" w:lineRule="exact"/>
              <w:jc w:val="left"/>
              <w:rPr>
                <w:rFonts w:eastAsia="仿宋_GB2312"/>
                <w:color w:val="000000"/>
                <w:kern w:val="0"/>
                <w:szCs w:val="21"/>
              </w:rPr>
            </w:pPr>
          </w:p>
        </w:tc>
        <w:tc>
          <w:tcPr>
            <w:tcW w:w="1134" w:type="dxa"/>
            <w:vMerge w:val="restart"/>
            <w:tcBorders>
              <w:top w:val="nil"/>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vMerge w:val="restart"/>
            <w:tcBorders>
              <w:top w:val="nil"/>
              <w:left w:val="nil"/>
              <w:right w:val="single" w:color="auto" w:sz="4" w:space="0"/>
            </w:tcBorders>
            <w:noWrap/>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vMerge w:val="restart"/>
            <w:tcBorders>
              <w:top w:val="nil"/>
              <w:left w:val="nil"/>
              <w:right w:val="single" w:color="auto" w:sz="4" w:space="0"/>
            </w:tcBorders>
            <w:noWrap/>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2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3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28"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rPr>
          <w:rFonts w:hint="eastAsia"/>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rPr>
          <w:rFonts w:hint="eastAsia"/>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8"/>
        <w:tblW w:w="10000" w:type="dxa"/>
        <w:jc w:val="center"/>
        <w:tblLayout w:type="autofit"/>
        <w:tblCellMar>
          <w:top w:w="0" w:type="dxa"/>
          <w:left w:w="108" w:type="dxa"/>
          <w:bottom w:w="0" w:type="dxa"/>
          <w:right w:w="108" w:type="dxa"/>
        </w:tblCellMar>
      </w:tblPr>
      <w:tblGrid>
        <w:gridCol w:w="1119"/>
        <w:gridCol w:w="987"/>
        <w:gridCol w:w="1249"/>
        <w:gridCol w:w="1219"/>
        <w:gridCol w:w="1161"/>
        <w:gridCol w:w="1161"/>
        <w:gridCol w:w="824"/>
        <w:gridCol w:w="873"/>
        <w:gridCol w:w="1407"/>
      </w:tblGrid>
      <w:tr>
        <w:tblPrEx>
          <w:tblCellMar>
            <w:top w:w="0" w:type="dxa"/>
            <w:left w:w="108" w:type="dxa"/>
            <w:bottom w:w="0" w:type="dxa"/>
            <w:right w:w="108" w:type="dxa"/>
          </w:tblCellMar>
        </w:tblPrEx>
        <w:trPr>
          <w:trHeight w:val="690" w:hRule="atLeast"/>
          <w:jc w:val="center"/>
        </w:trPr>
        <w:tc>
          <w:tcPr>
            <w:tcW w:w="10000"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000"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19" w:type="dxa"/>
            <w:tcBorders>
              <w:top w:val="nil"/>
              <w:left w:val="single" w:color="auto" w:sz="4" w:space="0"/>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81" w:type="dxa"/>
            <w:gridSpan w:val="8"/>
            <w:tcBorders>
              <w:top w:val="single" w:color="auto" w:sz="4" w:space="0"/>
              <w:left w:val="nil"/>
              <w:bottom w:val="single" w:color="auto" w:sz="4" w:space="0"/>
              <w:right w:val="single" w:color="000000"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水利工程建设</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19" w:type="dxa"/>
            <w:tcBorders>
              <w:top w:val="nil"/>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6" w:type="dxa"/>
            <w:gridSpan w:val="4"/>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single" w:color="auto" w:sz="4" w:space="0"/>
              <w:left w:val="nil"/>
              <w:bottom w:val="single" w:color="auto" w:sz="4" w:space="0"/>
              <w:right w:val="single" w:color="000000"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04" w:type="dxa"/>
            <w:gridSpan w:val="3"/>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鹤城区水利局</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36" w:type="dxa"/>
            <w:gridSpan w:val="2"/>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61"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61" w:type="dxa"/>
            <w:tcBorders>
              <w:top w:val="nil"/>
              <w:left w:val="nil"/>
              <w:bottom w:val="single" w:color="auto" w:sz="4" w:space="0"/>
              <w:right w:val="single" w:color="auto" w:sz="4" w:space="0"/>
            </w:tcBorders>
            <w:noWrap/>
          </w:tcPr>
          <w:p>
            <w:pPr>
              <w:spacing w:line="320" w:lineRule="exact"/>
              <w:rPr>
                <w:rFonts w:eastAsia="仿宋_GB2312"/>
                <w:szCs w:val="21"/>
              </w:rPr>
            </w:pPr>
            <w:r>
              <w:rPr>
                <w:rFonts w:eastAsia="仿宋_GB2312"/>
                <w:szCs w:val="21"/>
              </w:rPr>
              <w:t>全年执行数</w:t>
            </w:r>
          </w:p>
        </w:tc>
        <w:tc>
          <w:tcPr>
            <w:tcW w:w="824" w:type="dxa"/>
            <w:tcBorders>
              <w:top w:val="nil"/>
              <w:left w:val="nil"/>
              <w:bottom w:val="single" w:color="auto" w:sz="4" w:space="0"/>
              <w:right w:val="single" w:color="auto" w:sz="4" w:space="0"/>
            </w:tcBorders>
            <w:noWra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tcPr>
          <w:p>
            <w:pPr>
              <w:spacing w:line="320" w:lineRule="exact"/>
              <w:rPr>
                <w:rFonts w:eastAsia="仿宋_GB2312"/>
                <w:szCs w:val="21"/>
              </w:rPr>
            </w:pPr>
            <w:r>
              <w:rPr>
                <w:rFonts w:eastAsia="仿宋_GB2312"/>
                <w:szCs w:val="21"/>
              </w:rPr>
              <w:t>执行率</w:t>
            </w:r>
          </w:p>
        </w:tc>
        <w:tc>
          <w:tcPr>
            <w:tcW w:w="1407" w:type="dxa"/>
            <w:tcBorders>
              <w:top w:val="nil"/>
              <w:left w:val="nil"/>
              <w:bottom w:val="single" w:color="auto" w:sz="4" w:space="0"/>
              <w:right w:val="single" w:color="auto" w:sz="4" w:space="0"/>
            </w:tcBorders>
            <w:noWra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single" w:color="000000"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2236" w:type="dxa"/>
            <w:gridSpan w:val="2"/>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19"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4605.33</w:t>
            </w:r>
          </w:p>
        </w:tc>
        <w:tc>
          <w:tcPr>
            <w:tcW w:w="1161"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4605.33</w:t>
            </w:r>
          </w:p>
        </w:tc>
        <w:tc>
          <w:tcPr>
            <w:tcW w:w="1161"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3897.17</w:t>
            </w:r>
          </w:p>
        </w:tc>
        <w:tc>
          <w:tcPr>
            <w:tcW w:w="82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84.62%</w:t>
            </w:r>
          </w:p>
        </w:tc>
        <w:tc>
          <w:tcPr>
            <w:tcW w:w="1407"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8.5</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single" w:color="000000"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2236" w:type="dxa"/>
            <w:gridSpan w:val="2"/>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19"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07"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single" w:color="000000"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2236" w:type="dxa"/>
            <w:gridSpan w:val="2"/>
            <w:tcBorders>
              <w:top w:val="nil"/>
              <w:left w:val="nil"/>
              <w:bottom w:val="single" w:color="auto" w:sz="4" w:space="0"/>
              <w:right w:val="single" w:color="auto" w:sz="4" w:space="0"/>
            </w:tcBorders>
            <w:noWrap/>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19"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07"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single" w:color="000000"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2236" w:type="dxa"/>
            <w:gridSpan w:val="2"/>
            <w:tcBorders>
              <w:top w:val="nil"/>
              <w:left w:val="nil"/>
              <w:bottom w:val="single" w:color="auto" w:sz="4" w:space="0"/>
              <w:right w:val="single" w:color="auto" w:sz="4" w:space="0"/>
            </w:tcBorders>
            <w:noWrap/>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19"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1"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4"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07"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6" w:type="dxa"/>
            <w:gridSpan w:val="4"/>
            <w:tcBorders>
              <w:top w:val="single" w:color="auto" w:sz="4" w:space="0"/>
              <w:left w:val="nil"/>
              <w:bottom w:val="single" w:color="auto" w:sz="4" w:space="0"/>
              <w:right w:val="single" w:color="000000"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65" w:type="dxa"/>
            <w:gridSpan w:val="4"/>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19" w:type="dxa"/>
            <w:vMerge w:val="continue"/>
            <w:tcBorders>
              <w:top w:val="nil"/>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4616" w:type="dxa"/>
            <w:gridSpan w:val="4"/>
            <w:tcBorders>
              <w:top w:val="single" w:color="auto" w:sz="4" w:space="0"/>
              <w:left w:val="nil"/>
              <w:bottom w:val="single" w:color="auto" w:sz="4" w:space="0"/>
              <w:right w:val="single" w:color="000000"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1、中小河流综合治理3.8公里；2、水库维修养护37座；3、中型灌区红岩泵站左干渠渠道防渗8km； 4、黄金坳镇、凉亭坳乡2个乡镇6个行政村饮用提质改造；5、城南岸坡整治1.0km。</w:t>
            </w:r>
          </w:p>
        </w:tc>
        <w:tc>
          <w:tcPr>
            <w:tcW w:w="4265" w:type="dxa"/>
            <w:gridSpan w:val="4"/>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1、完成中小河流综合治理2.5公里；2、水库维修养护25座；3、中型灌区红岩泵站左干渠渠道防渗8km； 4、黄金坳镇、凉亭坳乡2个乡镇6个行政村饮用提质改造；5、城南岸坡整治0.6km。</w:t>
            </w:r>
          </w:p>
        </w:tc>
      </w:tr>
      <w:tr>
        <w:tblPrEx>
          <w:tblCellMar>
            <w:top w:w="0" w:type="dxa"/>
            <w:left w:w="108" w:type="dxa"/>
            <w:bottom w:w="0" w:type="dxa"/>
            <w:right w:w="108" w:type="dxa"/>
          </w:tblCellMar>
        </w:tblPrEx>
        <w:trPr>
          <w:trHeight w:val="868" w:hRule="atLeast"/>
          <w:jc w:val="center"/>
        </w:trPr>
        <w:tc>
          <w:tcPr>
            <w:tcW w:w="1119" w:type="dxa"/>
            <w:vMerge w:val="restart"/>
            <w:tcBorders>
              <w:top w:val="single" w:color="auto" w:sz="4" w:space="0"/>
              <w:left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87"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49"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19"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4"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07"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restart"/>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49" w:type="dxa"/>
            <w:vMerge w:val="restart"/>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19"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中小河流</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3.8km</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2.5km</w:t>
            </w:r>
          </w:p>
        </w:tc>
        <w:tc>
          <w:tcPr>
            <w:tcW w:w="824"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w:t>
            </w:r>
          </w:p>
        </w:tc>
        <w:tc>
          <w:tcPr>
            <w:tcW w:w="873"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2.5</w:t>
            </w:r>
          </w:p>
        </w:tc>
        <w:tc>
          <w:tcPr>
            <w:tcW w:w="1407"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地方配套资金未到位</w:t>
            </w:r>
            <w:r>
              <w:rPr>
                <w:rFonts w:hint="eastAsia" w:eastAsia="仿宋_GB2312"/>
                <w:color w:val="000000"/>
                <w:kern w:val="0"/>
                <w:szCs w:val="21"/>
              </w:rPr>
              <w:t>，</w:t>
            </w:r>
            <w:r>
              <w:rPr>
                <w:rFonts w:eastAsia="仿宋_GB2312"/>
                <w:color w:val="000000"/>
                <w:kern w:val="0"/>
                <w:szCs w:val="21"/>
              </w:rPr>
              <w:t>积极落实地方配套资金</w:t>
            </w:r>
          </w:p>
        </w:tc>
      </w:tr>
      <w:tr>
        <w:tblPrEx>
          <w:tblCellMar>
            <w:top w:w="0" w:type="dxa"/>
            <w:left w:w="108" w:type="dxa"/>
            <w:bottom w:w="0" w:type="dxa"/>
            <w:right w:w="108" w:type="dxa"/>
          </w:tblCellMar>
        </w:tblPrEx>
        <w:trPr>
          <w:trHeight w:val="34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49" w:type="dxa"/>
            <w:vMerge w:val="continue"/>
            <w:tcBorders>
              <w:left w:val="nil"/>
              <w:right w:val="single" w:color="auto" w:sz="4" w:space="0"/>
            </w:tcBorders>
            <w:noWrap/>
            <w:vAlign w:val="center"/>
          </w:tcPr>
          <w:p>
            <w:pPr>
              <w:widowControl/>
              <w:spacing w:line="320" w:lineRule="exact"/>
              <w:jc w:val="center"/>
              <w:rPr>
                <w:rFonts w:eastAsia="仿宋_GB2312"/>
                <w:color w:val="000000"/>
                <w:kern w:val="0"/>
                <w:szCs w:val="21"/>
              </w:rPr>
            </w:pPr>
          </w:p>
        </w:tc>
        <w:tc>
          <w:tcPr>
            <w:tcW w:w="1219"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小型水库</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37座</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25座</w:t>
            </w:r>
          </w:p>
        </w:tc>
        <w:tc>
          <w:tcPr>
            <w:tcW w:w="824"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w:t>
            </w:r>
          </w:p>
        </w:tc>
        <w:tc>
          <w:tcPr>
            <w:tcW w:w="873"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3.0</w:t>
            </w:r>
          </w:p>
        </w:tc>
        <w:tc>
          <w:tcPr>
            <w:tcW w:w="1407"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地方配套资金未到位</w:t>
            </w:r>
            <w:r>
              <w:rPr>
                <w:rFonts w:hint="eastAsia" w:eastAsia="仿宋_GB2312"/>
                <w:color w:val="000000"/>
                <w:kern w:val="0"/>
                <w:szCs w:val="21"/>
              </w:rPr>
              <w:t>，</w:t>
            </w:r>
            <w:r>
              <w:rPr>
                <w:rFonts w:eastAsia="仿宋_GB2312"/>
                <w:color w:val="000000"/>
                <w:kern w:val="0"/>
                <w:szCs w:val="21"/>
              </w:rPr>
              <w:t>积极落实地方配套资金</w:t>
            </w:r>
          </w:p>
        </w:tc>
      </w:tr>
      <w:tr>
        <w:tblPrEx>
          <w:tblCellMar>
            <w:top w:w="0" w:type="dxa"/>
            <w:left w:w="108" w:type="dxa"/>
            <w:bottom w:w="0" w:type="dxa"/>
            <w:right w:w="108" w:type="dxa"/>
          </w:tblCellMar>
        </w:tblPrEx>
        <w:trPr>
          <w:trHeight w:val="34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49" w:type="dxa"/>
            <w:vMerge w:val="continue"/>
            <w:tcBorders>
              <w:left w:val="nil"/>
              <w:right w:val="single" w:color="auto" w:sz="4" w:space="0"/>
            </w:tcBorders>
            <w:noWrap/>
            <w:vAlign w:val="center"/>
          </w:tcPr>
          <w:p>
            <w:pPr>
              <w:widowControl/>
              <w:spacing w:line="320" w:lineRule="exact"/>
              <w:jc w:val="center"/>
              <w:rPr>
                <w:rFonts w:eastAsia="仿宋_GB2312"/>
                <w:color w:val="000000"/>
                <w:kern w:val="0"/>
                <w:szCs w:val="21"/>
              </w:rPr>
            </w:pPr>
          </w:p>
        </w:tc>
        <w:tc>
          <w:tcPr>
            <w:tcW w:w="1219"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渠道防渗</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8km</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8km</w:t>
            </w:r>
          </w:p>
        </w:tc>
        <w:tc>
          <w:tcPr>
            <w:tcW w:w="824"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w:t>
            </w:r>
          </w:p>
        </w:tc>
        <w:tc>
          <w:tcPr>
            <w:tcW w:w="873"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w:t>
            </w:r>
          </w:p>
        </w:tc>
        <w:tc>
          <w:tcPr>
            <w:tcW w:w="1407"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49" w:type="dxa"/>
            <w:vMerge w:val="continue"/>
            <w:tcBorders>
              <w:left w:val="nil"/>
              <w:right w:val="single" w:color="auto" w:sz="4" w:space="0"/>
            </w:tcBorders>
            <w:noWrap/>
            <w:vAlign w:val="center"/>
          </w:tcPr>
          <w:p>
            <w:pPr>
              <w:widowControl/>
              <w:spacing w:line="320" w:lineRule="exact"/>
              <w:jc w:val="center"/>
              <w:rPr>
                <w:rFonts w:eastAsia="仿宋_GB2312"/>
                <w:color w:val="000000"/>
                <w:kern w:val="0"/>
                <w:szCs w:val="21"/>
              </w:rPr>
            </w:pPr>
          </w:p>
        </w:tc>
        <w:tc>
          <w:tcPr>
            <w:tcW w:w="1219"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安全饮水</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6个村</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6个村</w:t>
            </w:r>
          </w:p>
        </w:tc>
        <w:tc>
          <w:tcPr>
            <w:tcW w:w="824"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w:t>
            </w:r>
          </w:p>
        </w:tc>
        <w:tc>
          <w:tcPr>
            <w:tcW w:w="873"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w:t>
            </w:r>
          </w:p>
        </w:tc>
        <w:tc>
          <w:tcPr>
            <w:tcW w:w="1407"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49" w:type="dxa"/>
            <w:vMerge w:val="continue"/>
            <w:tcBorders>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1219"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岸坡整治</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1.0km</w:t>
            </w:r>
          </w:p>
        </w:tc>
        <w:tc>
          <w:tcPr>
            <w:tcW w:w="1161"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0.6km</w:t>
            </w:r>
          </w:p>
        </w:tc>
        <w:tc>
          <w:tcPr>
            <w:tcW w:w="824"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w:t>
            </w:r>
          </w:p>
        </w:tc>
        <w:tc>
          <w:tcPr>
            <w:tcW w:w="873"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2.5</w:t>
            </w:r>
          </w:p>
        </w:tc>
        <w:tc>
          <w:tcPr>
            <w:tcW w:w="1407"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地方配套资金未到位</w:t>
            </w:r>
            <w:r>
              <w:rPr>
                <w:rFonts w:hint="eastAsia" w:eastAsia="仿宋_GB2312"/>
                <w:color w:val="000000"/>
                <w:kern w:val="0"/>
                <w:szCs w:val="21"/>
              </w:rPr>
              <w:t>，</w:t>
            </w:r>
            <w:r>
              <w:rPr>
                <w:rFonts w:eastAsia="仿宋_GB2312"/>
                <w:color w:val="000000"/>
                <w:kern w:val="0"/>
                <w:szCs w:val="21"/>
              </w:rPr>
              <w:t>积极落实地方配套资金</w:t>
            </w:r>
          </w:p>
        </w:tc>
      </w:tr>
      <w:tr>
        <w:tblPrEx>
          <w:tblCellMar>
            <w:top w:w="0" w:type="dxa"/>
            <w:left w:w="108" w:type="dxa"/>
            <w:bottom w:w="0" w:type="dxa"/>
            <w:right w:w="108" w:type="dxa"/>
          </w:tblCellMar>
        </w:tblPrEx>
        <w:trPr>
          <w:trHeight w:val="69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49"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19"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合格</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合格</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合格</w:t>
            </w:r>
          </w:p>
        </w:tc>
        <w:tc>
          <w:tcPr>
            <w:tcW w:w="82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r>
              <w:rPr>
                <w:rFonts w:eastAsia="仿宋_GB2312"/>
                <w:color w:val="000000"/>
                <w:kern w:val="0"/>
                <w:szCs w:val="21"/>
              </w:rPr>
              <w:t>　</w:t>
            </w:r>
          </w:p>
        </w:tc>
        <w:tc>
          <w:tcPr>
            <w:tcW w:w="1407"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49"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19"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完工时间</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2019.12.30</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2019.12.20</w:t>
            </w:r>
          </w:p>
        </w:tc>
        <w:tc>
          <w:tcPr>
            <w:tcW w:w="82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07"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continue"/>
            <w:tcBorders>
              <w:top w:val="single" w:color="auto" w:sz="4" w:space="0"/>
              <w:left w:val="nil"/>
              <w:bottom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1249"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19"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4605.33</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4605.33</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3897.17</w:t>
            </w:r>
          </w:p>
        </w:tc>
        <w:tc>
          <w:tcPr>
            <w:tcW w:w="82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1407"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配套资金未到位</w:t>
            </w:r>
          </w:p>
        </w:tc>
      </w:tr>
      <w:tr>
        <w:tblPrEx>
          <w:tblCellMar>
            <w:top w:w="0" w:type="dxa"/>
            <w:left w:w="108" w:type="dxa"/>
            <w:bottom w:w="0" w:type="dxa"/>
            <w:right w:w="108" w:type="dxa"/>
          </w:tblCellMar>
        </w:tblPrEx>
        <w:trPr>
          <w:trHeight w:val="69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restart"/>
            <w:tcBorders>
              <w:top w:val="single" w:color="auto" w:sz="4" w:space="0"/>
              <w:left w:val="nil"/>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49"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9" w:type="dxa"/>
            <w:tcBorders>
              <w:top w:val="single" w:color="auto" w:sz="4" w:space="0"/>
              <w:left w:val="nil"/>
              <w:right w:val="single" w:color="auto" w:sz="4" w:space="0"/>
            </w:tcBorders>
            <w:noWrap/>
            <w:vAlign w:val="center"/>
          </w:tcPr>
          <w:p>
            <w:pPr>
              <w:spacing w:line="320" w:lineRule="exact"/>
              <w:jc w:val="left"/>
              <w:rPr>
                <w:rFonts w:eastAsia="仿宋_GB2312"/>
                <w:color w:val="000000"/>
                <w:kern w:val="0"/>
                <w:szCs w:val="21"/>
              </w:rPr>
            </w:pPr>
            <w:r>
              <w:rPr>
                <w:rFonts w:eastAsia="仿宋_GB2312"/>
                <w:color w:val="000000"/>
                <w:kern w:val="0"/>
                <w:szCs w:val="21"/>
              </w:rPr>
              <w:t>亩产增收</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65kg</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65kg</w:t>
            </w:r>
          </w:p>
        </w:tc>
        <w:tc>
          <w:tcPr>
            <w:tcW w:w="82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07"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continue"/>
            <w:tcBorders>
              <w:left w:val="nil"/>
              <w:right w:val="single" w:color="auto" w:sz="4" w:space="0"/>
            </w:tcBorders>
            <w:noWrap/>
            <w:vAlign w:val="center"/>
          </w:tcPr>
          <w:p>
            <w:pPr>
              <w:spacing w:line="320" w:lineRule="exact"/>
              <w:jc w:val="left"/>
              <w:rPr>
                <w:rFonts w:eastAsia="仿宋_GB2312"/>
                <w:color w:val="000000"/>
                <w:kern w:val="0"/>
                <w:szCs w:val="21"/>
              </w:rPr>
            </w:pPr>
          </w:p>
        </w:tc>
        <w:tc>
          <w:tcPr>
            <w:tcW w:w="1249" w:type="dxa"/>
            <w:tcBorders>
              <w:top w:val="single" w:color="auto" w:sz="4" w:space="0"/>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9" w:type="dxa"/>
            <w:tcBorders>
              <w:top w:val="single" w:color="auto" w:sz="4" w:space="0"/>
              <w:left w:val="nil"/>
              <w:right w:val="single" w:color="auto" w:sz="4" w:space="0"/>
            </w:tcBorders>
            <w:noWrap/>
            <w:vAlign w:val="center"/>
          </w:tcPr>
          <w:p>
            <w:pPr>
              <w:spacing w:line="320" w:lineRule="exact"/>
              <w:jc w:val="left"/>
              <w:rPr>
                <w:rFonts w:eastAsia="仿宋_GB2312"/>
                <w:color w:val="000000"/>
                <w:kern w:val="0"/>
                <w:szCs w:val="21"/>
              </w:rPr>
            </w:pPr>
            <w:r>
              <w:rPr>
                <w:rFonts w:hint="eastAsia" w:eastAsia="仿宋_GB2312"/>
                <w:color w:val="000000"/>
                <w:kern w:val="0"/>
                <w:szCs w:val="21"/>
              </w:rPr>
              <w:t>6个村饮水得到提升</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3500人</w:t>
            </w:r>
          </w:p>
        </w:tc>
        <w:tc>
          <w:tcPr>
            <w:tcW w:w="1161"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3500人</w:t>
            </w:r>
          </w:p>
        </w:tc>
        <w:tc>
          <w:tcPr>
            <w:tcW w:w="824"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07"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0" w:hRule="atLeast"/>
          <w:jc w:val="center"/>
        </w:trPr>
        <w:tc>
          <w:tcPr>
            <w:tcW w:w="1119" w:type="dxa"/>
            <w:vMerge w:val="continue"/>
            <w:tcBorders>
              <w:left w:val="single" w:color="auto" w:sz="4" w:space="0"/>
              <w:right w:val="single" w:color="auto" w:sz="4" w:space="0"/>
            </w:tcBorders>
            <w:noWrap/>
            <w:vAlign w:val="center"/>
          </w:tcPr>
          <w:p>
            <w:pPr>
              <w:spacing w:line="320" w:lineRule="exact"/>
              <w:jc w:val="center"/>
              <w:rPr>
                <w:rFonts w:eastAsia="仿宋_GB2312"/>
                <w:color w:val="000000"/>
                <w:kern w:val="0"/>
                <w:szCs w:val="21"/>
              </w:rPr>
            </w:pPr>
          </w:p>
        </w:tc>
        <w:tc>
          <w:tcPr>
            <w:tcW w:w="987" w:type="dxa"/>
            <w:vMerge w:val="continue"/>
            <w:tcBorders>
              <w:left w:val="nil"/>
              <w:right w:val="single" w:color="auto" w:sz="4" w:space="0"/>
            </w:tcBorders>
            <w:noWrap/>
            <w:vAlign w:val="center"/>
          </w:tcPr>
          <w:p>
            <w:pPr>
              <w:spacing w:line="320" w:lineRule="exact"/>
              <w:jc w:val="left"/>
              <w:rPr>
                <w:rFonts w:eastAsia="仿宋_GB2312"/>
                <w:color w:val="000000"/>
                <w:kern w:val="0"/>
                <w:szCs w:val="21"/>
              </w:rPr>
            </w:pPr>
          </w:p>
        </w:tc>
        <w:tc>
          <w:tcPr>
            <w:tcW w:w="1249"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9" w:type="dxa"/>
            <w:tcBorders>
              <w:top w:val="single" w:color="auto" w:sz="4" w:space="0"/>
              <w:left w:val="single" w:color="auto" w:sz="4" w:space="0"/>
              <w:right w:val="single" w:color="auto" w:sz="4" w:space="0"/>
            </w:tcBorders>
            <w:noWrap/>
            <w:vAlign w:val="center"/>
          </w:tcPr>
          <w:p>
            <w:pPr>
              <w:spacing w:line="320" w:lineRule="exact"/>
              <w:jc w:val="left"/>
              <w:rPr>
                <w:rFonts w:eastAsia="仿宋_GB2312"/>
                <w:color w:val="000000"/>
                <w:kern w:val="0"/>
                <w:szCs w:val="21"/>
              </w:rPr>
            </w:pPr>
            <w:r>
              <w:rPr>
                <w:rFonts w:hint="eastAsia" w:eastAsia="仿宋_GB2312"/>
                <w:color w:val="000000"/>
                <w:kern w:val="0"/>
                <w:szCs w:val="21"/>
              </w:rPr>
              <w:t>河道及水环境得到整治</w:t>
            </w:r>
          </w:p>
        </w:tc>
        <w:tc>
          <w:tcPr>
            <w:tcW w:w="1161" w:type="dxa"/>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3.8km</w:t>
            </w:r>
          </w:p>
        </w:tc>
        <w:tc>
          <w:tcPr>
            <w:tcW w:w="1161" w:type="dxa"/>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2.5km</w:t>
            </w:r>
          </w:p>
        </w:tc>
        <w:tc>
          <w:tcPr>
            <w:tcW w:w="824" w:type="dxa"/>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w:t>
            </w:r>
          </w:p>
        </w:tc>
        <w:tc>
          <w:tcPr>
            <w:tcW w:w="1407" w:type="dxa"/>
            <w:tcBorders>
              <w:top w:val="single" w:color="auto" w:sz="4" w:space="0"/>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配套资金未到位</w:t>
            </w:r>
            <w:r>
              <w:rPr>
                <w:rFonts w:hint="eastAsia" w:eastAsia="仿宋_GB2312"/>
                <w:color w:val="000000"/>
                <w:kern w:val="0"/>
                <w:szCs w:val="21"/>
              </w:rPr>
              <w:t>导致指标未完成</w:t>
            </w:r>
          </w:p>
        </w:tc>
      </w:tr>
      <w:tr>
        <w:tblPrEx>
          <w:tblCellMar>
            <w:top w:w="0" w:type="dxa"/>
            <w:left w:w="108" w:type="dxa"/>
            <w:bottom w:w="0" w:type="dxa"/>
            <w:right w:w="108" w:type="dxa"/>
          </w:tblCellMar>
        </w:tblPrEx>
        <w:trPr>
          <w:trHeight w:val="340" w:hRule="atLeast"/>
          <w:jc w:val="center"/>
        </w:trPr>
        <w:tc>
          <w:tcPr>
            <w:tcW w:w="1119" w:type="dxa"/>
            <w:vMerge w:val="continue"/>
            <w:tcBorders>
              <w:left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p>
        </w:tc>
        <w:tc>
          <w:tcPr>
            <w:tcW w:w="987" w:type="dxa"/>
            <w:vMerge w:val="continue"/>
            <w:tcBorders>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49" w:type="dxa"/>
            <w:vMerge w:val="restart"/>
            <w:tcBorders>
              <w:top w:val="single" w:color="auto" w:sz="4" w:space="0"/>
              <w:left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19" w:type="dxa"/>
            <w:vMerge w:val="restart"/>
            <w:tcBorders>
              <w:top w:val="single" w:color="auto" w:sz="4" w:space="0"/>
              <w:left w:val="single" w:color="auto" w:sz="4" w:space="0"/>
              <w:right w:val="single" w:color="auto" w:sz="4" w:space="0"/>
            </w:tcBorders>
            <w:noWrap/>
            <w:vAlign w:val="center"/>
          </w:tcPr>
          <w:p>
            <w:pPr>
              <w:spacing w:line="320" w:lineRule="exact"/>
              <w:jc w:val="left"/>
              <w:rPr>
                <w:rFonts w:eastAsia="仿宋_GB2312"/>
                <w:color w:val="000000"/>
                <w:kern w:val="0"/>
                <w:szCs w:val="21"/>
              </w:rPr>
            </w:pPr>
            <w:r>
              <w:rPr>
                <w:rFonts w:eastAsia="仿宋_GB2312"/>
                <w:color w:val="000000"/>
                <w:kern w:val="0"/>
                <w:szCs w:val="21"/>
              </w:rPr>
              <w:t>项目正常运行</w:t>
            </w:r>
          </w:p>
        </w:tc>
        <w:tc>
          <w:tcPr>
            <w:tcW w:w="1161"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正常</w:t>
            </w:r>
          </w:p>
        </w:tc>
        <w:tc>
          <w:tcPr>
            <w:tcW w:w="1161"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正常</w:t>
            </w:r>
          </w:p>
        </w:tc>
        <w:tc>
          <w:tcPr>
            <w:tcW w:w="824"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vMerge w:val="restart"/>
            <w:tcBorders>
              <w:top w:val="single" w:color="auto" w:sz="4" w:space="0"/>
              <w:left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07"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19" w:type="dxa"/>
            <w:vMerge w:val="continue"/>
            <w:tcBorders>
              <w:left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987"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49"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19"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61"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61"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24"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73"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407"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19" w:type="dxa"/>
            <w:vMerge w:val="continue"/>
            <w:tcBorders>
              <w:left w:val="single" w:color="auto" w:sz="4" w:space="0"/>
              <w:right w:val="single" w:color="auto" w:sz="4" w:space="0"/>
            </w:tcBorders>
            <w:noWrap/>
            <w:vAlign w:val="center"/>
          </w:tcPr>
          <w:p>
            <w:pPr>
              <w:spacing w:line="320" w:lineRule="exact"/>
              <w:jc w:val="left"/>
              <w:rPr>
                <w:rFonts w:eastAsia="仿宋_GB2312"/>
                <w:color w:val="000000"/>
                <w:kern w:val="0"/>
                <w:szCs w:val="21"/>
              </w:rPr>
            </w:pPr>
          </w:p>
        </w:tc>
        <w:tc>
          <w:tcPr>
            <w:tcW w:w="987" w:type="dxa"/>
            <w:vMerge w:val="restart"/>
            <w:tcBorders>
              <w:top w:val="nil"/>
              <w:left w:val="nil"/>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49" w:type="dxa"/>
            <w:vMerge w:val="restart"/>
            <w:tcBorders>
              <w:top w:val="nil"/>
              <w:left w:val="nil"/>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19" w:type="dxa"/>
            <w:vMerge w:val="restart"/>
            <w:tcBorders>
              <w:top w:val="nil"/>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项目区群众满意度</w:t>
            </w:r>
          </w:p>
        </w:tc>
        <w:tc>
          <w:tcPr>
            <w:tcW w:w="1161" w:type="dxa"/>
            <w:vMerge w:val="restart"/>
            <w:tcBorders>
              <w:top w:val="nil"/>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w:t>
            </w:r>
          </w:p>
        </w:tc>
        <w:tc>
          <w:tcPr>
            <w:tcW w:w="1161" w:type="dxa"/>
            <w:vMerge w:val="restart"/>
            <w:tcBorders>
              <w:top w:val="nil"/>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w:t>
            </w:r>
          </w:p>
        </w:tc>
        <w:tc>
          <w:tcPr>
            <w:tcW w:w="824" w:type="dxa"/>
            <w:vMerge w:val="restart"/>
            <w:tcBorders>
              <w:top w:val="nil"/>
              <w:left w:val="nil"/>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vMerge w:val="restart"/>
            <w:tcBorders>
              <w:top w:val="nil"/>
              <w:left w:val="nil"/>
              <w:right w:val="single" w:color="auto" w:sz="4" w:space="0"/>
            </w:tcBorders>
            <w:noWrap/>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07"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19"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987"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49"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219"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61"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161"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24"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p>
        </w:tc>
        <w:tc>
          <w:tcPr>
            <w:tcW w:w="1407"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187" w:hRule="atLeast"/>
          <w:jc w:val="center"/>
        </w:trPr>
        <w:tc>
          <w:tcPr>
            <w:tcW w:w="6896" w:type="dxa"/>
            <w:gridSpan w:val="6"/>
            <w:tcBorders>
              <w:top w:val="single" w:color="auto" w:sz="4" w:space="0"/>
              <w:left w:val="single" w:color="auto" w:sz="4" w:space="0"/>
              <w:bottom w:val="single" w:color="auto" w:sz="4" w:space="0"/>
              <w:right w:val="single" w:color="000000"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4" w:type="dxa"/>
            <w:tcBorders>
              <w:top w:val="nil"/>
              <w:left w:val="nil"/>
              <w:bottom w:val="single" w:color="auto" w:sz="4" w:space="0"/>
              <w:right w:val="single" w:color="auto" w:sz="4" w:space="0"/>
            </w:tcBorders>
            <w:noWrap/>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90.5</w:t>
            </w:r>
          </w:p>
        </w:tc>
        <w:tc>
          <w:tcPr>
            <w:tcW w:w="1407" w:type="dxa"/>
            <w:tcBorders>
              <w:top w:val="nil"/>
              <w:left w:val="nil"/>
              <w:bottom w:val="single" w:color="auto" w:sz="4" w:space="0"/>
              <w:right w:val="single" w:color="auto" w:sz="4" w:space="0"/>
            </w:tcBorders>
            <w:noWrap/>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spacing w:afterLines="100" w:line="600" w:lineRule="exact"/>
        <w:rPr>
          <w:rFonts w:hint="eastAsia" w:eastAsia="黑体"/>
          <w:sz w:val="32"/>
          <w:szCs w:val="32"/>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rPr>
          <w:rFonts w:hint="eastAsia"/>
        </w:rPr>
      </w:pPr>
    </w:p>
    <w:p>
      <w:pPr>
        <w:pStyle w:val="2"/>
        <w:ind w:firstLine="640"/>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eastAsia="方正小标宋_GBK"/>
          <w:sz w:val="36"/>
          <w:szCs w:val="36"/>
        </w:rPr>
        <w:t>鹤城区水利局</w:t>
      </w: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tabs>
          <w:tab w:val="left" w:pos="433"/>
          <w:tab w:val="left" w:pos="673"/>
          <w:tab w:val="left" w:pos="1078"/>
        </w:tabs>
        <w:ind w:firstLine="643" w:firstLineChars="200"/>
        <w:rPr>
          <w:rFonts w:hint="eastAsia" w:eastAsia="楷体_GB2312"/>
          <w:b/>
          <w:sz w:val="32"/>
          <w:szCs w:val="32"/>
        </w:rPr>
      </w:pPr>
      <w:r>
        <w:rPr>
          <w:rFonts w:eastAsia="楷体_GB2312"/>
          <w:b/>
          <w:sz w:val="32"/>
          <w:szCs w:val="32"/>
        </w:rPr>
        <w:t>（一）预算支出概况。</w:t>
      </w:r>
    </w:p>
    <w:p>
      <w:pPr>
        <w:tabs>
          <w:tab w:val="left" w:pos="433"/>
          <w:tab w:val="left" w:pos="673"/>
          <w:tab w:val="left" w:pos="1078"/>
        </w:tabs>
        <w:ind w:firstLine="640" w:firstLineChars="200"/>
        <w:rPr>
          <w:rFonts w:ascii="仿宋" w:hAnsi="仿宋" w:eastAsia="仿宋" w:cs="宋体"/>
          <w:sz w:val="32"/>
          <w:szCs w:val="32"/>
        </w:rPr>
      </w:pPr>
      <w:r>
        <w:rPr>
          <w:rFonts w:hint="eastAsia" w:ascii="仿宋" w:hAnsi="仿宋" w:eastAsia="仿宋" w:cs="宋体"/>
          <w:sz w:val="32"/>
          <w:szCs w:val="32"/>
        </w:rPr>
        <w:t>2019年年初预算数为4790.17万元，是指单位为完成特定行政工作任务或事业发展目标而发生的支出，包括专项业务费用类170万元，基本建设类4607.9万元，对个人和家庭补助类12.28万元。2019年度财政决算项目支出4082.01万元，主要用防汛抗旱、精准扶贫、农村安全饮水、高效节水灌溉项目、中小河流治理项目。</w:t>
      </w:r>
    </w:p>
    <w:p>
      <w:pPr>
        <w:widowControl/>
        <w:spacing w:line="600" w:lineRule="exact"/>
        <w:ind w:firstLine="640" w:firstLineChars="200"/>
        <w:jc w:val="left"/>
        <w:rPr>
          <w:rFonts w:ascii="仿宋" w:hAnsi="仿宋" w:eastAsia="仿宋" w:cs="宋体"/>
          <w:sz w:val="32"/>
          <w:szCs w:val="32"/>
        </w:rPr>
      </w:pPr>
      <w:r>
        <w:rPr>
          <w:rFonts w:hint="eastAsia" w:ascii="仿宋" w:hAnsi="仿宋" w:eastAsia="仿宋" w:cs="宋体"/>
          <w:sz w:val="32"/>
          <w:szCs w:val="32"/>
        </w:rPr>
        <w:t>1.中小河流治理项目，根据《湖南省财政厅关于提前下达2019年第一批中央水利发展资金的通知》（湘财农指〔2018〕177号）和《湖南省财政厅关于下达2019年第二批省级新增水利预算资金的通知》（湘财农指〔2019〕80号）通知，2019年度鹤城区获得中央财政水利发展资金817万元，省级资金150万元；根据文件要求，鹤城区将资金主要用于中小河流治理工程项目。</w:t>
      </w:r>
    </w:p>
    <w:p>
      <w:pPr>
        <w:ind w:firstLine="640"/>
        <w:rPr>
          <w:rFonts w:ascii="宋体" w:hAnsi="宋体" w:cs="宋体"/>
          <w:sz w:val="32"/>
          <w:szCs w:val="32"/>
        </w:rPr>
      </w:pPr>
      <w:r>
        <w:rPr>
          <w:rFonts w:hint="eastAsia" w:ascii="仿宋" w:hAnsi="仿宋" w:eastAsia="仿宋" w:cs="宋体"/>
          <w:sz w:val="32"/>
          <w:szCs w:val="32"/>
        </w:rPr>
        <w:t>在项目资金管理和使用过程中严格按照项目批复、实施计划、资金的性质和要求实施。资金拨付基本及时到位，并严格按照独立账户专人管理，使用合理规范，资金拨付严格按合同规定执行，未出现超前支付和滞留、截留资金，符合专项资金管理办法的规定，严格按照计划完成了投资和建设任务。</w:t>
      </w:r>
      <w:r>
        <w:rPr>
          <w:rFonts w:hint="eastAsia"/>
          <w:sz w:val="32"/>
          <w:szCs w:val="32"/>
        </w:rPr>
        <w:t>项目施工完成后及时进行了完工验收，实际完成中小河流治理3.8公里，工程验收达到合格标准。</w:t>
      </w:r>
      <w:r>
        <w:rPr>
          <w:rFonts w:hint="eastAsia" w:ascii="宋体" w:hAnsi="宋体" w:cs="宋体"/>
          <w:sz w:val="32"/>
          <w:szCs w:val="32"/>
        </w:rPr>
        <w:t>我区</w:t>
      </w:r>
      <w:r>
        <w:rPr>
          <w:sz w:val="32"/>
          <w:szCs w:val="32"/>
        </w:rPr>
        <w:t>201</w:t>
      </w:r>
      <w:r>
        <w:rPr>
          <w:rFonts w:hint="eastAsia"/>
          <w:sz w:val="32"/>
          <w:szCs w:val="32"/>
        </w:rPr>
        <w:t>9</w:t>
      </w:r>
      <w:r>
        <w:rPr>
          <w:rFonts w:hint="eastAsia" w:ascii="宋体" w:hAnsi="宋体" w:cs="宋体"/>
          <w:sz w:val="32"/>
          <w:szCs w:val="32"/>
        </w:rPr>
        <w:t>年太平溪流域中小河流治理项目总价均控制在批复合同总价成本内。</w:t>
      </w:r>
    </w:p>
    <w:p>
      <w:pPr>
        <w:widowControl/>
        <w:spacing w:line="600" w:lineRule="exact"/>
        <w:ind w:firstLine="640" w:firstLineChars="200"/>
        <w:jc w:val="left"/>
        <w:rPr>
          <w:rFonts w:ascii="仿宋" w:hAnsi="仿宋" w:eastAsia="仿宋" w:cs="宋体"/>
          <w:sz w:val="32"/>
          <w:szCs w:val="32"/>
        </w:rPr>
      </w:pPr>
      <w:r>
        <w:rPr>
          <w:rFonts w:hint="eastAsia" w:ascii="仿宋" w:hAnsi="仿宋" w:eastAsia="仿宋" w:cs="宋体"/>
          <w:sz w:val="32"/>
          <w:szCs w:val="32"/>
        </w:rPr>
        <w:t>2.山洪灾害防治：根据《湖南省财政厅关于提前下达2019年第一批中央水利发展资金的通知（湘财农指〔2018〕177号）》文件，2019年防汛专项资金下发鹤城防汛金额为10万元。我局防汛抗旱项目资金在拨付、分配、使用等方面手续齐全、符合财务规定，我单位（怀化市鹤城区防汛抗旱指挥部办公室）根据相关文件要求和防汛抗旱工作实际需要，将资金用于我区防汛物资采购。于2019年5月5日和5月13日分三次从由鹤城区防汛抗旱指挥部办公室向经济开发区悦翔塑料经营部实施采购，合同总金额13.96万元。相关防汛抗旱物资已全部入库，从根本上解决了鹤城区防汛抗旱物资短缺的问题，随着鹤城区经济发展、人口增加，鹤城区山洪灾害防治的范围与人数也比过去几年有所增加，达到5万人左右。</w:t>
      </w:r>
    </w:p>
    <w:p>
      <w:pPr>
        <w:widowControl/>
        <w:spacing w:line="600" w:lineRule="exact"/>
        <w:ind w:firstLine="640" w:firstLineChars="200"/>
        <w:jc w:val="left"/>
        <w:rPr>
          <w:rFonts w:eastAsia="仿宋_GB2312"/>
          <w:sz w:val="32"/>
          <w:szCs w:val="32"/>
        </w:rPr>
      </w:pPr>
      <w:r>
        <w:rPr>
          <w:rFonts w:hint="eastAsia" w:ascii="仿宋" w:hAnsi="仿宋" w:eastAsia="仿宋" w:cs="宋体"/>
          <w:sz w:val="32"/>
          <w:szCs w:val="32"/>
        </w:rPr>
        <w:t>3.红岩灌区左干渠节水改造项目：项目方案经市水利局批复，总体投资994.02万元，下达2019年度批复总投资500万元，计划红岩灌区左干渠防渗改造4km，隧洞、渡槽、倒虹吸改建等。新增恢复灌溉面积0.15万亩，改善灌溉面积0.6万亩，工程施工划分一个施工标段，通过公开招投标（电子招标）选取施工单位。工程于2019年8月开工，2019年6月完工及验收，项目实施按照相关规范标准要求，达到预期的目标。</w:t>
      </w:r>
    </w:p>
    <w:p>
      <w:pPr>
        <w:numPr>
          <w:ilvl w:val="0"/>
          <w:numId w:val="11"/>
        </w:numPr>
        <w:spacing w:line="600" w:lineRule="exact"/>
        <w:ind w:firstLine="643" w:firstLineChars="200"/>
        <w:rPr>
          <w:rFonts w:eastAsia="仿宋_GB2312"/>
          <w:sz w:val="32"/>
          <w:szCs w:val="32"/>
        </w:rPr>
      </w:pPr>
      <w:r>
        <w:rPr>
          <w:rFonts w:eastAsia="楷体_GB2312"/>
          <w:b/>
          <w:sz w:val="32"/>
          <w:szCs w:val="32"/>
        </w:rPr>
        <w:t>预算资金使用管理情况。</w:t>
      </w:r>
    </w:p>
    <w:p>
      <w:pPr>
        <w:spacing w:line="600" w:lineRule="exact"/>
        <w:ind w:firstLine="640" w:firstLineChars="200"/>
        <w:rPr>
          <w:rFonts w:eastAsia="仿宋_GB2312"/>
          <w:sz w:val="32"/>
          <w:szCs w:val="32"/>
        </w:rPr>
      </w:pPr>
      <w:r>
        <w:rPr>
          <w:rFonts w:hint="eastAsia" w:eastAsia="仿宋_GB2312"/>
          <w:sz w:val="32"/>
          <w:szCs w:val="32"/>
        </w:rPr>
        <w:t>加强沟通协调，积极争取财政、发改等有关部门对水利工作的支持，落实财政资金投入政策，多方筹措解决水利建设资金；加强投资计划管理，认真落实水利专项资金使用范围、分配方式、补助比例和执行管理等规定要求，严格执行水利专项资金预算申请、报批、下达、执行等程序，采取召开水利项目投资计划执行调度会、加强现场督查等措施，确保年度水利投资计划的执行和完成；强化预算约束，提高预算执行力度，严格按照财政部门批复的预算安排各项支出，坚持专款专用，严格按照国家财经法规和财务管理制度以及有关专项资金管理办法的规定、批准的设计和概算拨付款项，坚决杜绝截留和挪用问题；积极配合财政、审计等部门，对项目建设情况和资金使用情况进行跟踪督查，形成了事前审查、事中督查、事后检查相结合的良好监管机制；严格监督和管理项目资金，严格按照合同约定和工程建设进度支付资金，每笔工程款的支付均按照施工单位申请、监理审核、项目管理部门确认、财务部门审查、领导审批等程序进行；预算支出合同书、验收报告、技术鉴定等资料是否齐全并及时归档。</w:t>
      </w:r>
    </w:p>
    <w:p>
      <w:pPr>
        <w:numPr>
          <w:ilvl w:val="0"/>
          <w:numId w:val="11"/>
        </w:numPr>
        <w:spacing w:line="600" w:lineRule="exact"/>
        <w:ind w:firstLine="643" w:firstLineChars="200"/>
        <w:rPr>
          <w:rFonts w:eastAsia="楷体_GB2312"/>
          <w:b/>
          <w:sz w:val="32"/>
          <w:szCs w:val="32"/>
        </w:rPr>
      </w:pPr>
      <w:r>
        <w:rPr>
          <w:rFonts w:eastAsia="楷体_GB2312"/>
          <w:b/>
          <w:sz w:val="32"/>
          <w:szCs w:val="32"/>
        </w:rPr>
        <w:t>预算支出绩效目标完成程度。</w:t>
      </w:r>
    </w:p>
    <w:p>
      <w:pPr>
        <w:spacing w:line="600" w:lineRule="exact"/>
        <w:ind w:firstLine="640" w:firstLineChars="200"/>
        <w:rPr>
          <w:rFonts w:eastAsia="仿宋_GB2312"/>
          <w:sz w:val="32"/>
          <w:szCs w:val="32"/>
        </w:rPr>
      </w:pPr>
      <w:r>
        <w:rPr>
          <w:rFonts w:eastAsia="仿宋_GB2312"/>
          <w:sz w:val="32"/>
          <w:szCs w:val="32"/>
        </w:rPr>
        <w:t>2019年，我单位积极履职，强化管理，较好地完成了年度工作目标。根据部门整体支出绩效评价指标体系，我单位2019年度评价得分为9</w:t>
      </w:r>
      <w:r>
        <w:rPr>
          <w:rFonts w:hint="eastAsia" w:eastAsia="仿宋_GB2312"/>
          <w:sz w:val="32"/>
          <w:szCs w:val="32"/>
        </w:rPr>
        <w:t>4</w:t>
      </w:r>
      <w:r>
        <w:rPr>
          <w:rFonts w:eastAsia="仿宋_GB2312"/>
          <w:sz w:val="32"/>
          <w:szCs w:val="32"/>
        </w:rPr>
        <w:t>分。部门整体支出绩效情况如下：</w:t>
      </w:r>
    </w:p>
    <w:p>
      <w:pPr>
        <w:spacing w:line="60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目标设定12分，</w:t>
      </w:r>
      <w:r>
        <w:rPr>
          <w:rFonts w:eastAsia="仿宋_GB2312"/>
          <w:sz w:val="32"/>
          <w:szCs w:val="32"/>
        </w:rPr>
        <w:t>其中：</w:t>
      </w:r>
      <w:r>
        <w:rPr>
          <w:rFonts w:hint="eastAsia" w:eastAsia="仿宋_GB2312"/>
          <w:sz w:val="32"/>
          <w:szCs w:val="32"/>
        </w:rPr>
        <w:t>绩效目标合理性6分，符合国家法律法规、国民经济和社会发展总体规划，符合部门“三定”方案确定的职责，符合部门制定的中长期实施规划；绩效指标明确性6分，绩效目标细化分解为具体的工作任务，只是有些没有通过清晰的可衡量的指标体现。</w:t>
      </w:r>
    </w:p>
    <w:p>
      <w:pPr>
        <w:spacing w:line="600" w:lineRule="exact"/>
        <w:ind w:firstLine="640" w:firstLineChars="200"/>
        <w:rPr>
          <w:rFonts w:eastAsia="仿宋_GB2312"/>
          <w:sz w:val="32"/>
          <w:szCs w:val="32"/>
        </w:rPr>
      </w:pPr>
      <w:r>
        <w:rPr>
          <w:rFonts w:eastAsia="仿宋_GB2312"/>
          <w:sz w:val="32"/>
          <w:szCs w:val="32"/>
        </w:rPr>
        <w:t>2、预算</w:t>
      </w:r>
      <w:r>
        <w:rPr>
          <w:rFonts w:hint="eastAsia" w:eastAsia="仿宋_GB2312"/>
          <w:sz w:val="32"/>
          <w:szCs w:val="32"/>
        </w:rPr>
        <w:t>配置6</w:t>
      </w:r>
      <w:r>
        <w:rPr>
          <w:rFonts w:eastAsia="仿宋_GB2312"/>
          <w:sz w:val="32"/>
          <w:szCs w:val="32"/>
        </w:rPr>
        <w:t>分。</w:t>
      </w:r>
      <w:r>
        <w:rPr>
          <w:rFonts w:hint="eastAsia" w:eastAsia="仿宋_GB2312"/>
          <w:sz w:val="32"/>
          <w:szCs w:val="32"/>
        </w:rPr>
        <w:t>其中：在职人员控制率2分，“三公经费”变动率2分，重点支出安排率2分。</w:t>
      </w:r>
    </w:p>
    <w:p>
      <w:pPr>
        <w:spacing w:line="600" w:lineRule="exact"/>
        <w:ind w:firstLine="640" w:firstLineChars="200"/>
        <w:rPr>
          <w:rFonts w:eastAsia="仿宋_GB2312"/>
          <w:sz w:val="32"/>
          <w:szCs w:val="32"/>
        </w:rPr>
      </w:pPr>
      <w:r>
        <w:rPr>
          <w:rFonts w:eastAsia="仿宋_GB2312"/>
          <w:sz w:val="32"/>
          <w:szCs w:val="32"/>
        </w:rPr>
        <w:t>3、</w:t>
      </w:r>
      <w:r>
        <w:rPr>
          <w:rFonts w:hint="eastAsia" w:eastAsia="仿宋_GB2312"/>
          <w:sz w:val="32"/>
          <w:szCs w:val="32"/>
        </w:rPr>
        <w:t>预算执行25分。其中：预算执行率4分，预算调整率3分，支付进度吕3分，结转结余率3分，结转结余变动率3分，公用经费控制率3分，“三公经费”控制率3分，政府采购执行率3分。</w:t>
      </w:r>
    </w:p>
    <w:p>
      <w:pPr>
        <w:spacing w:line="600" w:lineRule="exact"/>
        <w:ind w:firstLine="640" w:firstLineChars="200"/>
        <w:rPr>
          <w:rFonts w:eastAsia="仿宋_GB2312"/>
          <w:sz w:val="32"/>
          <w:szCs w:val="32"/>
        </w:rPr>
      </w:pPr>
      <w:r>
        <w:rPr>
          <w:rFonts w:hint="eastAsia" w:eastAsia="仿宋_GB2312"/>
          <w:sz w:val="32"/>
          <w:szCs w:val="32"/>
        </w:rPr>
        <w:t>4、</w:t>
      </w:r>
      <w:r>
        <w:rPr>
          <w:rFonts w:eastAsia="仿宋_GB2312"/>
          <w:sz w:val="32"/>
          <w:szCs w:val="32"/>
        </w:rPr>
        <w:t>预算管理8分。</w:t>
      </w:r>
      <w:r>
        <w:rPr>
          <w:rFonts w:hint="eastAsia" w:eastAsia="仿宋_GB2312"/>
          <w:sz w:val="32"/>
          <w:szCs w:val="32"/>
        </w:rPr>
        <w:t>其中：管理制度健全性2分，资金使用合规性2分，预决算信息公开性2分，基础信息完善性2分。</w:t>
      </w:r>
      <w:r>
        <w:rPr>
          <w:rFonts w:eastAsia="仿宋_GB2312"/>
          <w:sz w:val="32"/>
          <w:szCs w:val="32"/>
        </w:rPr>
        <w:t>预算管理制度比较健全，资金使用合规，制度执行总体较为有效，预决算信息公开按规定内容在规定时限在</w:t>
      </w:r>
      <w:r>
        <w:rPr>
          <w:rFonts w:hint="eastAsia" w:eastAsia="仿宋_GB2312"/>
          <w:sz w:val="32"/>
          <w:szCs w:val="32"/>
        </w:rPr>
        <w:t>区</w:t>
      </w:r>
      <w:r>
        <w:rPr>
          <w:rFonts w:eastAsia="仿宋_GB2312"/>
          <w:sz w:val="32"/>
          <w:szCs w:val="32"/>
        </w:rPr>
        <w:t>政府门户网站公开</w:t>
      </w:r>
      <w:r>
        <w:rPr>
          <w:rFonts w:hint="eastAsia" w:eastAsia="仿宋_GB2312"/>
          <w:sz w:val="32"/>
          <w:szCs w:val="32"/>
        </w:rPr>
        <w:t>，</w:t>
      </w:r>
      <w:r>
        <w:rPr>
          <w:rFonts w:eastAsia="仿宋_GB2312"/>
          <w:sz w:val="32"/>
          <w:szCs w:val="32"/>
        </w:rPr>
        <w:t>基础信息完善。</w:t>
      </w:r>
    </w:p>
    <w:p>
      <w:pPr>
        <w:spacing w:line="600" w:lineRule="exact"/>
        <w:ind w:firstLine="640" w:firstLineChars="200"/>
        <w:rPr>
          <w:rFonts w:eastAsia="仿宋_GB2312"/>
          <w:sz w:val="32"/>
          <w:szCs w:val="32"/>
        </w:rPr>
      </w:pPr>
      <w:r>
        <w:rPr>
          <w:rFonts w:hint="eastAsia" w:eastAsia="仿宋_GB2312"/>
          <w:sz w:val="32"/>
          <w:szCs w:val="32"/>
        </w:rPr>
        <w:t>5</w:t>
      </w:r>
      <w:r>
        <w:rPr>
          <w:rFonts w:eastAsia="仿宋_GB2312"/>
          <w:sz w:val="32"/>
          <w:szCs w:val="32"/>
        </w:rPr>
        <w:t>、</w:t>
      </w:r>
      <w:r>
        <w:rPr>
          <w:rFonts w:hint="eastAsia" w:eastAsia="仿宋_GB2312"/>
          <w:sz w:val="32"/>
          <w:szCs w:val="32"/>
        </w:rPr>
        <w:t>资产管理6分，其中：管理制度健全性2分，资产管理安全性2分，固定资产利用率2分。根据行政事业单位资产管理的相关要求，我单位制定了相应的管理制度，对资产的购置、保管、使用、处置作了完整的规定和必须的手续。其中购置固定资产均由申请部门履行审批手续后采购，在资产管理上，签字登记以明确使用人的保管责任，做到使用爱护两全；对于资产处置，严格按国有资产处置程序，经报国资局批准后集中处置。</w:t>
      </w:r>
    </w:p>
    <w:p>
      <w:pPr>
        <w:spacing w:line="600" w:lineRule="exact"/>
        <w:ind w:firstLine="640" w:firstLineChars="200"/>
        <w:rPr>
          <w:rFonts w:eastAsia="仿宋_GB2312"/>
          <w:sz w:val="32"/>
          <w:szCs w:val="32"/>
        </w:rPr>
      </w:pPr>
      <w:r>
        <w:rPr>
          <w:rFonts w:hint="eastAsia" w:eastAsia="仿宋_GB2312"/>
          <w:sz w:val="32"/>
          <w:szCs w:val="32"/>
        </w:rPr>
        <w:t>6、</w:t>
      </w:r>
      <w:r>
        <w:rPr>
          <w:rFonts w:eastAsia="仿宋_GB2312"/>
          <w:sz w:val="32"/>
          <w:szCs w:val="32"/>
        </w:rPr>
        <w:t>职责履行</w:t>
      </w:r>
      <w:r>
        <w:rPr>
          <w:rFonts w:hint="eastAsia" w:eastAsia="仿宋_GB2312"/>
          <w:sz w:val="32"/>
          <w:szCs w:val="32"/>
        </w:rPr>
        <w:t>1</w:t>
      </w:r>
      <w:r>
        <w:rPr>
          <w:rFonts w:eastAsia="仿宋_GB2312"/>
          <w:sz w:val="32"/>
          <w:szCs w:val="32"/>
        </w:rPr>
        <w:t>8分</w:t>
      </w:r>
      <w:r>
        <w:rPr>
          <w:rFonts w:hint="eastAsia" w:eastAsia="仿宋_GB2312"/>
          <w:sz w:val="32"/>
          <w:szCs w:val="32"/>
        </w:rPr>
        <w:t>，</w:t>
      </w:r>
      <w:r>
        <w:rPr>
          <w:rFonts w:eastAsia="仿宋_GB2312"/>
          <w:sz w:val="32"/>
          <w:szCs w:val="32"/>
        </w:rPr>
        <w:t>2019年我单位在全体干部职工的共同努力下圆满完成了各项工作目标和任务。</w:t>
      </w:r>
    </w:p>
    <w:p>
      <w:pPr>
        <w:spacing w:line="600" w:lineRule="exact"/>
        <w:ind w:firstLine="640" w:firstLineChars="200"/>
        <w:rPr>
          <w:rFonts w:hint="eastAsia" w:eastAsia="仿宋_GB2312"/>
          <w:sz w:val="32"/>
          <w:szCs w:val="32"/>
        </w:rPr>
      </w:pPr>
      <w:r>
        <w:rPr>
          <w:rFonts w:hint="eastAsia" w:eastAsia="仿宋_GB2312"/>
          <w:sz w:val="32"/>
          <w:szCs w:val="32"/>
        </w:rPr>
        <w:t>7</w:t>
      </w:r>
      <w:r>
        <w:rPr>
          <w:rFonts w:eastAsia="仿宋_GB2312"/>
          <w:sz w:val="32"/>
          <w:szCs w:val="32"/>
        </w:rPr>
        <w:t>、履职效益</w:t>
      </w:r>
      <w:r>
        <w:rPr>
          <w:rFonts w:hint="eastAsia" w:eastAsia="仿宋_GB2312"/>
          <w:sz w:val="32"/>
          <w:szCs w:val="32"/>
        </w:rPr>
        <w:t>19</w:t>
      </w:r>
      <w:r>
        <w:rPr>
          <w:rFonts w:eastAsia="仿宋_GB2312"/>
          <w:sz w:val="32"/>
          <w:szCs w:val="32"/>
        </w:rPr>
        <w:t>分</w:t>
      </w:r>
      <w:r>
        <w:rPr>
          <w:rFonts w:hint="eastAsia" w:eastAsia="仿宋_GB2312"/>
          <w:sz w:val="32"/>
          <w:szCs w:val="32"/>
        </w:rPr>
        <w:t>，其中：</w:t>
      </w:r>
      <w:r>
        <w:rPr>
          <w:rFonts w:eastAsia="仿宋_GB2312"/>
          <w:sz w:val="32"/>
          <w:szCs w:val="32"/>
        </w:rPr>
        <w:t>经济效益</w:t>
      </w:r>
      <w:r>
        <w:rPr>
          <w:rFonts w:hint="eastAsia" w:eastAsia="仿宋_GB2312"/>
          <w:sz w:val="32"/>
          <w:szCs w:val="32"/>
        </w:rPr>
        <w:t>4分，</w:t>
      </w:r>
      <w:r>
        <w:rPr>
          <w:rFonts w:eastAsia="仿宋_GB2312"/>
          <w:sz w:val="32"/>
          <w:szCs w:val="32"/>
        </w:rPr>
        <w:t>生态效益</w:t>
      </w:r>
      <w:r>
        <w:rPr>
          <w:rFonts w:hint="eastAsia" w:eastAsia="仿宋_GB2312"/>
          <w:sz w:val="32"/>
          <w:szCs w:val="32"/>
        </w:rPr>
        <w:t>5分，</w:t>
      </w:r>
      <w:r>
        <w:rPr>
          <w:rFonts w:eastAsia="仿宋_GB2312"/>
          <w:sz w:val="32"/>
          <w:szCs w:val="32"/>
        </w:rPr>
        <w:t>社会效益</w:t>
      </w:r>
      <w:r>
        <w:rPr>
          <w:rFonts w:hint="eastAsia" w:eastAsia="仿宋_GB2312"/>
          <w:sz w:val="32"/>
          <w:szCs w:val="32"/>
        </w:rPr>
        <w:t>5</w:t>
      </w:r>
      <w:r>
        <w:rPr>
          <w:rFonts w:eastAsia="仿宋_GB2312"/>
          <w:sz w:val="32"/>
          <w:szCs w:val="32"/>
        </w:rPr>
        <w:t>分</w:t>
      </w:r>
      <w:r>
        <w:rPr>
          <w:rFonts w:hint="eastAsia" w:eastAsia="仿宋_GB2312"/>
          <w:sz w:val="32"/>
          <w:szCs w:val="32"/>
        </w:rPr>
        <w:t>，社会公众或服务对象满意度5分，</w:t>
      </w:r>
      <w:r>
        <w:rPr>
          <w:rFonts w:eastAsia="仿宋_GB2312"/>
          <w:sz w:val="32"/>
          <w:szCs w:val="32"/>
        </w:rPr>
        <w:t>我单位2019年度各方面工作都得到社会大众的肯定和好评</w:t>
      </w:r>
      <w:r>
        <w:rPr>
          <w:rFonts w:hint="eastAsia" w:eastAsia="仿宋_GB2312"/>
          <w:sz w:val="32"/>
          <w:szCs w:val="32"/>
        </w:rPr>
        <w:t>，</w:t>
      </w:r>
      <w:r>
        <w:rPr>
          <w:rFonts w:eastAsia="仿宋_GB2312"/>
          <w:sz w:val="32"/>
          <w:szCs w:val="32"/>
        </w:rPr>
        <w:t>在年度绩效考核中成绩良</w:t>
      </w:r>
      <w:r>
        <w:rPr>
          <w:rFonts w:hint="eastAsia" w:eastAsia="仿宋_GB2312"/>
          <w:sz w:val="32"/>
          <w:szCs w:val="32"/>
        </w:rPr>
        <w:t>。</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eastAsia="仿宋_GB2312"/>
          <w:sz w:val="32"/>
          <w:szCs w:val="32"/>
        </w:rPr>
      </w:pPr>
      <w:r>
        <w:rPr>
          <w:rFonts w:hint="eastAsia" w:eastAsia="仿宋_GB2312"/>
          <w:sz w:val="32"/>
          <w:szCs w:val="32"/>
        </w:rPr>
        <w:t>我局成立了以分管财务领导吕锋同志为组长的绩效自评工作小组，参照有关财政支出绩效评价指标体系，对2019年度部门整体支出绩效进行了全面综合的评价，整体支出分基本支出和项目支出两部分，基本支出的评价重点是历行节约，降低行政运行成本；项目支出的评价重点是规范管理促进发展，做到专款专用，提高资金使用效益。</w:t>
      </w:r>
    </w:p>
    <w:p>
      <w:pPr>
        <w:spacing w:line="600" w:lineRule="exact"/>
        <w:ind w:firstLine="640" w:firstLineChars="200"/>
        <w:rPr>
          <w:rFonts w:eastAsia="仿宋_GB2312"/>
          <w:sz w:val="32"/>
          <w:szCs w:val="32"/>
        </w:rPr>
      </w:pPr>
      <w:r>
        <w:rPr>
          <w:rFonts w:eastAsia="仿宋_GB2312"/>
          <w:sz w:val="32"/>
          <w:szCs w:val="32"/>
        </w:rPr>
        <w:t>我局所有预算项目资金严格按照</w:t>
      </w:r>
      <w:r>
        <w:rPr>
          <w:rFonts w:hint="eastAsia" w:eastAsia="仿宋_GB2312"/>
          <w:sz w:val="32"/>
          <w:szCs w:val="32"/>
        </w:rPr>
        <w:t>区</w:t>
      </w:r>
      <w:r>
        <w:rPr>
          <w:rFonts w:eastAsia="仿宋_GB2312"/>
          <w:sz w:val="32"/>
          <w:szCs w:val="32"/>
        </w:rPr>
        <w:t>财政局的要求进行绩效目标及部门整体支出绩效目标的申报。第一，针对绩效目标编报的内容，科学设置了绩效指标，包括产出指标和效益指标；第二，及时向财政局对口业务科室进行申报；第三，保证申报资料包括绩效目标表及相关资料的完整性。本部门预算绩效目标为落实基本支出，保障部门正常运行、工作正常开展；开展重大水利项目建设，加快重大水利工程和灾后薄弱环节建设。本部门的项目绩效执行严格按照预算绩效目标申报的批复执行。财政局绩效</w:t>
      </w:r>
      <w:r>
        <w:rPr>
          <w:rFonts w:hint="eastAsia" w:eastAsia="仿宋_GB2312"/>
          <w:sz w:val="32"/>
          <w:szCs w:val="32"/>
        </w:rPr>
        <w:t>股</w:t>
      </w:r>
      <w:r>
        <w:rPr>
          <w:rFonts w:eastAsia="仿宋_GB2312"/>
          <w:sz w:val="32"/>
          <w:szCs w:val="32"/>
        </w:rPr>
        <w:t>对本部门预算项目执行情况进行评价，本部门将全面做好配合工作。</w:t>
      </w:r>
    </w:p>
    <w:p>
      <w:pPr>
        <w:spacing w:line="600" w:lineRule="exact"/>
        <w:ind w:left="640"/>
        <w:rPr>
          <w:rFonts w:eastAsia="黑体"/>
          <w:sz w:val="32"/>
          <w:szCs w:val="32"/>
        </w:rPr>
      </w:pPr>
      <w:r>
        <w:rPr>
          <w:rFonts w:hint="eastAsia" w:eastAsia="黑体"/>
          <w:sz w:val="32"/>
          <w:szCs w:val="32"/>
        </w:rPr>
        <w:t>三、</w:t>
      </w:r>
      <w:r>
        <w:rPr>
          <w:rFonts w:eastAsia="黑体"/>
          <w:sz w:val="32"/>
          <w:szCs w:val="32"/>
        </w:rPr>
        <w:t>预算支出主要绩效及评价结论</w:t>
      </w:r>
    </w:p>
    <w:p>
      <w:pPr>
        <w:spacing w:line="600" w:lineRule="exact"/>
        <w:ind w:firstLine="640" w:firstLineChars="200"/>
        <w:rPr>
          <w:rFonts w:eastAsia="仿宋_GB2312"/>
          <w:color w:val="auto"/>
          <w:sz w:val="32"/>
          <w:szCs w:val="32"/>
        </w:rPr>
      </w:pPr>
      <w:r>
        <w:rPr>
          <w:rFonts w:eastAsia="仿宋_GB2312"/>
          <w:sz w:val="32"/>
          <w:szCs w:val="32"/>
        </w:rPr>
        <w:t>2019年，</w:t>
      </w:r>
      <w:r>
        <w:rPr>
          <w:rFonts w:hint="eastAsia" w:eastAsia="仿宋_GB2312"/>
          <w:sz w:val="32"/>
          <w:szCs w:val="32"/>
        </w:rPr>
        <w:t>我单位</w:t>
      </w:r>
      <w:r>
        <w:rPr>
          <w:rFonts w:eastAsia="仿宋_GB2312"/>
          <w:sz w:val="32"/>
          <w:szCs w:val="32"/>
        </w:rPr>
        <w:t>积极践行</w:t>
      </w:r>
      <w:r>
        <w:rPr>
          <w:rFonts w:hint="eastAsia" w:eastAsia="仿宋_GB2312"/>
          <w:sz w:val="32"/>
          <w:szCs w:val="32"/>
        </w:rPr>
        <w:t>“</w:t>
      </w:r>
      <w:r>
        <w:rPr>
          <w:rFonts w:eastAsia="仿宋_GB2312"/>
          <w:sz w:val="32"/>
          <w:szCs w:val="32"/>
        </w:rPr>
        <w:t>节水优先、空间均衡、系统治理、两手发力</w:t>
      </w:r>
      <w:r>
        <w:rPr>
          <w:rFonts w:hint="eastAsia" w:eastAsia="仿宋_GB2312"/>
          <w:sz w:val="32"/>
          <w:szCs w:val="32"/>
        </w:rPr>
        <w:t>”</w:t>
      </w:r>
      <w:r>
        <w:rPr>
          <w:rFonts w:eastAsia="仿宋_GB2312"/>
          <w:sz w:val="32"/>
          <w:szCs w:val="32"/>
        </w:rPr>
        <w:t>新时代水利工作方针，在</w:t>
      </w:r>
      <w:r>
        <w:rPr>
          <w:rFonts w:hint="eastAsia" w:eastAsia="仿宋_GB2312"/>
          <w:sz w:val="32"/>
          <w:szCs w:val="32"/>
        </w:rPr>
        <w:t>市</w:t>
      </w:r>
      <w:r>
        <w:rPr>
          <w:rFonts w:eastAsia="仿宋_GB2312"/>
          <w:sz w:val="32"/>
          <w:szCs w:val="32"/>
        </w:rPr>
        <w:t>水利</w:t>
      </w:r>
      <w:r>
        <w:rPr>
          <w:rFonts w:hint="eastAsia" w:eastAsia="仿宋_GB2312"/>
          <w:sz w:val="32"/>
          <w:szCs w:val="32"/>
        </w:rPr>
        <w:t>局</w:t>
      </w:r>
      <w:r>
        <w:rPr>
          <w:rFonts w:eastAsia="仿宋_GB2312"/>
          <w:sz w:val="32"/>
          <w:szCs w:val="32"/>
        </w:rPr>
        <w:t>关心和</w:t>
      </w:r>
      <w:r>
        <w:rPr>
          <w:rFonts w:hint="eastAsia" w:eastAsia="仿宋_GB2312"/>
          <w:sz w:val="32"/>
          <w:szCs w:val="32"/>
        </w:rPr>
        <w:t>区</w:t>
      </w:r>
      <w:r>
        <w:rPr>
          <w:rFonts w:eastAsia="仿宋_GB2312"/>
          <w:sz w:val="32"/>
          <w:szCs w:val="32"/>
        </w:rPr>
        <w:t>委</w:t>
      </w:r>
      <w:r>
        <w:rPr>
          <w:rFonts w:hint="eastAsia" w:eastAsia="仿宋_GB2312"/>
          <w:sz w:val="32"/>
          <w:szCs w:val="32"/>
        </w:rPr>
        <w:t>区</w:t>
      </w:r>
      <w:r>
        <w:rPr>
          <w:rFonts w:eastAsia="仿宋_GB2312"/>
          <w:sz w:val="32"/>
          <w:szCs w:val="32"/>
        </w:rPr>
        <w:t>政府正确领导下，抓重点、补短板、强弱项、夯基础，扎实推进各项水利工作开展。</w:t>
      </w:r>
      <w:r>
        <w:rPr>
          <w:rFonts w:hint="eastAsia" w:eastAsia="仿宋_GB2312"/>
          <w:sz w:val="32"/>
          <w:szCs w:val="32"/>
        </w:rPr>
        <w:t>由于我单位</w:t>
      </w:r>
      <w:r>
        <w:rPr>
          <w:rFonts w:eastAsia="仿宋_GB2312"/>
          <w:sz w:val="32"/>
          <w:szCs w:val="32"/>
        </w:rPr>
        <w:t>人员较多，且人员结构复杂，人员经费开支较大</w:t>
      </w:r>
      <w:r>
        <w:rPr>
          <w:rFonts w:hint="eastAsia" w:eastAsia="仿宋_GB2312"/>
          <w:sz w:val="32"/>
          <w:szCs w:val="32"/>
        </w:rPr>
        <w:t>，</w:t>
      </w:r>
      <w:r>
        <w:rPr>
          <w:rFonts w:eastAsia="仿宋_GB2312"/>
          <w:sz w:val="32"/>
          <w:szCs w:val="32"/>
        </w:rPr>
        <w:t>管理面广、</w:t>
      </w:r>
      <w:r>
        <w:rPr>
          <w:rFonts w:hint="eastAsia" w:eastAsia="仿宋_GB2312"/>
          <w:sz w:val="32"/>
          <w:szCs w:val="32"/>
        </w:rPr>
        <w:t>职责</w:t>
      </w:r>
      <w:r>
        <w:rPr>
          <w:rFonts w:eastAsia="仿宋_GB2312"/>
          <w:sz w:val="32"/>
          <w:szCs w:val="32"/>
        </w:rPr>
        <w:t>重大</w:t>
      </w:r>
      <w:r>
        <w:rPr>
          <w:rFonts w:hint="eastAsia" w:eastAsia="仿宋_GB2312"/>
          <w:sz w:val="32"/>
          <w:szCs w:val="32"/>
        </w:rPr>
        <w:t>，所以</w:t>
      </w:r>
      <w:r>
        <w:rPr>
          <w:rFonts w:eastAsia="仿宋_GB2312"/>
          <w:sz w:val="32"/>
          <w:szCs w:val="32"/>
        </w:rPr>
        <w:t>财政预算资金在保稳定、保运转、保安全渡汛</w:t>
      </w:r>
      <w:r>
        <w:rPr>
          <w:rFonts w:hint="eastAsia" w:eastAsia="仿宋_GB2312"/>
          <w:sz w:val="32"/>
          <w:szCs w:val="32"/>
        </w:rPr>
        <w:t>等</w:t>
      </w:r>
      <w:r>
        <w:rPr>
          <w:rFonts w:eastAsia="仿宋_GB2312"/>
          <w:sz w:val="32"/>
          <w:szCs w:val="32"/>
        </w:rPr>
        <w:t>方面发挥着关键性的作用</w:t>
      </w:r>
      <w:r>
        <w:rPr>
          <w:rFonts w:hint="eastAsia" w:eastAsia="仿宋_GB2312"/>
          <w:sz w:val="32"/>
          <w:szCs w:val="32"/>
        </w:rPr>
        <w:t>。</w:t>
      </w:r>
      <w:r>
        <w:rPr>
          <w:rFonts w:hint="eastAsia" w:eastAsia="仿宋_GB2312"/>
          <w:color w:val="auto"/>
          <w:sz w:val="32"/>
          <w:szCs w:val="32"/>
        </w:rPr>
        <w:t>预算支出绩效评价单位自评为</w:t>
      </w:r>
      <w:r>
        <w:rPr>
          <w:rFonts w:hint="eastAsia" w:eastAsia="仿宋_GB2312"/>
          <w:color w:val="auto"/>
          <w:sz w:val="32"/>
          <w:szCs w:val="32"/>
          <w:lang w:val="en-US" w:eastAsia="zh-CN"/>
        </w:rPr>
        <w:t>91</w:t>
      </w:r>
      <w:r>
        <w:rPr>
          <w:rFonts w:hint="eastAsia" w:eastAsia="仿宋_GB2312"/>
          <w:color w:val="auto"/>
          <w:sz w:val="32"/>
          <w:szCs w:val="32"/>
        </w:rPr>
        <w:t>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pStyle w:val="2"/>
        <w:ind w:firstLine="640"/>
        <w:rPr>
          <w:rFonts w:eastAsia="仿宋_GB2312"/>
          <w:szCs w:val="32"/>
        </w:rPr>
      </w:pPr>
      <w:r>
        <w:rPr>
          <w:rFonts w:hint="eastAsia" w:eastAsia="仿宋_GB2312"/>
          <w:szCs w:val="32"/>
        </w:rPr>
        <w:t>预算支出决策8分，其中：项目立项依据充分性2分、立项程序规范性2分、绩效目标合理性1分、绩效指标明确性1分、预算编制科学性1分、资金分配合理性1分。决策符合国家相关法律法规、国民经济发展规划和相关政策，符合行业发展规划和政策要求，与部门职责范围相符，属于部门履职所需，属于公共财政支持范围，符合中央、地方事权支出责任划分原则；预算支出按照规定的程序申请设立，审批文件、材料符合相关要求，事前已经过必要的可行性研究、专家论证、风险评估、绩效评估、集体决策；预算支出有绩效目标；绩效目标基本细化分解为具体的绩效指标；预算编制经过科学论证；资金分配额度合理，与项目实施单位或地方实际相适应。</w:t>
      </w:r>
    </w:p>
    <w:p>
      <w:pPr>
        <w:numPr>
          <w:ilvl w:val="0"/>
          <w:numId w:val="12"/>
        </w:numPr>
        <w:spacing w:line="600" w:lineRule="exact"/>
        <w:ind w:firstLine="643" w:firstLineChars="200"/>
        <w:rPr>
          <w:rFonts w:eastAsia="楷体_GB2312"/>
          <w:b/>
          <w:sz w:val="32"/>
          <w:szCs w:val="32"/>
        </w:rPr>
      </w:pPr>
      <w:r>
        <w:rPr>
          <w:rFonts w:eastAsia="楷体_GB2312"/>
          <w:b/>
          <w:sz w:val="32"/>
          <w:szCs w:val="32"/>
        </w:rPr>
        <w:t>预算执行过程情况</w:t>
      </w:r>
    </w:p>
    <w:p>
      <w:pPr>
        <w:pStyle w:val="2"/>
        <w:ind w:firstLine="640"/>
        <w:rPr>
          <w:rFonts w:eastAsia="仿宋_GB2312"/>
          <w:szCs w:val="32"/>
        </w:rPr>
      </w:pPr>
      <w:r>
        <w:rPr>
          <w:rFonts w:hint="eastAsia" w:eastAsia="仿宋_GB2312"/>
          <w:szCs w:val="32"/>
        </w:rPr>
        <w:t>预算执行过程17分，其中资金到位率2分、预算执行率2分、资金使用合规性4分、管理制度健全性5分、制度执行有效性4分。</w:t>
      </w:r>
    </w:p>
    <w:p>
      <w:pPr>
        <w:numPr>
          <w:ilvl w:val="0"/>
          <w:numId w:val="12"/>
        </w:numPr>
        <w:spacing w:line="600" w:lineRule="exact"/>
        <w:ind w:firstLine="643" w:firstLineChars="200"/>
        <w:rPr>
          <w:rFonts w:eastAsia="楷体_GB2312"/>
          <w:b/>
          <w:sz w:val="32"/>
          <w:szCs w:val="32"/>
        </w:rPr>
      </w:pPr>
      <w:r>
        <w:rPr>
          <w:rFonts w:eastAsia="楷体_GB2312"/>
          <w:b/>
          <w:sz w:val="32"/>
          <w:szCs w:val="32"/>
        </w:rPr>
        <w:t>预算支出产出情况</w:t>
      </w:r>
    </w:p>
    <w:p>
      <w:pPr>
        <w:pStyle w:val="2"/>
        <w:ind w:firstLine="640"/>
      </w:pPr>
      <w:r>
        <w:rPr>
          <w:rFonts w:hint="eastAsia" w:eastAsia="仿宋_GB2312"/>
          <w:szCs w:val="32"/>
        </w:rPr>
        <w:t>预算支出产出38分，其中实际完成率9分、质量达标率10分、完成及时性9分、成本节约率10分。</w:t>
      </w:r>
    </w:p>
    <w:p>
      <w:pPr>
        <w:numPr>
          <w:ilvl w:val="0"/>
          <w:numId w:val="12"/>
        </w:numPr>
        <w:spacing w:line="600" w:lineRule="exact"/>
        <w:ind w:firstLine="643" w:firstLineChars="200"/>
        <w:rPr>
          <w:rFonts w:eastAsia="楷体_GB2312"/>
          <w:b/>
          <w:sz w:val="32"/>
          <w:szCs w:val="32"/>
        </w:rPr>
      </w:pPr>
      <w:r>
        <w:rPr>
          <w:rFonts w:eastAsia="楷体_GB2312"/>
          <w:b/>
          <w:sz w:val="32"/>
          <w:szCs w:val="32"/>
        </w:rPr>
        <w:t>预算支出效益情况</w:t>
      </w:r>
    </w:p>
    <w:p>
      <w:pPr>
        <w:pStyle w:val="2"/>
        <w:ind w:firstLine="640"/>
      </w:pPr>
      <w:r>
        <w:rPr>
          <w:rFonts w:hint="eastAsia" w:eastAsia="仿宋_GB2312"/>
          <w:szCs w:val="32"/>
        </w:rPr>
        <w:t>通过全面实施预算绩效管理，提升财政资源配置效率，实现经济效益最优化。加强防汛抗旱工作，实施中小河流治理、进一步提高河道防洪减灾能力，确保拦蓄水构筑物防洪安全；加强农村水利设施建设，实施农田水利项目、农村供水项目等工程，提高农业综合生产能力和增强抗御自然灾害能力，改善农民群众的生活生产用水条件；加强农村公共供水工程运行管理维修，保障农村供水工程良性运行和效益充分发挥；加强水土保持和水资源管理，实施小流域治理、饮用水水源地安全保障建设等项目，严格落实最严格水资源管理制度，全力提升水生态文明建设水平；加强水利工程及设施的维修养护，保障水利工程和设施的正常运行，充分发挥经济和社会效益。</w:t>
      </w:r>
    </w:p>
    <w:p>
      <w:pPr>
        <w:spacing w:line="600" w:lineRule="exact"/>
        <w:ind w:firstLine="640" w:firstLineChars="200"/>
        <w:rPr>
          <w:rFonts w:eastAsia="仿宋_GB2312"/>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rPr>
      </w:pPr>
      <w:r>
        <w:rPr>
          <w:rFonts w:hint="eastAsia" w:eastAsia="仿宋_GB2312"/>
          <w:sz w:val="32"/>
          <w:szCs w:val="32"/>
        </w:rPr>
        <w:t>绩效管理责任制度，能更好地促进我们履行职责。我单位严格遵循把财政资金使用好、管理好的宗旨，基本做到了专款专用，严格资金审批程序，确保了项目质量，及财政资金的安全。</w:t>
      </w:r>
      <w:r>
        <w:rPr>
          <w:rFonts w:hint="eastAsia" w:eastAsia="仿宋_GB2312"/>
          <w:sz w:val="32"/>
          <w:szCs w:val="32"/>
          <w:lang w:eastAsia="zh-CN"/>
        </w:rPr>
        <w:t>但</w:t>
      </w:r>
      <w:r>
        <w:rPr>
          <w:rFonts w:hint="eastAsia" w:eastAsia="仿宋_GB2312"/>
          <w:sz w:val="32"/>
          <w:szCs w:val="32"/>
        </w:rPr>
        <w:t>因年初制定的预算与实际需求偏差太大，影响了预算完成率。</w:t>
      </w:r>
    </w:p>
    <w:p>
      <w:pPr>
        <w:spacing w:line="600" w:lineRule="exact"/>
        <w:ind w:firstLine="640" w:firstLineChars="200"/>
      </w:pPr>
      <w:r>
        <w:rPr>
          <w:rFonts w:hint="eastAsia" w:eastAsia="仿宋_GB2312"/>
          <w:sz w:val="32"/>
          <w:szCs w:val="32"/>
        </w:rPr>
        <w:t>存在的问题：对绩效评价工作的认识和重视程度还有待加强；推进项目前期工作资金缺口大，项目可行性研究报告编制、专家评审、勘测设计，与省、市对口衔接沟通等前期工作，区财政没有安排专项经费。</w:t>
      </w:r>
    </w:p>
    <w:p>
      <w:pPr>
        <w:spacing w:line="600" w:lineRule="exact"/>
        <w:ind w:firstLine="640" w:firstLineChars="200"/>
        <w:rPr>
          <w:rFonts w:eastAsia="仿宋_GB2312"/>
          <w:sz w:val="32"/>
          <w:szCs w:val="32"/>
        </w:rPr>
      </w:pPr>
      <w:r>
        <w:rPr>
          <w:rFonts w:hint="eastAsia" w:eastAsia="仿宋_GB2312"/>
          <w:sz w:val="32"/>
          <w:szCs w:val="32"/>
        </w:rPr>
        <w:t>改进措施：1、细化预算编制工作，落实落细部门预算，进一步加强各股室预算管理意识，优先保障固定性的、相对刚性的费用支出项目，进一步提高预算编制的科学性、严谨性和可控性。2、加强单位财务管理，健全单位财务管理制度体系，规范单位财务行为。</w:t>
      </w:r>
      <w:bookmarkStart w:id="0" w:name="_GoBack"/>
      <w:bookmarkEnd w:id="0"/>
      <w:r>
        <w:rPr>
          <w:rFonts w:hint="eastAsia" w:eastAsia="仿宋_GB2312"/>
          <w:sz w:val="32"/>
          <w:szCs w:val="32"/>
        </w:rPr>
        <w:t>3、对财政资金下达时间滞后的项目，加强与财政部门的沟通联系，尽早取得资金的拨付，保障项目资金的投入进度，发挥资金的使用效益。4、建立资金使用调度制度，每月对重点水利项目资金拨付情况和资金到位情况进行调度统计，定期通报水利项目资金到位及拨付情况，有效地提高资金的到位率和支付率。</w:t>
      </w:r>
    </w:p>
    <w:p>
      <w:pPr>
        <w:numPr>
          <w:ilvl w:val="0"/>
          <w:numId w:val="4"/>
        </w:numPr>
        <w:spacing w:line="600" w:lineRule="exact"/>
        <w:ind w:left="64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32"/>
        </w:rPr>
        <w:t>建议组织财务人员和业务部门工作人员预决算、绩效工作培训，加强预决算、绩效管理意识</w:t>
      </w:r>
      <w:r>
        <w:rPr>
          <w:rFonts w:hint="eastAsia" w:eastAsia="仿宋_GB2312"/>
          <w:sz w:val="32"/>
          <w:szCs w:val="32"/>
        </w:rPr>
        <w:t>；建立完善绩效考核制度，健全经费保障机制，争取多渠道的经费保障，以确保水利工作的顺利开展；建议财政部门从水利建设基金中安排专项资金支持项目缺口资金。</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hint="eastAsia" w:eastAsia="黑体"/>
          <w:sz w:val="32"/>
          <w:szCs w:val="32"/>
        </w:rPr>
      </w:pPr>
      <w:r>
        <w:rPr>
          <w:rFonts w:eastAsia="仿宋_GB2312"/>
          <w:sz w:val="32"/>
          <w:szCs w:val="32"/>
        </w:rPr>
        <w:t>2、绩效评价指标评分表</w:t>
      </w:r>
    </w:p>
    <w:p>
      <w:pPr>
        <w:pStyle w:val="2"/>
        <w:ind w:firstLine="64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620C76"/>
    <w:multiLevelType w:val="singleLevel"/>
    <w:tmpl w:val="A4620C76"/>
    <w:lvl w:ilvl="0" w:tentative="0">
      <w:start w:val="2"/>
      <w:numFmt w:val="chineseCounting"/>
      <w:suff w:val="nothing"/>
      <w:lvlText w:val="（%1）"/>
      <w:lvlJc w:val="left"/>
      <w:rPr>
        <w:rFonts w:hint="eastAsia"/>
      </w:rPr>
    </w:lvl>
  </w:abstractNum>
  <w:abstractNum w:abstractNumId="1">
    <w:nsid w:val="B75AF83C"/>
    <w:multiLevelType w:val="singleLevel"/>
    <w:tmpl w:val="B75AF83C"/>
    <w:lvl w:ilvl="0" w:tentative="0">
      <w:start w:val="3"/>
      <w:numFmt w:val="decimal"/>
      <w:suff w:val="nothing"/>
      <w:lvlText w:val="%1、"/>
      <w:lvlJc w:val="left"/>
    </w:lvl>
  </w:abstractNum>
  <w:abstractNum w:abstractNumId="2">
    <w:nsid w:val="CE0BD4DF"/>
    <w:multiLevelType w:val="singleLevel"/>
    <w:tmpl w:val="CE0BD4DF"/>
    <w:lvl w:ilvl="0" w:tentative="0">
      <w:start w:val="4"/>
      <w:numFmt w:val="chineseCounting"/>
      <w:suff w:val="nothing"/>
      <w:lvlText w:val="%1、"/>
      <w:lvlJc w:val="left"/>
      <w:rPr>
        <w:rFonts w:hint="eastAsia"/>
      </w:rPr>
    </w:lvl>
  </w:abstractNum>
  <w:abstractNum w:abstractNumId="3">
    <w:nsid w:val="0E96257E"/>
    <w:multiLevelType w:val="singleLevel"/>
    <w:tmpl w:val="0E96257E"/>
    <w:lvl w:ilvl="0" w:tentative="0">
      <w:start w:val="2"/>
      <w:numFmt w:val="chineseCounting"/>
      <w:suff w:val="nothing"/>
      <w:lvlText w:val="（%1）"/>
      <w:lvlJc w:val="left"/>
      <w:rPr>
        <w:rFonts w:hint="eastAsia"/>
      </w:rPr>
    </w:lvl>
  </w:abstractNum>
  <w:abstractNum w:abstractNumId="4">
    <w:nsid w:val="1514AD2A"/>
    <w:multiLevelType w:val="singleLevel"/>
    <w:tmpl w:val="1514AD2A"/>
    <w:lvl w:ilvl="0" w:tentative="0">
      <w:start w:val="1"/>
      <w:numFmt w:val="chineseCounting"/>
      <w:suff w:val="nothing"/>
      <w:lvlText w:val="%1、"/>
      <w:lvlJc w:val="left"/>
      <w:rPr>
        <w:rFonts w:hint="eastAsia"/>
      </w:rPr>
    </w:lvl>
  </w:abstractNum>
  <w:abstractNum w:abstractNumId="5">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4452EDC1"/>
    <w:multiLevelType w:val="singleLevel"/>
    <w:tmpl w:val="4452EDC1"/>
    <w:lvl w:ilvl="0" w:tentative="0">
      <w:start w:val="1"/>
      <w:numFmt w:val="decimal"/>
      <w:suff w:val="nothing"/>
      <w:lvlText w:val="%1、"/>
      <w:lvlJc w:val="left"/>
    </w:lvl>
  </w:abstractNum>
  <w:abstractNum w:abstractNumId="7">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4A575E1F"/>
    <w:multiLevelType w:val="singleLevel"/>
    <w:tmpl w:val="4A575E1F"/>
    <w:lvl w:ilvl="0" w:tentative="0">
      <w:start w:val="8"/>
      <w:numFmt w:val="chineseCounting"/>
      <w:suff w:val="nothing"/>
      <w:lvlText w:val="%1、"/>
      <w:lvlJc w:val="left"/>
      <w:rPr>
        <w:rFonts w:hint="eastAsia"/>
      </w:rPr>
    </w:lvl>
  </w:abstractNum>
  <w:abstractNum w:abstractNumId="9">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0">
    <w:nsid w:val="60F73ED8"/>
    <w:multiLevelType w:val="singleLevel"/>
    <w:tmpl w:val="60F73ED8"/>
    <w:lvl w:ilvl="0" w:tentative="0">
      <w:start w:val="4"/>
      <w:numFmt w:val="chineseCounting"/>
      <w:suff w:val="nothing"/>
      <w:lvlText w:val="（%1）"/>
      <w:lvlJc w:val="left"/>
      <w:rPr>
        <w:rFonts w:hint="eastAsia"/>
        <w:color w:val="auto"/>
      </w:rPr>
    </w:lvl>
  </w:abstractNum>
  <w:abstractNum w:abstractNumId="11">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4"/>
  </w:num>
  <w:num w:numId="2">
    <w:abstractNumId w:val="1"/>
  </w:num>
  <w:num w:numId="3">
    <w:abstractNumId w:val="6"/>
  </w:num>
  <w:num w:numId="4">
    <w:abstractNumId w:val="2"/>
  </w:num>
  <w:num w:numId="5">
    <w:abstractNumId w:val="10"/>
  </w:num>
  <w:num w:numId="6">
    <w:abstractNumId w:val="8"/>
  </w:num>
  <w:num w:numId="7">
    <w:abstractNumId w:val="7"/>
  </w:num>
  <w:num w:numId="8">
    <w:abstractNumId w:val="5"/>
  </w:num>
  <w:num w:numId="9">
    <w:abstractNumId w:val="11"/>
  </w:num>
  <w:num w:numId="10">
    <w:abstractNumId w:val="9"/>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0C4F54"/>
    <w:rsid w:val="00162440"/>
    <w:rsid w:val="00174EEF"/>
    <w:rsid w:val="001A127E"/>
    <w:rsid w:val="0022284B"/>
    <w:rsid w:val="00224A75"/>
    <w:rsid w:val="002558F7"/>
    <w:rsid w:val="0031755D"/>
    <w:rsid w:val="00325CBC"/>
    <w:rsid w:val="003711D0"/>
    <w:rsid w:val="00377767"/>
    <w:rsid w:val="00377A33"/>
    <w:rsid w:val="003979A1"/>
    <w:rsid w:val="003E5114"/>
    <w:rsid w:val="00426627"/>
    <w:rsid w:val="0054133B"/>
    <w:rsid w:val="005833DD"/>
    <w:rsid w:val="00595424"/>
    <w:rsid w:val="005C7453"/>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82141"/>
    <w:rsid w:val="00BB6107"/>
    <w:rsid w:val="00BD1C3A"/>
    <w:rsid w:val="00C25716"/>
    <w:rsid w:val="00C3391C"/>
    <w:rsid w:val="00C344EC"/>
    <w:rsid w:val="00C655E9"/>
    <w:rsid w:val="00C72139"/>
    <w:rsid w:val="00CC4C2C"/>
    <w:rsid w:val="00CC7477"/>
    <w:rsid w:val="00CD20A2"/>
    <w:rsid w:val="00D10324"/>
    <w:rsid w:val="00E127F9"/>
    <w:rsid w:val="00E50869"/>
    <w:rsid w:val="00E57D9E"/>
    <w:rsid w:val="00EF30FA"/>
    <w:rsid w:val="00FC7FE9"/>
    <w:rsid w:val="012B4907"/>
    <w:rsid w:val="013E30B5"/>
    <w:rsid w:val="016A5929"/>
    <w:rsid w:val="02863EB7"/>
    <w:rsid w:val="02D646C3"/>
    <w:rsid w:val="03492C7E"/>
    <w:rsid w:val="037F5606"/>
    <w:rsid w:val="03822E61"/>
    <w:rsid w:val="039C42A7"/>
    <w:rsid w:val="03C64C68"/>
    <w:rsid w:val="03FC11B3"/>
    <w:rsid w:val="042378D3"/>
    <w:rsid w:val="045774A9"/>
    <w:rsid w:val="047F7E4E"/>
    <w:rsid w:val="054B37CD"/>
    <w:rsid w:val="057F1BDD"/>
    <w:rsid w:val="05933E1D"/>
    <w:rsid w:val="05A202AD"/>
    <w:rsid w:val="05E85801"/>
    <w:rsid w:val="0629766A"/>
    <w:rsid w:val="06ED56AE"/>
    <w:rsid w:val="0721112C"/>
    <w:rsid w:val="073C1440"/>
    <w:rsid w:val="07566E59"/>
    <w:rsid w:val="075B09BC"/>
    <w:rsid w:val="076B3F77"/>
    <w:rsid w:val="07A83EC7"/>
    <w:rsid w:val="080B6972"/>
    <w:rsid w:val="08122D80"/>
    <w:rsid w:val="08203B4F"/>
    <w:rsid w:val="0852038F"/>
    <w:rsid w:val="08806B72"/>
    <w:rsid w:val="08AF3B96"/>
    <w:rsid w:val="08DC308A"/>
    <w:rsid w:val="0904552B"/>
    <w:rsid w:val="098C3707"/>
    <w:rsid w:val="09C614FF"/>
    <w:rsid w:val="09D76AD9"/>
    <w:rsid w:val="0AD577A2"/>
    <w:rsid w:val="0B3D1A2F"/>
    <w:rsid w:val="0B413708"/>
    <w:rsid w:val="0B47279B"/>
    <w:rsid w:val="0B556B01"/>
    <w:rsid w:val="0BA40618"/>
    <w:rsid w:val="0BBD085D"/>
    <w:rsid w:val="0C1176E5"/>
    <w:rsid w:val="0C1B0D41"/>
    <w:rsid w:val="0D086811"/>
    <w:rsid w:val="0D0F036C"/>
    <w:rsid w:val="0D6B4D25"/>
    <w:rsid w:val="0DB11A3E"/>
    <w:rsid w:val="0DD31EF6"/>
    <w:rsid w:val="0E0C5D75"/>
    <w:rsid w:val="0E150E35"/>
    <w:rsid w:val="0E15385A"/>
    <w:rsid w:val="0E7265FA"/>
    <w:rsid w:val="0ED21A18"/>
    <w:rsid w:val="0F665C36"/>
    <w:rsid w:val="102F6EB9"/>
    <w:rsid w:val="1067242F"/>
    <w:rsid w:val="10C6145B"/>
    <w:rsid w:val="111759D6"/>
    <w:rsid w:val="1138550E"/>
    <w:rsid w:val="11B54F1D"/>
    <w:rsid w:val="11F7261C"/>
    <w:rsid w:val="1201216D"/>
    <w:rsid w:val="121768CE"/>
    <w:rsid w:val="12581D4C"/>
    <w:rsid w:val="127414A1"/>
    <w:rsid w:val="12AE64FA"/>
    <w:rsid w:val="12B26D85"/>
    <w:rsid w:val="130222AA"/>
    <w:rsid w:val="136F2A7B"/>
    <w:rsid w:val="13B25510"/>
    <w:rsid w:val="13C130EA"/>
    <w:rsid w:val="13C51D40"/>
    <w:rsid w:val="14337AF6"/>
    <w:rsid w:val="147E7C30"/>
    <w:rsid w:val="14AA0D38"/>
    <w:rsid w:val="14B94605"/>
    <w:rsid w:val="14C218D7"/>
    <w:rsid w:val="14DA623B"/>
    <w:rsid w:val="150D194E"/>
    <w:rsid w:val="15600F80"/>
    <w:rsid w:val="15624F80"/>
    <w:rsid w:val="158B6591"/>
    <w:rsid w:val="15AC7F2E"/>
    <w:rsid w:val="16683C06"/>
    <w:rsid w:val="166D719A"/>
    <w:rsid w:val="1688352E"/>
    <w:rsid w:val="16C35760"/>
    <w:rsid w:val="176701AC"/>
    <w:rsid w:val="177F3CF0"/>
    <w:rsid w:val="17943A7F"/>
    <w:rsid w:val="17B70D94"/>
    <w:rsid w:val="17C8272F"/>
    <w:rsid w:val="181D000E"/>
    <w:rsid w:val="18267149"/>
    <w:rsid w:val="186B63F8"/>
    <w:rsid w:val="18731333"/>
    <w:rsid w:val="18D67CCA"/>
    <w:rsid w:val="19106B69"/>
    <w:rsid w:val="195F04BC"/>
    <w:rsid w:val="19A77AB2"/>
    <w:rsid w:val="19C71B0C"/>
    <w:rsid w:val="19D31B02"/>
    <w:rsid w:val="19D76884"/>
    <w:rsid w:val="19E57BE8"/>
    <w:rsid w:val="1A8B30B2"/>
    <w:rsid w:val="1AB01125"/>
    <w:rsid w:val="1AC34162"/>
    <w:rsid w:val="1B0F6FCC"/>
    <w:rsid w:val="1B351CBC"/>
    <w:rsid w:val="1B980C36"/>
    <w:rsid w:val="1BCF7F4B"/>
    <w:rsid w:val="1BEF0538"/>
    <w:rsid w:val="1C3162E6"/>
    <w:rsid w:val="1C6562CA"/>
    <w:rsid w:val="1D2547FC"/>
    <w:rsid w:val="1D5A0D8C"/>
    <w:rsid w:val="1D60771F"/>
    <w:rsid w:val="1DC14365"/>
    <w:rsid w:val="1DE12034"/>
    <w:rsid w:val="1E0E1C78"/>
    <w:rsid w:val="1E7F68D0"/>
    <w:rsid w:val="1E867088"/>
    <w:rsid w:val="1EF31D4B"/>
    <w:rsid w:val="1F182D53"/>
    <w:rsid w:val="1F783837"/>
    <w:rsid w:val="1F9652EB"/>
    <w:rsid w:val="1FCA7AE2"/>
    <w:rsid w:val="20157E87"/>
    <w:rsid w:val="20256350"/>
    <w:rsid w:val="20292791"/>
    <w:rsid w:val="2098339E"/>
    <w:rsid w:val="2098516E"/>
    <w:rsid w:val="20B05DF7"/>
    <w:rsid w:val="20FE58A7"/>
    <w:rsid w:val="211000C9"/>
    <w:rsid w:val="21156F85"/>
    <w:rsid w:val="217F6B0C"/>
    <w:rsid w:val="22141D79"/>
    <w:rsid w:val="22264F5B"/>
    <w:rsid w:val="22562107"/>
    <w:rsid w:val="22922030"/>
    <w:rsid w:val="22A72738"/>
    <w:rsid w:val="22D706C5"/>
    <w:rsid w:val="23667933"/>
    <w:rsid w:val="23B07CDD"/>
    <w:rsid w:val="23B975A9"/>
    <w:rsid w:val="24377D48"/>
    <w:rsid w:val="24646F0B"/>
    <w:rsid w:val="24CD63A9"/>
    <w:rsid w:val="250A6A2E"/>
    <w:rsid w:val="25160C01"/>
    <w:rsid w:val="254A5D8A"/>
    <w:rsid w:val="25524763"/>
    <w:rsid w:val="25845452"/>
    <w:rsid w:val="266B3667"/>
    <w:rsid w:val="269C6E63"/>
    <w:rsid w:val="26BC13D8"/>
    <w:rsid w:val="26C143FC"/>
    <w:rsid w:val="26D50C6A"/>
    <w:rsid w:val="26E01160"/>
    <w:rsid w:val="26E037B3"/>
    <w:rsid w:val="270528E5"/>
    <w:rsid w:val="27441B29"/>
    <w:rsid w:val="27C73E74"/>
    <w:rsid w:val="287F516B"/>
    <w:rsid w:val="28D34A8D"/>
    <w:rsid w:val="28FD5E05"/>
    <w:rsid w:val="29165C19"/>
    <w:rsid w:val="292E49DE"/>
    <w:rsid w:val="29367B3A"/>
    <w:rsid w:val="29372A3C"/>
    <w:rsid w:val="2A3E7496"/>
    <w:rsid w:val="2A3F7F6B"/>
    <w:rsid w:val="2A4312FB"/>
    <w:rsid w:val="2A6A2540"/>
    <w:rsid w:val="2A710646"/>
    <w:rsid w:val="2A7D398C"/>
    <w:rsid w:val="2AD7341A"/>
    <w:rsid w:val="2B5B0593"/>
    <w:rsid w:val="2B5B52B0"/>
    <w:rsid w:val="2B94398E"/>
    <w:rsid w:val="2C195EC6"/>
    <w:rsid w:val="2C4840A2"/>
    <w:rsid w:val="2C9201C2"/>
    <w:rsid w:val="2CB63CF9"/>
    <w:rsid w:val="2D7306BB"/>
    <w:rsid w:val="2D844DCD"/>
    <w:rsid w:val="2DB54A23"/>
    <w:rsid w:val="2DCF412B"/>
    <w:rsid w:val="2DE322CF"/>
    <w:rsid w:val="2E2A36B2"/>
    <w:rsid w:val="2E3A35DA"/>
    <w:rsid w:val="2E83487C"/>
    <w:rsid w:val="2EAA047D"/>
    <w:rsid w:val="2EFF0583"/>
    <w:rsid w:val="2F41527E"/>
    <w:rsid w:val="2F8542BE"/>
    <w:rsid w:val="2F861AB0"/>
    <w:rsid w:val="2FA008BE"/>
    <w:rsid w:val="2FA8774C"/>
    <w:rsid w:val="2FC16539"/>
    <w:rsid w:val="2FC45547"/>
    <w:rsid w:val="2FCE32B2"/>
    <w:rsid w:val="2FF07779"/>
    <w:rsid w:val="2FFC788A"/>
    <w:rsid w:val="303F4818"/>
    <w:rsid w:val="30452411"/>
    <w:rsid w:val="309717FB"/>
    <w:rsid w:val="30D67574"/>
    <w:rsid w:val="30DF42FD"/>
    <w:rsid w:val="30FC6C67"/>
    <w:rsid w:val="311C50B7"/>
    <w:rsid w:val="31F861FD"/>
    <w:rsid w:val="324355F5"/>
    <w:rsid w:val="32DC4655"/>
    <w:rsid w:val="32FD4F69"/>
    <w:rsid w:val="33212070"/>
    <w:rsid w:val="333477B7"/>
    <w:rsid w:val="334842B3"/>
    <w:rsid w:val="336E5AB0"/>
    <w:rsid w:val="33FB10A3"/>
    <w:rsid w:val="340A64D2"/>
    <w:rsid w:val="342934D9"/>
    <w:rsid w:val="349E2A67"/>
    <w:rsid w:val="34E668AA"/>
    <w:rsid w:val="354A072D"/>
    <w:rsid w:val="358F426E"/>
    <w:rsid w:val="35A238D4"/>
    <w:rsid w:val="360F57FC"/>
    <w:rsid w:val="361A55DA"/>
    <w:rsid w:val="367137E1"/>
    <w:rsid w:val="36AD20F6"/>
    <w:rsid w:val="36F4225A"/>
    <w:rsid w:val="373D67E7"/>
    <w:rsid w:val="376E3C0F"/>
    <w:rsid w:val="377F1750"/>
    <w:rsid w:val="37854104"/>
    <w:rsid w:val="37BD0AF1"/>
    <w:rsid w:val="37E22DA0"/>
    <w:rsid w:val="37FC2B2B"/>
    <w:rsid w:val="385728CB"/>
    <w:rsid w:val="38D07197"/>
    <w:rsid w:val="38F65241"/>
    <w:rsid w:val="393D5535"/>
    <w:rsid w:val="3A51027A"/>
    <w:rsid w:val="3AC750AA"/>
    <w:rsid w:val="3B5341CA"/>
    <w:rsid w:val="3B7E5571"/>
    <w:rsid w:val="3BB360BC"/>
    <w:rsid w:val="3BB722A0"/>
    <w:rsid w:val="3C072A79"/>
    <w:rsid w:val="3C0A117F"/>
    <w:rsid w:val="3C1C69E9"/>
    <w:rsid w:val="3C5637B2"/>
    <w:rsid w:val="3C673989"/>
    <w:rsid w:val="3C6E4682"/>
    <w:rsid w:val="3CDC0401"/>
    <w:rsid w:val="3CF868A2"/>
    <w:rsid w:val="3D381E5F"/>
    <w:rsid w:val="3D4625A5"/>
    <w:rsid w:val="3D600859"/>
    <w:rsid w:val="3DBB2B5D"/>
    <w:rsid w:val="3DBF68BA"/>
    <w:rsid w:val="3E20627B"/>
    <w:rsid w:val="3E8625A7"/>
    <w:rsid w:val="3EB662AE"/>
    <w:rsid w:val="3EEA36CB"/>
    <w:rsid w:val="3EFA13BC"/>
    <w:rsid w:val="3F030A49"/>
    <w:rsid w:val="3F135AA0"/>
    <w:rsid w:val="3F343184"/>
    <w:rsid w:val="3F8505EB"/>
    <w:rsid w:val="3FB43D3E"/>
    <w:rsid w:val="3FD84E9B"/>
    <w:rsid w:val="40593BE7"/>
    <w:rsid w:val="406E2AEA"/>
    <w:rsid w:val="40D52A5D"/>
    <w:rsid w:val="40FA2552"/>
    <w:rsid w:val="412B08AA"/>
    <w:rsid w:val="413033B6"/>
    <w:rsid w:val="418405AC"/>
    <w:rsid w:val="41B64972"/>
    <w:rsid w:val="41CB3E2C"/>
    <w:rsid w:val="42B07FE6"/>
    <w:rsid w:val="42BE5526"/>
    <w:rsid w:val="42E94232"/>
    <w:rsid w:val="42F841D6"/>
    <w:rsid w:val="43021321"/>
    <w:rsid w:val="43197893"/>
    <w:rsid w:val="431A1648"/>
    <w:rsid w:val="43647B63"/>
    <w:rsid w:val="43981C6D"/>
    <w:rsid w:val="43A6590B"/>
    <w:rsid w:val="43B5330D"/>
    <w:rsid w:val="43C229A9"/>
    <w:rsid w:val="445039A2"/>
    <w:rsid w:val="445F3C95"/>
    <w:rsid w:val="44917C85"/>
    <w:rsid w:val="44A106C2"/>
    <w:rsid w:val="451B7676"/>
    <w:rsid w:val="4561418C"/>
    <w:rsid w:val="458B0326"/>
    <w:rsid w:val="45B22B28"/>
    <w:rsid w:val="46666968"/>
    <w:rsid w:val="46991DCB"/>
    <w:rsid w:val="46E15151"/>
    <w:rsid w:val="47123F01"/>
    <w:rsid w:val="47316AB4"/>
    <w:rsid w:val="477A0909"/>
    <w:rsid w:val="47A40E6D"/>
    <w:rsid w:val="48423B89"/>
    <w:rsid w:val="48434D02"/>
    <w:rsid w:val="4847762F"/>
    <w:rsid w:val="484D2E69"/>
    <w:rsid w:val="48615C7A"/>
    <w:rsid w:val="486654FE"/>
    <w:rsid w:val="48CF41B2"/>
    <w:rsid w:val="493F62AE"/>
    <w:rsid w:val="49EB7E06"/>
    <w:rsid w:val="4A40208B"/>
    <w:rsid w:val="4A7E3D52"/>
    <w:rsid w:val="4A85606A"/>
    <w:rsid w:val="4A8A1F8F"/>
    <w:rsid w:val="4A9B42F6"/>
    <w:rsid w:val="4AA57971"/>
    <w:rsid w:val="4ABD1CFE"/>
    <w:rsid w:val="4B081948"/>
    <w:rsid w:val="4B0B6559"/>
    <w:rsid w:val="4B3647E7"/>
    <w:rsid w:val="4B4E270D"/>
    <w:rsid w:val="4B913A6F"/>
    <w:rsid w:val="4B93205B"/>
    <w:rsid w:val="4BBA3F50"/>
    <w:rsid w:val="4C41026E"/>
    <w:rsid w:val="4C4E69B2"/>
    <w:rsid w:val="4C5A4844"/>
    <w:rsid w:val="4CFC7E90"/>
    <w:rsid w:val="4D0E1D39"/>
    <w:rsid w:val="4D66431E"/>
    <w:rsid w:val="4D6D17E3"/>
    <w:rsid w:val="4E2156BC"/>
    <w:rsid w:val="4E311ECF"/>
    <w:rsid w:val="4E351347"/>
    <w:rsid w:val="4E743F0F"/>
    <w:rsid w:val="4EB40631"/>
    <w:rsid w:val="4EC312B8"/>
    <w:rsid w:val="4F166840"/>
    <w:rsid w:val="4F292C1B"/>
    <w:rsid w:val="4F503B32"/>
    <w:rsid w:val="4FB32F65"/>
    <w:rsid w:val="4FC86AD4"/>
    <w:rsid w:val="50571326"/>
    <w:rsid w:val="50992DC2"/>
    <w:rsid w:val="509D3562"/>
    <w:rsid w:val="50D80522"/>
    <w:rsid w:val="50F63BEB"/>
    <w:rsid w:val="5118074A"/>
    <w:rsid w:val="51545F07"/>
    <w:rsid w:val="516843E7"/>
    <w:rsid w:val="51844DD9"/>
    <w:rsid w:val="523417A1"/>
    <w:rsid w:val="528D5D5F"/>
    <w:rsid w:val="52C07A7F"/>
    <w:rsid w:val="52E03992"/>
    <w:rsid w:val="534D064D"/>
    <w:rsid w:val="53F90A8D"/>
    <w:rsid w:val="54156664"/>
    <w:rsid w:val="54414D2B"/>
    <w:rsid w:val="54CA75D5"/>
    <w:rsid w:val="550C0321"/>
    <w:rsid w:val="560A7B16"/>
    <w:rsid w:val="56630475"/>
    <w:rsid w:val="56754858"/>
    <w:rsid w:val="568E0124"/>
    <w:rsid w:val="57025E9D"/>
    <w:rsid w:val="57287C03"/>
    <w:rsid w:val="57397616"/>
    <w:rsid w:val="57631951"/>
    <w:rsid w:val="578C7463"/>
    <w:rsid w:val="57B97686"/>
    <w:rsid w:val="57C04FB9"/>
    <w:rsid w:val="57F858E5"/>
    <w:rsid w:val="588916CD"/>
    <w:rsid w:val="58BF44ED"/>
    <w:rsid w:val="58E516A9"/>
    <w:rsid w:val="5977372C"/>
    <w:rsid w:val="5A07738D"/>
    <w:rsid w:val="5A254635"/>
    <w:rsid w:val="5A8F3B8E"/>
    <w:rsid w:val="5ABF4946"/>
    <w:rsid w:val="5AC5779F"/>
    <w:rsid w:val="5ADC2B90"/>
    <w:rsid w:val="5B575926"/>
    <w:rsid w:val="5BC110A3"/>
    <w:rsid w:val="5BDA272C"/>
    <w:rsid w:val="5C1B3DB7"/>
    <w:rsid w:val="5C5A19C4"/>
    <w:rsid w:val="5CD040F4"/>
    <w:rsid w:val="5CD50203"/>
    <w:rsid w:val="5D065C1F"/>
    <w:rsid w:val="5E3340D1"/>
    <w:rsid w:val="5E6F6DFD"/>
    <w:rsid w:val="5E707F92"/>
    <w:rsid w:val="5E85036A"/>
    <w:rsid w:val="5EAE598D"/>
    <w:rsid w:val="5EC21365"/>
    <w:rsid w:val="5EE3067B"/>
    <w:rsid w:val="5F1D209B"/>
    <w:rsid w:val="5F293B9F"/>
    <w:rsid w:val="5F316B09"/>
    <w:rsid w:val="5F424A0C"/>
    <w:rsid w:val="5FA935A1"/>
    <w:rsid w:val="60697C8B"/>
    <w:rsid w:val="60DD4855"/>
    <w:rsid w:val="60DE1A76"/>
    <w:rsid w:val="60E13A37"/>
    <w:rsid w:val="613224D9"/>
    <w:rsid w:val="6177761A"/>
    <w:rsid w:val="61A22A3D"/>
    <w:rsid w:val="62260CE0"/>
    <w:rsid w:val="632039B4"/>
    <w:rsid w:val="636D112B"/>
    <w:rsid w:val="63B20B21"/>
    <w:rsid w:val="63DA0C7B"/>
    <w:rsid w:val="641700AB"/>
    <w:rsid w:val="648F562B"/>
    <w:rsid w:val="64E461E5"/>
    <w:rsid w:val="64E60F4A"/>
    <w:rsid w:val="65035B23"/>
    <w:rsid w:val="652D0BA3"/>
    <w:rsid w:val="653B75F2"/>
    <w:rsid w:val="65667431"/>
    <w:rsid w:val="658B6357"/>
    <w:rsid w:val="65D1607F"/>
    <w:rsid w:val="6604269C"/>
    <w:rsid w:val="66231464"/>
    <w:rsid w:val="666041D6"/>
    <w:rsid w:val="669B08AC"/>
    <w:rsid w:val="670C01AA"/>
    <w:rsid w:val="67216D79"/>
    <w:rsid w:val="67CE4E15"/>
    <w:rsid w:val="67E9031A"/>
    <w:rsid w:val="6844031E"/>
    <w:rsid w:val="68A666D1"/>
    <w:rsid w:val="68B5043F"/>
    <w:rsid w:val="68BF6EEC"/>
    <w:rsid w:val="69060B65"/>
    <w:rsid w:val="69320B6B"/>
    <w:rsid w:val="697E57C8"/>
    <w:rsid w:val="69824973"/>
    <w:rsid w:val="6A9C73C6"/>
    <w:rsid w:val="6AC72CAD"/>
    <w:rsid w:val="6ACB4BBD"/>
    <w:rsid w:val="6B022C6C"/>
    <w:rsid w:val="6B2E1DF0"/>
    <w:rsid w:val="6B6B7179"/>
    <w:rsid w:val="6BB76209"/>
    <w:rsid w:val="6BDE7285"/>
    <w:rsid w:val="6BE5692F"/>
    <w:rsid w:val="6C053134"/>
    <w:rsid w:val="6C32115C"/>
    <w:rsid w:val="6D4D23E1"/>
    <w:rsid w:val="6D5377FE"/>
    <w:rsid w:val="6D5F3C2E"/>
    <w:rsid w:val="6D7E0069"/>
    <w:rsid w:val="6D993877"/>
    <w:rsid w:val="6DF747DF"/>
    <w:rsid w:val="6E001DAD"/>
    <w:rsid w:val="6E57623C"/>
    <w:rsid w:val="6E5D7967"/>
    <w:rsid w:val="6EEA53FC"/>
    <w:rsid w:val="6F117549"/>
    <w:rsid w:val="6F4637D4"/>
    <w:rsid w:val="6FD552B4"/>
    <w:rsid w:val="6FF045F2"/>
    <w:rsid w:val="6FFC08CF"/>
    <w:rsid w:val="700217BD"/>
    <w:rsid w:val="70483E71"/>
    <w:rsid w:val="70697A10"/>
    <w:rsid w:val="70F37253"/>
    <w:rsid w:val="71155B20"/>
    <w:rsid w:val="7139621B"/>
    <w:rsid w:val="71406980"/>
    <w:rsid w:val="717B0EB7"/>
    <w:rsid w:val="71B24C67"/>
    <w:rsid w:val="71CB5472"/>
    <w:rsid w:val="72005E04"/>
    <w:rsid w:val="722C22E6"/>
    <w:rsid w:val="72354CDD"/>
    <w:rsid w:val="723F3707"/>
    <w:rsid w:val="72BB7C54"/>
    <w:rsid w:val="72C036BA"/>
    <w:rsid w:val="72D8286C"/>
    <w:rsid w:val="72E743C5"/>
    <w:rsid w:val="73403436"/>
    <w:rsid w:val="736E2421"/>
    <w:rsid w:val="73C83BE9"/>
    <w:rsid w:val="73E61FA2"/>
    <w:rsid w:val="73F05F01"/>
    <w:rsid w:val="741C1613"/>
    <w:rsid w:val="74492B9A"/>
    <w:rsid w:val="746A1E3C"/>
    <w:rsid w:val="74C960F5"/>
    <w:rsid w:val="74CC55E3"/>
    <w:rsid w:val="74E51FE0"/>
    <w:rsid w:val="75560706"/>
    <w:rsid w:val="75614B8B"/>
    <w:rsid w:val="75AD3F6B"/>
    <w:rsid w:val="75DB3790"/>
    <w:rsid w:val="763B7D3E"/>
    <w:rsid w:val="768579E1"/>
    <w:rsid w:val="76866CD6"/>
    <w:rsid w:val="76C21B61"/>
    <w:rsid w:val="76F73A4C"/>
    <w:rsid w:val="77210BFC"/>
    <w:rsid w:val="7771106D"/>
    <w:rsid w:val="777D66C5"/>
    <w:rsid w:val="7788071D"/>
    <w:rsid w:val="77E32DA2"/>
    <w:rsid w:val="780949F9"/>
    <w:rsid w:val="782715DB"/>
    <w:rsid w:val="7833655C"/>
    <w:rsid w:val="783A2B7D"/>
    <w:rsid w:val="783E09FF"/>
    <w:rsid w:val="789618A8"/>
    <w:rsid w:val="78991BBA"/>
    <w:rsid w:val="78AF4C70"/>
    <w:rsid w:val="78CB2B38"/>
    <w:rsid w:val="78F90462"/>
    <w:rsid w:val="790E24FD"/>
    <w:rsid w:val="79353816"/>
    <w:rsid w:val="794C1DD8"/>
    <w:rsid w:val="7983088A"/>
    <w:rsid w:val="79970C0B"/>
    <w:rsid w:val="79CF27D1"/>
    <w:rsid w:val="79F83B84"/>
    <w:rsid w:val="7A6E1028"/>
    <w:rsid w:val="7A6F5165"/>
    <w:rsid w:val="7A8A3B6F"/>
    <w:rsid w:val="7A8D5A69"/>
    <w:rsid w:val="7AAA12CC"/>
    <w:rsid w:val="7AB5127C"/>
    <w:rsid w:val="7AE114D7"/>
    <w:rsid w:val="7AE9015B"/>
    <w:rsid w:val="7B2447ED"/>
    <w:rsid w:val="7C1E0676"/>
    <w:rsid w:val="7CE94BEA"/>
    <w:rsid w:val="7CFE22C8"/>
    <w:rsid w:val="7D040D75"/>
    <w:rsid w:val="7D0B6F0E"/>
    <w:rsid w:val="7D4E1638"/>
    <w:rsid w:val="7D5761CE"/>
    <w:rsid w:val="7DFB26E1"/>
    <w:rsid w:val="7E580D02"/>
    <w:rsid w:val="7ED45892"/>
    <w:rsid w:val="7EE136CC"/>
    <w:rsid w:val="7F120245"/>
    <w:rsid w:val="7F5B7016"/>
    <w:rsid w:val="7F826405"/>
    <w:rsid w:val="7F900636"/>
    <w:rsid w:val="7FD27D29"/>
    <w:rsid w:val="7FE842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uiPriority w:val="0"/>
    <w:pPr>
      <w:keepNext/>
      <w:keepLines/>
      <w:outlineLvl w:val="1"/>
    </w:pPr>
    <w:rPr>
      <w:bCs/>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jc w:val="left"/>
    </w:pPr>
    <w:rPr>
      <w:sz w:val="32"/>
    </w:rPr>
  </w:style>
  <w:style w:type="paragraph" w:styleId="3">
    <w:name w:val="Body Text Indent"/>
    <w:basedOn w:val="1"/>
    <w:qFormat/>
    <w:uiPriority w:val="0"/>
    <w:pPr>
      <w:ind w:firstLine="200" w:firstLineChars="200"/>
    </w:pPr>
  </w:style>
  <w:style w:type="paragraph" w:styleId="5">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iPriority w:val="0"/>
    <w:pPr>
      <w:spacing w:before="100" w:beforeAutospacing="1" w:after="100" w:afterAutospacing="1"/>
      <w:jc w:val="left"/>
    </w:pPr>
    <w:rPr>
      <w:kern w:val="0"/>
      <w:sz w:val="24"/>
    </w:rPr>
  </w:style>
  <w:style w:type="character" w:styleId="10">
    <w:name w:val="Strong"/>
    <w:basedOn w:val="9"/>
    <w:qFormat/>
    <w:uiPriority w:val="0"/>
    <w:rPr>
      <w:b/>
    </w:rPr>
  </w:style>
  <w:style w:type="character" w:customStyle="1" w:styleId="11">
    <w:name w:val="页眉 Char"/>
    <w:basedOn w:val="9"/>
    <w:link w:val="6"/>
    <w:semiHidden/>
    <w:uiPriority w:val="99"/>
    <w:rPr>
      <w:sz w:val="18"/>
      <w:szCs w:val="18"/>
    </w:rPr>
  </w:style>
  <w:style w:type="character" w:customStyle="1" w:styleId="12">
    <w:name w:val="页脚 Char"/>
    <w:basedOn w:val="9"/>
    <w:link w:val="5"/>
    <w:semiHidden/>
    <w:qFormat/>
    <w:uiPriority w:val="99"/>
    <w:rPr>
      <w:sz w:val="18"/>
      <w:szCs w:val="18"/>
    </w:rPr>
  </w:style>
  <w:style w:type="paragraph" w:styleId="13">
    <w:name w:val="List Paragraph"/>
    <w:basedOn w:val="1"/>
    <w:qFormat/>
    <w:uiPriority w:val="99"/>
    <w:pPr>
      <w:ind w:firstLine="420" w:firstLineChars="200"/>
    </w:pPr>
    <w:rPr>
      <w:rFonts w:ascii="Calibri" w:hAnsi="Calibri"/>
      <w:szCs w:val="22"/>
    </w:rPr>
  </w:style>
  <w:style w:type="paragraph" w:customStyle="1" w:styleId="14">
    <w:name w:val="Defaul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32</Pages>
  <Words>2811</Words>
  <Characters>16027</Characters>
  <Lines>133</Lines>
  <Paragraphs>37</Paragraphs>
  <TotalTime>2</TotalTime>
  <ScaleCrop>false</ScaleCrop>
  <LinksUpToDate>false</LinksUpToDate>
  <CharactersWithSpaces>18801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丹</cp:lastModifiedBy>
  <cp:lastPrinted>2020-09-17T02:36:00Z</cp:lastPrinted>
  <dcterms:modified xsi:type="dcterms:W3CDTF">2020-09-17T06:41:44Z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