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93C" w:rsidRDefault="006247C0">
      <w:pPr>
        <w:widowControl/>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附件</w:t>
      </w:r>
      <w:r>
        <w:rPr>
          <w:rFonts w:asciiTheme="majorEastAsia" w:eastAsiaTheme="majorEastAsia" w:hAnsiTheme="majorEastAsia" w:cstheme="majorEastAsia" w:hint="eastAsia"/>
          <w:sz w:val="32"/>
          <w:szCs w:val="32"/>
        </w:rPr>
        <w:t>1</w:t>
      </w:r>
    </w:p>
    <w:p w:rsidR="0022093C" w:rsidRDefault="006247C0" w:rsidP="00C37286">
      <w:pPr>
        <w:spacing w:beforeLines="50" w:afterLines="50"/>
        <w:jc w:val="center"/>
        <w:rPr>
          <w:rFonts w:asciiTheme="majorEastAsia" w:eastAsiaTheme="majorEastAsia" w:hAnsiTheme="majorEastAsia" w:cstheme="majorEastAsia"/>
          <w:bCs/>
          <w:sz w:val="36"/>
          <w:szCs w:val="36"/>
        </w:rPr>
      </w:pPr>
      <w:r>
        <w:rPr>
          <w:rFonts w:asciiTheme="majorEastAsia" w:eastAsiaTheme="majorEastAsia" w:hAnsiTheme="majorEastAsia" w:cstheme="majorEastAsia" w:hint="eastAsia"/>
          <w:bCs/>
          <w:sz w:val="36"/>
          <w:szCs w:val="36"/>
        </w:rPr>
        <w:t>鹤城区商务局</w:t>
      </w:r>
      <w:r>
        <w:rPr>
          <w:rFonts w:asciiTheme="majorEastAsia" w:eastAsiaTheme="majorEastAsia" w:hAnsiTheme="majorEastAsia" w:cstheme="majorEastAsia" w:hint="eastAsia"/>
          <w:bCs/>
          <w:sz w:val="36"/>
          <w:szCs w:val="36"/>
        </w:rPr>
        <w:t>部门整体支出绩效评价共性指标</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22093C">
        <w:trPr>
          <w:trHeight w:val="861"/>
          <w:tblHeader/>
          <w:jc w:val="center"/>
        </w:trPr>
        <w:tc>
          <w:tcPr>
            <w:tcW w:w="666" w:type="dxa"/>
            <w:shd w:val="clear" w:color="auto" w:fill="auto"/>
            <w:tcMar>
              <w:top w:w="10" w:type="dxa"/>
              <w:left w:w="10" w:type="dxa"/>
              <w:bottom w:w="0" w:type="dxa"/>
              <w:right w:w="10" w:type="dxa"/>
            </w:tcMar>
            <w:vAlign w:val="center"/>
          </w:tcPr>
          <w:p w:rsidR="0022093C" w:rsidRDefault="006247C0">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一级</w:t>
            </w:r>
            <w:r>
              <w:rPr>
                <w:rFonts w:asciiTheme="majorEastAsia" w:eastAsiaTheme="majorEastAsia" w:hAnsiTheme="majorEastAsia" w:cstheme="majorEastAsia" w:hint="eastAsia"/>
                <w:b/>
                <w:bCs/>
                <w:szCs w:val="21"/>
              </w:rPr>
              <w:br/>
            </w:r>
            <w:r>
              <w:rPr>
                <w:rFonts w:asciiTheme="majorEastAsia" w:eastAsiaTheme="majorEastAsia" w:hAnsiTheme="majorEastAsia" w:cstheme="majorEastAsia" w:hint="eastAsia"/>
                <w:b/>
                <w:bCs/>
                <w:szCs w:val="21"/>
              </w:rPr>
              <w:t>指标</w:t>
            </w:r>
          </w:p>
        </w:tc>
        <w:tc>
          <w:tcPr>
            <w:tcW w:w="866" w:type="dxa"/>
            <w:shd w:val="clear" w:color="auto" w:fill="auto"/>
            <w:tcMar>
              <w:top w:w="10" w:type="dxa"/>
              <w:left w:w="10" w:type="dxa"/>
              <w:bottom w:w="0" w:type="dxa"/>
              <w:right w:w="10" w:type="dxa"/>
            </w:tcMar>
            <w:vAlign w:val="center"/>
          </w:tcPr>
          <w:p w:rsidR="0022093C" w:rsidRDefault="006247C0">
            <w:pPr>
              <w:ind w:rightChars="-83" w:right="-174"/>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二级</w:t>
            </w:r>
          </w:p>
          <w:p w:rsidR="0022093C" w:rsidRDefault="006247C0">
            <w:pPr>
              <w:ind w:rightChars="-83" w:right="-174"/>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指标</w:t>
            </w:r>
          </w:p>
        </w:tc>
        <w:tc>
          <w:tcPr>
            <w:tcW w:w="951" w:type="dxa"/>
            <w:shd w:val="clear" w:color="auto" w:fill="auto"/>
            <w:tcMar>
              <w:top w:w="10" w:type="dxa"/>
              <w:left w:w="10" w:type="dxa"/>
              <w:bottom w:w="0" w:type="dxa"/>
              <w:right w:w="10" w:type="dxa"/>
            </w:tcMar>
            <w:vAlign w:val="center"/>
          </w:tcPr>
          <w:p w:rsidR="0022093C" w:rsidRDefault="006247C0">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三级</w:t>
            </w:r>
          </w:p>
          <w:p w:rsidR="0022093C" w:rsidRDefault="006247C0">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指标</w:t>
            </w:r>
          </w:p>
        </w:tc>
        <w:tc>
          <w:tcPr>
            <w:tcW w:w="2908" w:type="dxa"/>
            <w:shd w:val="clear" w:color="auto" w:fill="auto"/>
            <w:tcMar>
              <w:top w:w="10" w:type="dxa"/>
              <w:left w:w="10" w:type="dxa"/>
              <w:bottom w:w="0" w:type="dxa"/>
              <w:right w:w="10" w:type="dxa"/>
            </w:tcMar>
            <w:vAlign w:val="center"/>
          </w:tcPr>
          <w:p w:rsidR="0022093C" w:rsidRDefault="006247C0">
            <w:pPr>
              <w:ind w:leftChars="50" w:left="105" w:rightChars="50" w:right="105"/>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评分及标准</w:t>
            </w:r>
          </w:p>
        </w:tc>
        <w:tc>
          <w:tcPr>
            <w:tcW w:w="4252" w:type="dxa"/>
            <w:shd w:val="clear" w:color="auto" w:fill="auto"/>
            <w:tcMar>
              <w:top w:w="10" w:type="dxa"/>
              <w:left w:w="10" w:type="dxa"/>
              <w:bottom w:w="0" w:type="dxa"/>
              <w:right w:w="10" w:type="dxa"/>
            </w:tcMar>
            <w:vAlign w:val="center"/>
          </w:tcPr>
          <w:p w:rsidR="0022093C" w:rsidRDefault="006247C0">
            <w:pPr>
              <w:ind w:leftChars="50" w:left="105" w:rightChars="50" w:right="105"/>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指标说明</w:t>
            </w:r>
          </w:p>
        </w:tc>
        <w:tc>
          <w:tcPr>
            <w:tcW w:w="938" w:type="dxa"/>
            <w:vAlign w:val="center"/>
          </w:tcPr>
          <w:p w:rsidR="0022093C" w:rsidRDefault="006247C0">
            <w:pPr>
              <w:ind w:leftChars="50" w:left="105" w:rightChars="50" w:right="105"/>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自评分</w:t>
            </w:r>
          </w:p>
        </w:tc>
      </w:tr>
      <w:tr w:rsidR="0022093C">
        <w:trPr>
          <w:trHeight w:val="1667"/>
          <w:jc w:val="center"/>
        </w:trPr>
        <w:tc>
          <w:tcPr>
            <w:tcW w:w="666" w:type="dxa"/>
            <w:vMerge w:val="restart"/>
            <w:shd w:val="clear" w:color="auto" w:fill="auto"/>
            <w:noWrap/>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投</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入</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20</w:t>
            </w:r>
            <w:r>
              <w:rPr>
                <w:rFonts w:asciiTheme="majorEastAsia" w:eastAsiaTheme="majorEastAsia" w:hAnsiTheme="majorEastAsia" w:cstheme="majorEastAsia" w:hint="eastAsia"/>
                <w:szCs w:val="21"/>
              </w:rPr>
              <w:t>分）</w:t>
            </w:r>
          </w:p>
        </w:tc>
        <w:tc>
          <w:tcPr>
            <w:tcW w:w="866" w:type="dxa"/>
            <w:vMerge w:val="restart"/>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目标</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设定</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14</w:t>
            </w:r>
            <w:r>
              <w:rPr>
                <w:rFonts w:asciiTheme="majorEastAsia" w:eastAsiaTheme="majorEastAsia" w:hAnsiTheme="majorEastAsia" w:cstheme="majorEastAsia" w:hint="eastAsia"/>
                <w:szCs w:val="21"/>
              </w:rPr>
              <w:t>分）</w:t>
            </w: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绩效目标</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合理性</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6</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每项指标评价要点加</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①是否符合国家法律法规、国民经济和社会发展总体规划</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分②是否符合部门“三定”方案确定的职责</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分③是否符合部门制定的中长期实施规划</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6</w:t>
            </w:r>
          </w:p>
        </w:tc>
      </w:tr>
      <w:tr w:rsidR="0022093C">
        <w:trPr>
          <w:trHeight w:val="2387"/>
          <w:jc w:val="center"/>
        </w:trPr>
        <w:tc>
          <w:tcPr>
            <w:tcW w:w="6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8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绩效指标</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明确性</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8</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每项指标评价要点加</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①是否将部门整体的绩效目标细化分解为具体的工作任务</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②是否通过清晰、可衡量的指标值予以体现。</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③是否与部门年度的任务数或计划数相对应</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④是否与本年度部门预算资金相匹配</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8</w:t>
            </w:r>
          </w:p>
        </w:tc>
      </w:tr>
      <w:tr w:rsidR="0022093C">
        <w:trPr>
          <w:trHeight w:val="2110"/>
          <w:jc w:val="center"/>
        </w:trPr>
        <w:tc>
          <w:tcPr>
            <w:tcW w:w="6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866" w:type="dxa"/>
            <w:vMerge w:val="restart"/>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配置</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6</w:t>
            </w:r>
            <w:r>
              <w:rPr>
                <w:rFonts w:asciiTheme="majorEastAsia" w:eastAsiaTheme="majorEastAsia" w:hAnsiTheme="majorEastAsia" w:cstheme="majorEastAsia" w:hint="eastAsia"/>
                <w:szCs w:val="21"/>
              </w:rPr>
              <w:t>分）</w:t>
            </w: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在职人员</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控制率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以</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为标准，在职人员控制率≤</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，计</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分；每超过一个百分点扣</w:t>
            </w:r>
            <w:r>
              <w:rPr>
                <w:rFonts w:asciiTheme="majorEastAsia" w:eastAsiaTheme="majorEastAsia" w:hAnsiTheme="majorEastAsia" w:cstheme="majorEastAsia" w:hint="eastAsia"/>
                <w:szCs w:val="21"/>
              </w:rPr>
              <w:t>0.5</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在职人员控制率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（在职人员数</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编制数）×</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在职人员数：部门实际在职人数，以财政部确定的部门决算编制口径为准。</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编制数：机构编制部门核定批复的部门的人员编制数。</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1829"/>
          <w:jc w:val="center"/>
        </w:trPr>
        <w:tc>
          <w:tcPr>
            <w:tcW w:w="6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8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“三公经费”</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变动率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“三公经费”变动率为</w:t>
            </w:r>
            <w:r>
              <w:rPr>
                <w:rFonts w:asciiTheme="majorEastAsia" w:eastAsiaTheme="majorEastAsia" w:hAnsiTheme="majorEastAsia" w:cstheme="majorEastAsia" w:hint="eastAsia"/>
                <w:szCs w:val="21"/>
              </w:rPr>
              <w:t>0</w:t>
            </w:r>
            <w:r>
              <w:rPr>
                <w:rFonts w:asciiTheme="majorEastAsia" w:eastAsiaTheme="majorEastAsia" w:hAnsiTheme="majorEastAsia" w:cstheme="majorEastAsia" w:hint="eastAsia"/>
                <w:szCs w:val="21"/>
              </w:rPr>
              <w:t>，计</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分；“三公经费”＞</w:t>
            </w:r>
            <w:r>
              <w:rPr>
                <w:rFonts w:asciiTheme="majorEastAsia" w:eastAsiaTheme="majorEastAsia" w:hAnsiTheme="majorEastAsia" w:cstheme="majorEastAsia" w:hint="eastAsia"/>
                <w:szCs w:val="21"/>
              </w:rPr>
              <w:t>0</w:t>
            </w:r>
            <w:r>
              <w:rPr>
                <w:rFonts w:asciiTheme="majorEastAsia" w:eastAsiaTheme="majorEastAsia" w:hAnsiTheme="majorEastAsia" w:cstheme="majorEastAsia" w:hint="eastAsia"/>
                <w:szCs w:val="21"/>
              </w:rPr>
              <w:t>，每超过一个百分点扣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“三公经费”变动率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（本年度“三公经费”总额</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上年度“三公经费”总额）</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上年度“三公经费”总额</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“三公经费”：年度预算安排的因公出国（境）费、公务车辆购置及运行费和公务招待费。</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1861"/>
          <w:jc w:val="center"/>
        </w:trPr>
        <w:tc>
          <w:tcPr>
            <w:tcW w:w="6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8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重点支出</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安排率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“重点支出安排率”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50%</w:t>
            </w:r>
            <w:r>
              <w:rPr>
                <w:rFonts w:asciiTheme="majorEastAsia" w:eastAsiaTheme="majorEastAsia" w:hAnsiTheme="majorEastAsia" w:cstheme="majorEastAsia" w:hint="eastAsia"/>
                <w:szCs w:val="21"/>
              </w:rPr>
              <w:t>，计</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分，每下降一个百分点扣</w:t>
            </w:r>
            <w:r>
              <w:rPr>
                <w:rFonts w:asciiTheme="majorEastAsia" w:eastAsiaTheme="majorEastAsia" w:hAnsiTheme="majorEastAsia" w:cstheme="majorEastAsia" w:hint="eastAsia"/>
                <w:szCs w:val="21"/>
              </w:rPr>
              <w:t>0.5</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重点支出安排率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（重点预算支出</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预算总支出）×</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重点预算支出：部门年度预算安排的，与本部门履职和发展密切相关、具有明显社会和经济影响、党委政府关心或社会比较关注的预算支出支出总额。</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预算总支出：部门年度预算安排的预算支出支出总额。</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1660"/>
          <w:jc w:val="center"/>
        </w:trPr>
        <w:tc>
          <w:tcPr>
            <w:tcW w:w="666" w:type="dxa"/>
            <w:vMerge w:val="restart"/>
            <w:shd w:val="clear" w:color="auto" w:fill="auto"/>
            <w:noWrap/>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lastRenderedPageBreak/>
              <w:t>过</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程</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40</w:t>
            </w:r>
            <w:r>
              <w:rPr>
                <w:rFonts w:asciiTheme="majorEastAsia" w:eastAsiaTheme="majorEastAsia" w:hAnsiTheme="majorEastAsia" w:cstheme="majorEastAsia" w:hint="eastAsia"/>
                <w:szCs w:val="21"/>
              </w:rPr>
              <w:t>分）</w:t>
            </w:r>
          </w:p>
        </w:tc>
        <w:tc>
          <w:tcPr>
            <w:tcW w:w="866" w:type="dxa"/>
            <w:vMerge w:val="restart"/>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执行</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26</w:t>
            </w:r>
            <w:r>
              <w:rPr>
                <w:rFonts w:asciiTheme="majorEastAsia" w:eastAsiaTheme="majorEastAsia" w:hAnsiTheme="majorEastAsia" w:cstheme="majorEastAsia" w:hint="eastAsia"/>
                <w:szCs w:val="21"/>
              </w:rPr>
              <w:t>分）</w:t>
            </w: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执行率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计满分，每低于</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预算执行率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（预算执行数</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预算数）×</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预算执行数：部门本年度实际完成的预算数。</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预算数：财政部门批复的本年度部门预算数。</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w:t>
            </w:r>
          </w:p>
        </w:tc>
      </w:tr>
      <w:tr w:rsidR="0022093C">
        <w:trPr>
          <w:trHeight w:val="2378"/>
          <w:jc w:val="center"/>
        </w:trPr>
        <w:tc>
          <w:tcPr>
            <w:tcW w:w="666" w:type="dxa"/>
            <w:vMerge/>
            <w:shd w:val="clear" w:color="auto" w:fill="auto"/>
            <w:vAlign w:val="center"/>
          </w:tcPr>
          <w:p w:rsidR="0022093C" w:rsidRDefault="0022093C">
            <w:pPr>
              <w:spacing w:line="320" w:lineRule="exact"/>
              <w:jc w:val="center"/>
              <w:rPr>
                <w:rFonts w:asciiTheme="majorEastAsia" w:eastAsiaTheme="majorEastAsia" w:hAnsiTheme="majorEastAsia" w:cstheme="majorEastAsia"/>
                <w:szCs w:val="21"/>
              </w:rPr>
            </w:pPr>
          </w:p>
        </w:tc>
        <w:tc>
          <w:tcPr>
            <w:tcW w:w="866" w:type="dxa"/>
            <w:vMerge/>
            <w:shd w:val="clear" w:color="auto" w:fill="auto"/>
            <w:vAlign w:val="center"/>
          </w:tcPr>
          <w:p w:rsidR="0022093C" w:rsidRDefault="0022093C">
            <w:pPr>
              <w:spacing w:line="320" w:lineRule="exact"/>
              <w:jc w:val="center"/>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调整率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计满分，每下降</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预算调整率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（预算调整数</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预算数）×</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2819"/>
          <w:jc w:val="center"/>
        </w:trPr>
        <w:tc>
          <w:tcPr>
            <w:tcW w:w="666" w:type="dxa"/>
            <w:vMerge/>
            <w:shd w:val="clear" w:color="auto" w:fill="auto"/>
            <w:vAlign w:val="center"/>
          </w:tcPr>
          <w:p w:rsidR="0022093C" w:rsidRDefault="0022093C">
            <w:pPr>
              <w:spacing w:line="320" w:lineRule="exact"/>
              <w:jc w:val="center"/>
              <w:rPr>
                <w:rFonts w:asciiTheme="majorEastAsia" w:eastAsiaTheme="majorEastAsia" w:hAnsiTheme="majorEastAsia" w:cstheme="majorEastAsia"/>
                <w:szCs w:val="21"/>
              </w:rPr>
            </w:pPr>
          </w:p>
        </w:tc>
        <w:tc>
          <w:tcPr>
            <w:tcW w:w="866" w:type="dxa"/>
            <w:vMerge/>
            <w:shd w:val="clear" w:color="auto" w:fill="auto"/>
            <w:vAlign w:val="center"/>
          </w:tcPr>
          <w:p w:rsidR="0022093C" w:rsidRDefault="0022093C">
            <w:pPr>
              <w:spacing w:line="320" w:lineRule="exact"/>
              <w:jc w:val="center"/>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支付</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进度率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计满分，每低于</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支付进度率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（实际支付进度</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既定支付进度）×</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实际支付进度：部门在某一时点的支出预算执行总数与年度支出预算数的比率。</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22093C" w:rsidRDefault="0022093C">
            <w:pPr>
              <w:spacing w:line="320" w:lineRule="exact"/>
              <w:jc w:val="center"/>
              <w:rPr>
                <w:rFonts w:asciiTheme="majorEastAsia" w:eastAsiaTheme="majorEastAsia" w:hAnsiTheme="majorEastAsia" w:cstheme="majorEastAsia"/>
                <w:szCs w:val="21"/>
              </w:rPr>
            </w:pPr>
          </w:p>
        </w:tc>
        <w:tc>
          <w:tcPr>
            <w:tcW w:w="866" w:type="dxa"/>
            <w:vMerge/>
            <w:shd w:val="clear" w:color="auto" w:fill="auto"/>
            <w:tcMar>
              <w:top w:w="10" w:type="dxa"/>
              <w:left w:w="10" w:type="dxa"/>
              <w:bottom w:w="0" w:type="dxa"/>
              <w:right w:w="10" w:type="dxa"/>
            </w:tcMar>
            <w:vAlign w:val="center"/>
          </w:tcPr>
          <w:p w:rsidR="0022093C" w:rsidRDefault="0022093C">
            <w:pPr>
              <w:spacing w:line="320" w:lineRule="exact"/>
              <w:jc w:val="center"/>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结转</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结余率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r>
              <w:rPr>
                <w:rFonts w:asciiTheme="majorEastAsia" w:eastAsiaTheme="majorEastAsia" w:hAnsiTheme="majorEastAsia" w:cstheme="majorEastAsia" w:hint="eastAsia"/>
                <w:szCs w:val="21"/>
              </w:rPr>
              <w:t>计满分，每超过</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结转结余率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结转结余总额</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支出预算数×</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结转结余总额：部门本年度的结转资金与结余资金之和（以决算数为准）。</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w:t>
            </w:r>
          </w:p>
        </w:tc>
      </w:tr>
      <w:tr w:rsidR="0022093C">
        <w:trPr>
          <w:trHeight w:val="1817"/>
          <w:jc w:val="center"/>
        </w:trPr>
        <w:tc>
          <w:tcPr>
            <w:tcW w:w="666" w:type="dxa"/>
            <w:vMerge/>
            <w:shd w:val="clear" w:color="auto" w:fill="auto"/>
            <w:vAlign w:val="center"/>
          </w:tcPr>
          <w:p w:rsidR="0022093C" w:rsidRDefault="0022093C">
            <w:pPr>
              <w:spacing w:line="320" w:lineRule="exact"/>
              <w:jc w:val="center"/>
              <w:rPr>
                <w:rFonts w:asciiTheme="majorEastAsia" w:eastAsiaTheme="majorEastAsia" w:hAnsiTheme="majorEastAsia" w:cstheme="majorEastAsia"/>
                <w:szCs w:val="21"/>
              </w:rPr>
            </w:pPr>
          </w:p>
        </w:tc>
        <w:tc>
          <w:tcPr>
            <w:tcW w:w="8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结转结余</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变动率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r>
              <w:rPr>
                <w:rFonts w:asciiTheme="majorEastAsia" w:eastAsiaTheme="majorEastAsia" w:hAnsiTheme="majorEastAsia" w:cstheme="majorEastAsia" w:hint="eastAsia"/>
                <w:szCs w:val="21"/>
              </w:rPr>
              <w:t>计满分，每超过</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结转结余变动率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（本年度累计结转结余资金总额</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上年度累计结转结余资金总额）</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上年度累计结转结余资金总额</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w:t>
            </w:r>
          </w:p>
        </w:tc>
      </w:tr>
      <w:tr w:rsidR="0022093C">
        <w:trPr>
          <w:trHeight w:val="1829"/>
          <w:jc w:val="center"/>
        </w:trPr>
        <w:tc>
          <w:tcPr>
            <w:tcW w:w="666" w:type="dxa"/>
            <w:vMerge/>
            <w:shd w:val="clear" w:color="auto" w:fill="auto"/>
            <w:vAlign w:val="center"/>
          </w:tcPr>
          <w:p w:rsidR="0022093C" w:rsidRDefault="0022093C">
            <w:pPr>
              <w:spacing w:line="320" w:lineRule="exact"/>
              <w:jc w:val="center"/>
              <w:rPr>
                <w:rFonts w:asciiTheme="majorEastAsia" w:eastAsiaTheme="majorEastAsia" w:hAnsiTheme="majorEastAsia" w:cstheme="majorEastAsia"/>
                <w:szCs w:val="21"/>
              </w:rPr>
            </w:pPr>
          </w:p>
        </w:tc>
        <w:tc>
          <w:tcPr>
            <w:tcW w:w="8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公用经费</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控制率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以下（含）计满分，每超出</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公用经费控制率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（实际支出公用经费总额</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预算安排公用经费总额）×</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w:t>
            </w:r>
          </w:p>
        </w:tc>
      </w:tr>
      <w:tr w:rsidR="0022093C">
        <w:trPr>
          <w:trHeight w:val="1944"/>
          <w:jc w:val="center"/>
        </w:trPr>
        <w:tc>
          <w:tcPr>
            <w:tcW w:w="666" w:type="dxa"/>
            <w:vMerge w:val="restart"/>
            <w:shd w:val="clear" w:color="auto" w:fill="auto"/>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lastRenderedPageBreak/>
              <w:t>过</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程</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40</w:t>
            </w:r>
            <w:r>
              <w:rPr>
                <w:rFonts w:asciiTheme="majorEastAsia" w:eastAsiaTheme="majorEastAsia" w:hAnsiTheme="majorEastAsia" w:cstheme="majorEastAsia" w:hint="eastAsia"/>
                <w:szCs w:val="21"/>
              </w:rPr>
              <w:t>分）</w:t>
            </w:r>
          </w:p>
        </w:tc>
        <w:tc>
          <w:tcPr>
            <w:tcW w:w="866" w:type="dxa"/>
            <w:vMerge w:val="restart"/>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执行</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26</w:t>
            </w:r>
            <w:r>
              <w:rPr>
                <w:rFonts w:asciiTheme="majorEastAsia" w:eastAsiaTheme="majorEastAsia" w:hAnsiTheme="majorEastAsia" w:cstheme="majorEastAsia" w:hint="eastAsia"/>
                <w:szCs w:val="21"/>
              </w:rPr>
              <w:t>分）</w:t>
            </w: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“三公经费”控制率（</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以下（含）计满分，每超出</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“三公经费”控制率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（“三公经费”实际支出数</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“三公经费”预算安排数）×</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w:t>
            </w:r>
          </w:p>
        </w:tc>
      </w:tr>
      <w:tr w:rsidR="0022093C">
        <w:trPr>
          <w:trHeight w:val="2098"/>
          <w:jc w:val="center"/>
        </w:trPr>
        <w:tc>
          <w:tcPr>
            <w:tcW w:w="666" w:type="dxa"/>
            <w:vMerge/>
            <w:shd w:val="clear" w:color="auto" w:fill="auto"/>
            <w:vAlign w:val="center"/>
          </w:tcPr>
          <w:p w:rsidR="0022093C" w:rsidRDefault="0022093C">
            <w:pPr>
              <w:spacing w:line="320" w:lineRule="exact"/>
              <w:jc w:val="center"/>
              <w:rPr>
                <w:rFonts w:asciiTheme="majorEastAsia" w:eastAsiaTheme="majorEastAsia" w:hAnsiTheme="majorEastAsia" w:cstheme="majorEastAsia"/>
                <w:szCs w:val="21"/>
              </w:rPr>
            </w:pPr>
          </w:p>
        </w:tc>
        <w:tc>
          <w:tcPr>
            <w:tcW w:w="8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政府采购</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执行率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计满分，每超过（降低）</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政府采购执行率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（实际政府采购金额</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政府采购预算数）×</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政府采购预算：采购机关根据事业发展计划和行政任务编制的、并经过规定程序批准的年度政府采购计划。</w:t>
            </w:r>
            <w:r>
              <w:rPr>
                <w:rFonts w:asciiTheme="majorEastAsia" w:eastAsiaTheme="majorEastAsia" w:hAnsiTheme="majorEastAsia" w:cstheme="majorEastAsia" w:hint="eastAsia"/>
                <w:szCs w:val="21"/>
              </w:rPr>
              <w:t xml:space="preserve"> </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2398"/>
          <w:jc w:val="center"/>
        </w:trPr>
        <w:tc>
          <w:tcPr>
            <w:tcW w:w="666" w:type="dxa"/>
            <w:vMerge/>
            <w:shd w:val="clear" w:color="auto" w:fill="auto"/>
            <w:vAlign w:val="center"/>
          </w:tcPr>
          <w:p w:rsidR="0022093C" w:rsidRDefault="0022093C">
            <w:pPr>
              <w:spacing w:line="320" w:lineRule="exact"/>
              <w:jc w:val="center"/>
              <w:rPr>
                <w:rFonts w:asciiTheme="majorEastAsia" w:eastAsiaTheme="majorEastAsia" w:hAnsiTheme="majorEastAsia" w:cstheme="majorEastAsia"/>
                <w:szCs w:val="21"/>
              </w:rPr>
            </w:pPr>
          </w:p>
        </w:tc>
        <w:tc>
          <w:tcPr>
            <w:tcW w:w="866" w:type="dxa"/>
            <w:vMerge w:val="restart"/>
            <w:shd w:val="clear" w:color="auto" w:fill="auto"/>
            <w:tcMar>
              <w:top w:w="10" w:type="dxa"/>
              <w:left w:w="10" w:type="dxa"/>
              <w:bottom w:w="0" w:type="dxa"/>
              <w:right w:w="10" w:type="dxa"/>
            </w:tcMar>
            <w:vAlign w:val="center"/>
          </w:tcPr>
          <w:p w:rsidR="0022093C" w:rsidRDefault="0022093C">
            <w:pPr>
              <w:spacing w:line="320" w:lineRule="exact"/>
              <w:jc w:val="center"/>
              <w:rPr>
                <w:rFonts w:asciiTheme="majorEastAsia" w:eastAsiaTheme="majorEastAsia" w:hAnsiTheme="majorEastAsia" w:cstheme="majorEastAsia"/>
                <w:szCs w:val="21"/>
              </w:rPr>
            </w:pP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管理</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8</w:t>
            </w:r>
            <w:r>
              <w:rPr>
                <w:rFonts w:asciiTheme="majorEastAsia" w:eastAsiaTheme="majorEastAsia" w:hAnsiTheme="majorEastAsia" w:cstheme="majorEastAsia" w:hint="eastAsia"/>
                <w:szCs w:val="21"/>
              </w:rPr>
              <w:t>分）</w:t>
            </w: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管理制度</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健全性</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有内部财务管理制度，会计核算制度等管理制度，</w:t>
            </w:r>
            <w:r>
              <w:rPr>
                <w:rFonts w:asciiTheme="majorEastAsia" w:eastAsiaTheme="majorEastAsia" w:hAnsiTheme="majorEastAsia" w:cstheme="majorEastAsia" w:hint="eastAsia"/>
                <w:szCs w:val="21"/>
              </w:rPr>
              <w:t>0.5</w:t>
            </w:r>
            <w:r>
              <w:rPr>
                <w:rFonts w:asciiTheme="majorEastAsia" w:eastAsiaTheme="majorEastAsia" w:hAnsiTheme="majorEastAsia" w:cstheme="majorEastAsia" w:hint="eastAsia"/>
                <w:szCs w:val="21"/>
              </w:rPr>
              <w:t>分；</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有本部门厉行节约制度，</w:t>
            </w:r>
            <w:r>
              <w:rPr>
                <w:rFonts w:asciiTheme="majorEastAsia" w:eastAsiaTheme="majorEastAsia" w:hAnsiTheme="majorEastAsia" w:cstheme="majorEastAsia" w:hint="eastAsia"/>
                <w:szCs w:val="21"/>
              </w:rPr>
              <w:t>0.5</w:t>
            </w:r>
            <w:r>
              <w:rPr>
                <w:rFonts w:asciiTheme="majorEastAsia" w:eastAsiaTheme="majorEastAsia" w:hAnsiTheme="majorEastAsia" w:cstheme="majorEastAsia" w:hint="eastAsia"/>
                <w:szCs w:val="21"/>
              </w:rPr>
              <w:t>分；</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相关管理制度合法、合规、完整，</w:t>
            </w:r>
            <w:r>
              <w:rPr>
                <w:rFonts w:asciiTheme="majorEastAsia" w:eastAsiaTheme="majorEastAsia" w:hAnsiTheme="majorEastAsia" w:cstheme="majorEastAsia" w:hint="eastAsia"/>
                <w:szCs w:val="21"/>
              </w:rPr>
              <w:t>0.5</w:t>
            </w:r>
            <w:r>
              <w:rPr>
                <w:rFonts w:asciiTheme="majorEastAsia" w:eastAsiaTheme="majorEastAsia" w:hAnsiTheme="majorEastAsia" w:cstheme="majorEastAsia" w:hint="eastAsia"/>
                <w:szCs w:val="21"/>
              </w:rPr>
              <w:t>分；</w:t>
            </w:r>
            <w:r>
              <w:rPr>
                <w:rFonts w:asciiTheme="majorEastAsia" w:eastAsiaTheme="majorEastAsia" w:hAnsiTheme="majorEastAsia" w:cstheme="majorEastAsia" w:hint="eastAsia"/>
                <w:szCs w:val="21"/>
              </w:rPr>
              <w:t>4.</w:t>
            </w:r>
            <w:r>
              <w:rPr>
                <w:rFonts w:asciiTheme="majorEastAsia" w:eastAsiaTheme="majorEastAsia" w:hAnsiTheme="majorEastAsia" w:cstheme="majorEastAsia" w:hint="eastAsia"/>
                <w:szCs w:val="21"/>
              </w:rPr>
              <w:t>相关管理制度得到有效执行，</w:t>
            </w:r>
            <w:r>
              <w:rPr>
                <w:rFonts w:asciiTheme="majorEastAsia" w:eastAsiaTheme="majorEastAsia" w:hAnsiTheme="majorEastAsia" w:cstheme="majorEastAsia" w:hint="eastAsia"/>
                <w:szCs w:val="21"/>
              </w:rPr>
              <w:t>0.5</w:t>
            </w:r>
            <w:r>
              <w:rPr>
                <w:rFonts w:asciiTheme="majorEastAsia" w:eastAsiaTheme="majorEastAsia" w:hAnsiTheme="majorEastAsia" w:cstheme="majorEastAsia" w:hint="eastAsia"/>
                <w:szCs w:val="21"/>
              </w:rPr>
              <w:t>分。</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①是否已制定或具有预算资金管理办法、内部财务管理制度、会计核算制度等管理制度；</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②相关管理制度是否合法、合规、完整；</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③相关管理制度是否得到有效执行。</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3509"/>
          <w:jc w:val="center"/>
        </w:trPr>
        <w:tc>
          <w:tcPr>
            <w:tcW w:w="666" w:type="dxa"/>
            <w:vMerge/>
            <w:shd w:val="clear" w:color="auto" w:fill="auto"/>
            <w:vAlign w:val="center"/>
          </w:tcPr>
          <w:p w:rsidR="0022093C" w:rsidRDefault="0022093C">
            <w:pPr>
              <w:spacing w:line="320" w:lineRule="exact"/>
              <w:jc w:val="center"/>
              <w:rPr>
                <w:rFonts w:asciiTheme="majorEastAsia" w:eastAsiaTheme="majorEastAsia" w:hAnsiTheme="majorEastAsia" w:cstheme="majorEastAsia"/>
                <w:szCs w:val="21"/>
              </w:rPr>
            </w:pPr>
          </w:p>
        </w:tc>
        <w:tc>
          <w:tcPr>
            <w:tcW w:w="866" w:type="dxa"/>
            <w:vMerge/>
            <w:shd w:val="clear" w:color="auto" w:fill="auto"/>
            <w:vAlign w:val="center"/>
          </w:tcPr>
          <w:p w:rsidR="0022093C" w:rsidRDefault="0022093C">
            <w:pPr>
              <w:spacing w:line="320" w:lineRule="exact"/>
              <w:jc w:val="center"/>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资金使用</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合规性</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pPr>
              <w:spacing w:line="30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支出符合国家财经法规和财务管理制度规定以及有关专项资金管理办法的规定；</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资金拨付有完整的审批程序和手续；</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项目支出按规定经过评估论证；</w:t>
            </w:r>
            <w:r>
              <w:rPr>
                <w:rFonts w:asciiTheme="majorEastAsia" w:eastAsiaTheme="majorEastAsia" w:hAnsiTheme="majorEastAsia" w:cstheme="majorEastAsia" w:hint="eastAsia"/>
                <w:szCs w:val="21"/>
              </w:rPr>
              <w:t>4.</w:t>
            </w:r>
            <w:r>
              <w:rPr>
                <w:rFonts w:asciiTheme="majorEastAsia" w:eastAsiaTheme="majorEastAsia" w:hAnsiTheme="majorEastAsia" w:cstheme="majorEastAsia" w:hint="eastAsia"/>
                <w:szCs w:val="21"/>
              </w:rPr>
              <w:t>支出符合部门预算批复的用途；</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资金使用无截留、挤占、挪用、虚列支出等情况。</w:t>
            </w:r>
          </w:p>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以上情况每出现一例不符合要求的扣</w:t>
            </w:r>
            <w:r>
              <w:rPr>
                <w:rFonts w:asciiTheme="majorEastAsia" w:eastAsiaTheme="majorEastAsia" w:hAnsiTheme="majorEastAsia" w:cstheme="majorEastAsia" w:hint="eastAsia"/>
                <w:szCs w:val="21"/>
              </w:rPr>
              <w:t>0.5</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①是否符合国家财经法规和财务管理制度规定以及有关预算支出管理办法的规定；</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②资金的拨付是否有完整的审批程序和手续；</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③预算支出的重大开支是否经过评估论证；</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④是否符合部门预算批复的用途；</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⑤是否存在截留、挤占、挪用、虚列支出等情况。</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1813"/>
          <w:jc w:val="center"/>
        </w:trPr>
        <w:tc>
          <w:tcPr>
            <w:tcW w:w="666" w:type="dxa"/>
            <w:vMerge/>
            <w:shd w:val="clear" w:color="auto" w:fill="auto"/>
            <w:vAlign w:val="center"/>
          </w:tcPr>
          <w:p w:rsidR="0022093C" w:rsidRDefault="0022093C">
            <w:pPr>
              <w:spacing w:line="320" w:lineRule="exact"/>
              <w:jc w:val="center"/>
              <w:rPr>
                <w:rFonts w:asciiTheme="majorEastAsia" w:eastAsiaTheme="majorEastAsia" w:hAnsiTheme="majorEastAsia" w:cstheme="majorEastAsia"/>
                <w:szCs w:val="21"/>
              </w:rPr>
            </w:pPr>
          </w:p>
        </w:tc>
        <w:tc>
          <w:tcPr>
            <w:tcW w:w="866" w:type="dxa"/>
            <w:vMerge/>
            <w:shd w:val="clear" w:color="auto" w:fill="auto"/>
            <w:vAlign w:val="center"/>
          </w:tcPr>
          <w:p w:rsidR="0022093C" w:rsidRDefault="0022093C">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预决算信</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息公开性（</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pPr>
              <w:tabs>
                <w:tab w:val="left" w:pos="2604"/>
              </w:tabs>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部门预算、执行、决算、监督、绩效等管理相关的信息未公开，每一项扣</w:t>
            </w:r>
            <w:r>
              <w:rPr>
                <w:rFonts w:asciiTheme="majorEastAsia" w:eastAsiaTheme="majorEastAsia" w:hAnsiTheme="majorEastAsia" w:cstheme="majorEastAsia" w:hint="eastAsia"/>
                <w:szCs w:val="21"/>
              </w:rPr>
              <w:t>0.5</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①是否按规定内容公开预决算信息；</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②是否按规定时限公开预决算信息。</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预决算信息是指与部门预算、执行、决算、监督、绩效等管理相关的信息。</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1802"/>
          <w:jc w:val="center"/>
        </w:trPr>
        <w:tc>
          <w:tcPr>
            <w:tcW w:w="666" w:type="dxa"/>
            <w:vMerge w:val="restart"/>
            <w:shd w:val="clear" w:color="auto" w:fill="auto"/>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lastRenderedPageBreak/>
              <w:t>过</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程</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40</w:t>
            </w:r>
            <w:r>
              <w:rPr>
                <w:rFonts w:asciiTheme="majorEastAsia" w:eastAsiaTheme="majorEastAsia" w:hAnsiTheme="majorEastAsia" w:cstheme="majorEastAsia" w:hint="eastAsia"/>
                <w:szCs w:val="21"/>
              </w:rPr>
              <w:t>分）</w:t>
            </w:r>
          </w:p>
        </w:tc>
        <w:tc>
          <w:tcPr>
            <w:tcW w:w="866" w:type="dxa"/>
            <w:shd w:val="clear" w:color="auto" w:fill="auto"/>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管理</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8</w:t>
            </w:r>
            <w:r>
              <w:rPr>
                <w:rFonts w:asciiTheme="majorEastAsia" w:eastAsiaTheme="majorEastAsia" w:hAnsiTheme="majorEastAsia" w:cstheme="majorEastAsia" w:hint="eastAsia"/>
                <w:szCs w:val="21"/>
              </w:rPr>
              <w:t>分）</w:t>
            </w: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基础信息</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完善性</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部门基础信息是否完善，缺一项扣</w:t>
            </w:r>
            <w:r>
              <w:rPr>
                <w:rFonts w:asciiTheme="majorEastAsia" w:eastAsiaTheme="majorEastAsia" w:hAnsiTheme="majorEastAsia" w:cstheme="majorEastAsia" w:hint="eastAsia"/>
                <w:szCs w:val="21"/>
              </w:rPr>
              <w:t>0.5</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①基础数据信息和会计信息资料是否真实；</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②基础数据信息和会计信息资料是否完整；</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③基础数据信息和会计信息资料是否准确。</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22093C" w:rsidRDefault="0022093C">
            <w:pPr>
              <w:spacing w:line="320" w:lineRule="exact"/>
              <w:jc w:val="center"/>
              <w:rPr>
                <w:rFonts w:asciiTheme="majorEastAsia" w:eastAsiaTheme="majorEastAsia" w:hAnsiTheme="majorEastAsia" w:cstheme="majorEastAsia"/>
                <w:szCs w:val="21"/>
              </w:rPr>
            </w:pPr>
          </w:p>
        </w:tc>
        <w:tc>
          <w:tcPr>
            <w:tcW w:w="866" w:type="dxa"/>
            <w:vMerge w:val="restart"/>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资产</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管理</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6</w:t>
            </w:r>
            <w:r>
              <w:rPr>
                <w:rFonts w:asciiTheme="majorEastAsia" w:eastAsiaTheme="majorEastAsia" w:hAnsiTheme="majorEastAsia" w:cstheme="majorEastAsia" w:hint="eastAsia"/>
                <w:szCs w:val="21"/>
              </w:rPr>
              <w:t>分）</w:t>
            </w:r>
          </w:p>
          <w:p w:rsidR="0022093C" w:rsidRDefault="0022093C">
            <w:pPr>
              <w:spacing w:line="320" w:lineRule="exact"/>
              <w:jc w:val="center"/>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管理制度</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健全性</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部门有加强资产管理、规范资产管理行为而制定的管理制度的计</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分；有效执行相关文件的计</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分。反之不计分。</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①是否已制定或具有资产管理制度；</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②相关资金管理制度是否合法、合规、完整；</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③相关资产管理制度是否得到有效执行。</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2837"/>
          <w:jc w:val="center"/>
        </w:trPr>
        <w:tc>
          <w:tcPr>
            <w:tcW w:w="666" w:type="dxa"/>
            <w:vMerge/>
            <w:shd w:val="clear" w:color="auto" w:fill="auto"/>
            <w:vAlign w:val="center"/>
          </w:tcPr>
          <w:p w:rsidR="0022093C" w:rsidRDefault="0022093C">
            <w:pPr>
              <w:spacing w:line="320" w:lineRule="exact"/>
              <w:jc w:val="center"/>
              <w:rPr>
                <w:rFonts w:asciiTheme="majorEastAsia" w:eastAsiaTheme="majorEastAsia" w:hAnsiTheme="majorEastAsia" w:cstheme="majorEastAsia"/>
                <w:szCs w:val="21"/>
              </w:rPr>
            </w:pPr>
          </w:p>
        </w:tc>
        <w:tc>
          <w:tcPr>
            <w:tcW w:w="866" w:type="dxa"/>
            <w:vMerge/>
            <w:shd w:val="clear" w:color="auto" w:fill="auto"/>
            <w:vAlign w:val="center"/>
          </w:tcPr>
          <w:p w:rsidR="0022093C" w:rsidRDefault="0022093C">
            <w:pPr>
              <w:spacing w:line="320" w:lineRule="exact"/>
              <w:jc w:val="center"/>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资产管理</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安全性</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761"/>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部门的资产是否保存完整、使用合规、配置合理、处置规范、收入及时足额上缴计满分，每一项不达标扣</w:t>
            </w:r>
            <w:r>
              <w:rPr>
                <w:rFonts w:asciiTheme="majorEastAsia" w:eastAsiaTheme="majorEastAsia" w:hAnsiTheme="majorEastAsia" w:cstheme="majorEastAsia" w:hint="eastAsia"/>
                <w:szCs w:val="21"/>
              </w:rPr>
              <w:t>0.5</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①资产保存是否完整；</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②资产配置是否合理；</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③资产处置是否规范；</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④资产账务管理是否合规，是否帐实相符；</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⑤资产是否有偿使用及处置收入及时足额上缴。</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1995"/>
          <w:jc w:val="center"/>
        </w:trPr>
        <w:tc>
          <w:tcPr>
            <w:tcW w:w="666" w:type="dxa"/>
            <w:vMerge/>
            <w:shd w:val="clear" w:color="auto" w:fill="auto"/>
            <w:vAlign w:val="center"/>
          </w:tcPr>
          <w:p w:rsidR="0022093C" w:rsidRDefault="0022093C">
            <w:pPr>
              <w:spacing w:line="320" w:lineRule="exact"/>
              <w:rPr>
                <w:rFonts w:asciiTheme="majorEastAsia" w:eastAsiaTheme="majorEastAsia" w:hAnsiTheme="majorEastAsia" w:cstheme="majorEastAsia"/>
                <w:szCs w:val="21"/>
              </w:rPr>
            </w:pPr>
          </w:p>
        </w:tc>
        <w:tc>
          <w:tcPr>
            <w:tcW w:w="866" w:type="dxa"/>
            <w:vMerge/>
            <w:shd w:val="clear" w:color="auto" w:fill="auto"/>
            <w:vAlign w:val="center"/>
          </w:tcPr>
          <w:p w:rsidR="0022093C" w:rsidRDefault="0022093C">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固定资产</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利用率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计满分，每降低</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固定资产利用率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（实际在用固定资产总额</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所有固定资产总额）×</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2799"/>
          <w:jc w:val="center"/>
        </w:trPr>
        <w:tc>
          <w:tcPr>
            <w:tcW w:w="666" w:type="dxa"/>
            <w:shd w:val="clear" w:color="auto" w:fill="auto"/>
            <w:noWrap/>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产出（</w:t>
            </w:r>
            <w:r>
              <w:rPr>
                <w:rFonts w:asciiTheme="majorEastAsia" w:eastAsiaTheme="majorEastAsia" w:hAnsiTheme="majorEastAsia" w:cstheme="majorEastAsia" w:hint="eastAsia"/>
                <w:szCs w:val="21"/>
              </w:rPr>
              <w:t>20</w:t>
            </w:r>
            <w:r>
              <w:rPr>
                <w:rFonts w:asciiTheme="majorEastAsia" w:eastAsiaTheme="majorEastAsia" w:hAnsiTheme="majorEastAsia" w:cstheme="majorEastAsia" w:hint="eastAsia"/>
                <w:szCs w:val="21"/>
              </w:rPr>
              <w:t>分）</w:t>
            </w:r>
          </w:p>
        </w:tc>
        <w:tc>
          <w:tcPr>
            <w:tcW w:w="866"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职责</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履行</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20</w:t>
            </w:r>
            <w:r>
              <w:rPr>
                <w:rFonts w:asciiTheme="majorEastAsia" w:eastAsiaTheme="majorEastAsia" w:hAnsiTheme="majorEastAsia" w:cstheme="majorEastAsia" w:hint="eastAsia"/>
                <w:szCs w:val="21"/>
              </w:rPr>
              <w:t>分）</w:t>
            </w: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实际</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完成率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计满分，每超过</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实际完成率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（实际完成工作数</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计划工作数）×</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实际完成工作数：一定时期（年度或规划期）内部门实际完成工作任务的数量。</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计划工作数：部门整体绩效目标确定的一定时期（年度或规划期）内预计完成工作任务的数量。</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w:t>
            </w:r>
          </w:p>
        </w:tc>
      </w:tr>
      <w:tr w:rsidR="0022093C">
        <w:trPr>
          <w:trHeight w:val="1635"/>
          <w:jc w:val="center"/>
        </w:trPr>
        <w:tc>
          <w:tcPr>
            <w:tcW w:w="666" w:type="dxa"/>
            <w:vMerge w:val="restart"/>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lastRenderedPageBreak/>
              <w:t>产</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出</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20</w:t>
            </w:r>
            <w:r>
              <w:rPr>
                <w:rFonts w:asciiTheme="majorEastAsia" w:eastAsiaTheme="majorEastAsia" w:hAnsiTheme="majorEastAsia" w:cstheme="majorEastAsia" w:hint="eastAsia"/>
                <w:szCs w:val="21"/>
              </w:rPr>
              <w:t>分）</w:t>
            </w:r>
          </w:p>
        </w:tc>
        <w:tc>
          <w:tcPr>
            <w:tcW w:w="866" w:type="dxa"/>
            <w:vMerge w:val="restart"/>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职责</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履行</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20</w:t>
            </w:r>
            <w:r>
              <w:rPr>
                <w:rFonts w:asciiTheme="majorEastAsia" w:eastAsiaTheme="majorEastAsia" w:hAnsiTheme="majorEastAsia" w:cstheme="majorEastAsia" w:hint="eastAsia"/>
                <w:szCs w:val="21"/>
              </w:rPr>
              <w:t>分）</w:t>
            </w: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完成</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及时率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以下（含）计满分，每超出</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完成及时率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（及时完成实际工作数</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计划工作数）×</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及时完成实际工作数：部门按照整体绩效目标确定的时限实际完成的工作任务数量。</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w:t>
            </w:r>
          </w:p>
        </w:tc>
      </w:tr>
      <w:tr w:rsidR="0022093C">
        <w:trPr>
          <w:trHeight w:val="1737"/>
          <w:jc w:val="center"/>
        </w:trPr>
        <w:tc>
          <w:tcPr>
            <w:tcW w:w="6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8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质量</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达标率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计满分，每超过</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质量达标率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（质量达标实际工作数</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计划工作数）×</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质量达标实际工作数：一定时期（年度或规划期）内部门实际完成工作数中达到部门绩效目标要求（绩效标准值）的工作任务数量。</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w:t>
            </w:r>
          </w:p>
        </w:tc>
      </w:tr>
      <w:tr w:rsidR="0022093C">
        <w:trPr>
          <w:trHeight w:val="1470"/>
          <w:jc w:val="center"/>
        </w:trPr>
        <w:tc>
          <w:tcPr>
            <w:tcW w:w="6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8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重点工作</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办结率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根据绩效办</w:t>
            </w:r>
            <w:r>
              <w:rPr>
                <w:rFonts w:asciiTheme="majorEastAsia" w:eastAsiaTheme="majorEastAsia" w:hAnsiTheme="majorEastAsia" w:cstheme="majorEastAsia" w:hint="eastAsia"/>
                <w:szCs w:val="21"/>
              </w:rPr>
              <w:t>2019</w:t>
            </w:r>
            <w:r>
              <w:rPr>
                <w:rFonts w:asciiTheme="majorEastAsia" w:eastAsiaTheme="majorEastAsia" w:hAnsiTheme="majorEastAsia" w:cstheme="majorEastAsia" w:hint="eastAsia"/>
                <w:szCs w:val="21"/>
              </w:rPr>
              <w:t>年对各部门为民办实事和部门重点工程与重点工作考核分数折算。该项得分</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（绩效办对应部分考核得分）</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重点工作办结率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（重点工作实际完成数</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交办或下达数）×</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重点工作是指党委、政府、人大、相关部门交办或下达的工作任务。</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w:t>
            </w:r>
          </w:p>
        </w:tc>
      </w:tr>
      <w:tr w:rsidR="0022093C">
        <w:trPr>
          <w:trHeight w:val="735"/>
          <w:jc w:val="center"/>
        </w:trPr>
        <w:tc>
          <w:tcPr>
            <w:tcW w:w="666" w:type="dxa"/>
            <w:vMerge w:val="restart"/>
            <w:shd w:val="clear" w:color="auto" w:fill="auto"/>
            <w:noWrap/>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效</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果</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20</w:t>
            </w:r>
            <w:r>
              <w:rPr>
                <w:rFonts w:asciiTheme="majorEastAsia" w:eastAsiaTheme="majorEastAsia" w:hAnsiTheme="majorEastAsia" w:cstheme="majorEastAsia" w:hint="eastAsia"/>
                <w:szCs w:val="21"/>
              </w:rPr>
              <w:t>分）</w:t>
            </w:r>
          </w:p>
        </w:tc>
        <w:tc>
          <w:tcPr>
            <w:tcW w:w="866" w:type="dxa"/>
            <w:vMerge w:val="restart"/>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履职</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效益</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20</w:t>
            </w:r>
            <w:r>
              <w:rPr>
                <w:rFonts w:asciiTheme="majorEastAsia" w:eastAsiaTheme="majorEastAsia" w:hAnsiTheme="majorEastAsia" w:cstheme="majorEastAsia" w:hint="eastAsia"/>
                <w:szCs w:val="21"/>
              </w:rPr>
              <w:t>分）</w:t>
            </w: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经济效益（</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w:t>
            </w:r>
          </w:p>
        </w:tc>
      </w:tr>
      <w:tr w:rsidR="0022093C">
        <w:trPr>
          <w:trHeight w:val="735"/>
          <w:jc w:val="center"/>
        </w:trPr>
        <w:tc>
          <w:tcPr>
            <w:tcW w:w="6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8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社会效益（</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部门履行职责对社会发展所带来的直接或间接影响。</w:t>
            </w:r>
          </w:p>
        </w:tc>
        <w:tc>
          <w:tcPr>
            <w:tcW w:w="4252" w:type="dxa"/>
            <w:vMerge/>
            <w:vAlign w:val="center"/>
          </w:tcPr>
          <w:p w:rsidR="0022093C" w:rsidRDefault="0022093C">
            <w:pPr>
              <w:spacing w:line="320" w:lineRule="exact"/>
              <w:ind w:leftChars="50" w:left="105" w:rightChars="50" w:right="105"/>
              <w:rPr>
                <w:rFonts w:asciiTheme="majorEastAsia" w:eastAsiaTheme="majorEastAsia" w:hAnsiTheme="majorEastAsia" w:cstheme="majorEastAsia"/>
                <w:szCs w:val="21"/>
              </w:rPr>
            </w:pP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w:t>
            </w:r>
          </w:p>
        </w:tc>
      </w:tr>
      <w:tr w:rsidR="0022093C">
        <w:trPr>
          <w:trHeight w:val="735"/>
          <w:jc w:val="center"/>
        </w:trPr>
        <w:tc>
          <w:tcPr>
            <w:tcW w:w="6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8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生态效益（</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部门履行职责对生态环境所带来的直接或间接影响。</w:t>
            </w:r>
          </w:p>
        </w:tc>
        <w:tc>
          <w:tcPr>
            <w:tcW w:w="4252" w:type="dxa"/>
            <w:vMerge/>
            <w:vAlign w:val="center"/>
          </w:tcPr>
          <w:p w:rsidR="0022093C" w:rsidRDefault="0022093C">
            <w:pPr>
              <w:spacing w:line="320" w:lineRule="exact"/>
              <w:ind w:leftChars="50" w:left="105" w:rightChars="50" w:right="105"/>
              <w:rPr>
                <w:rFonts w:asciiTheme="majorEastAsia" w:eastAsiaTheme="majorEastAsia" w:hAnsiTheme="majorEastAsia" w:cstheme="majorEastAsia"/>
                <w:szCs w:val="21"/>
              </w:rPr>
            </w:pP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w:t>
            </w:r>
          </w:p>
        </w:tc>
      </w:tr>
      <w:tr w:rsidR="0022093C">
        <w:trPr>
          <w:trHeight w:val="1312"/>
          <w:jc w:val="center"/>
        </w:trPr>
        <w:tc>
          <w:tcPr>
            <w:tcW w:w="6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866" w:type="dxa"/>
            <w:vMerge/>
            <w:vAlign w:val="center"/>
          </w:tcPr>
          <w:p w:rsidR="0022093C" w:rsidRDefault="0022093C">
            <w:pPr>
              <w:spacing w:line="320" w:lineRule="exact"/>
              <w:rPr>
                <w:rFonts w:asciiTheme="majorEastAsia" w:eastAsiaTheme="majorEastAsia" w:hAnsiTheme="majorEastAsia" w:cstheme="majorEastAsia"/>
                <w:szCs w:val="21"/>
              </w:rPr>
            </w:pPr>
          </w:p>
        </w:tc>
        <w:tc>
          <w:tcPr>
            <w:tcW w:w="951" w:type="dxa"/>
            <w:shd w:val="clear" w:color="auto" w:fill="auto"/>
            <w:tcMar>
              <w:top w:w="10" w:type="dxa"/>
              <w:left w:w="10" w:type="dxa"/>
              <w:bottom w:w="0" w:type="dxa"/>
              <w:right w:w="10" w:type="dxa"/>
            </w:tcMar>
            <w:vAlign w:val="center"/>
          </w:tcPr>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社会公众</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或服务对</w:t>
            </w:r>
          </w:p>
          <w:p w:rsidR="0022093C" w:rsidRDefault="006247C0">
            <w:pPr>
              <w:spacing w:line="32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象满意度（</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分）</w:t>
            </w:r>
          </w:p>
        </w:tc>
        <w:tc>
          <w:tcPr>
            <w:tcW w:w="2908"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22093C" w:rsidRDefault="006247C0">
            <w:pPr>
              <w:spacing w:line="32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社会公众或服务对象是指部门履行职责而影响到的部门、群体或个人。一般采取社会调查的方式。</w:t>
            </w: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w:t>
            </w:r>
          </w:p>
        </w:tc>
      </w:tr>
      <w:tr w:rsidR="0022093C">
        <w:trPr>
          <w:trHeight w:val="1312"/>
          <w:jc w:val="center"/>
        </w:trPr>
        <w:tc>
          <w:tcPr>
            <w:tcW w:w="9643" w:type="dxa"/>
            <w:gridSpan w:val="5"/>
            <w:vAlign w:val="center"/>
          </w:tcPr>
          <w:p w:rsidR="0022093C" w:rsidRDefault="0022093C">
            <w:pPr>
              <w:spacing w:line="320" w:lineRule="exact"/>
              <w:ind w:leftChars="50" w:left="105" w:rightChars="50" w:right="105"/>
              <w:jc w:val="center"/>
              <w:rPr>
                <w:rFonts w:asciiTheme="majorEastAsia" w:eastAsiaTheme="majorEastAsia" w:hAnsiTheme="majorEastAsia" w:cstheme="majorEastAsia"/>
                <w:szCs w:val="21"/>
              </w:rPr>
            </w:pPr>
          </w:p>
        </w:tc>
        <w:tc>
          <w:tcPr>
            <w:tcW w:w="938" w:type="dxa"/>
            <w:vAlign w:val="center"/>
          </w:tcPr>
          <w:p w:rsidR="0022093C" w:rsidRDefault="006247C0">
            <w:pPr>
              <w:spacing w:line="32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96</w:t>
            </w:r>
          </w:p>
        </w:tc>
      </w:tr>
    </w:tbl>
    <w:p w:rsidR="0022093C" w:rsidRDefault="0022093C">
      <w:pPr>
        <w:rPr>
          <w:rFonts w:asciiTheme="majorEastAsia" w:eastAsiaTheme="majorEastAsia" w:hAnsiTheme="majorEastAsia" w:cstheme="majorEastAsia"/>
        </w:rPr>
      </w:pPr>
    </w:p>
    <w:p w:rsidR="0022093C" w:rsidRDefault="006247C0">
      <w:pPr>
        <w:widowControl/>
        <w:jc w:val="left"/>
        <w:rPr>
          <w:rFonts w:asciiTheme="majorEastAsia" w:eastAsiaTheme="majorEastAsia" w:hAnsiTheme="majorEastAsia" w:cstheme="majorEastAsia"/>
        </w:rPr>
      </w:pPr>
      <w:r>
        <w:rPr>
          <w:rFonts w:asciiTheme="majorEastAsia" w:eastAsiaTheme="majorEastAsia" w:hAnsiTheme="majorEastAsia" w:cstheme="majorEastAsia" w:hint="eastAsia"/>
        </w:rPr>
        <w:br w:type="page"/>
      </w:r>
    </w:p>
    <w:p w:rsidR="0022093C" w:rsidRDefault="006247C0">
      <w:pPr>
        <w:widowControl/>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lastRenderedPageBreak/>
        <w:t>附件</w:t>
      </w:r>
      <w:r>
        <w:rPr>
          <w:rFonts w:asciiTheme="majorEastAsia" w:eastAsiaTheme="majorEastAsia" w:hAnsiTheme="majorEastAsia" w:cstheme="majorEastAsia" w:hint="eastAsia"/>
          <w:sz w:val="32"/>
          <w:szCs w:val="32"/>
        </w:rPr>
        <w:t>2</w:t>
      </w:r>
    </w:p>
    <w:p w:rsidR="0022093C" w:rsidRDefault="006247C0">
      <w:pPr>
        <w:jc w:val="center"/>
        <w:rPr>
          <w:rFonts w:asciiTheme="majorEastAsia" w:eastAsiaTheme="majorEastAsia" w:hAnsiTheme="majorEastAsia" w:cstheme="majorEastAsia"/>
          <w:b/>
          <w:bCs/>
          <w:sz w:val="44"/>
          <w:szCs w:val="44"/>
        </w:rPr>
      </w:pPr>
      <w:r>
        <w:rPr>
          <w:rFonts w:asciiTheme="majorEastAsia" w:eastAsiaTheme="majorEastAsia" w:hAnsiTheme="majorEastAsia" w:cstheme="majorEastAsia" w:hint="eastAsia"/>
          <w:b/>
          <w:bCs/>
          <w:sz w:val="44"/>
          <w:szCs w:val="44"/>
        </w:rPr>
        <w:t>部门整体支出绩效评价基础数据表</w:t>
      </w:r>
    </w:p>
    <w:p w:rsidR="0022093C" w:rsidRDefault="006247C0">
      <w:pPr>
        <w:rPr>
          <w:rFonts w:asciiTheme="majorEastAsia" w:eastAsiaTheme="majorEastAsia" w:hAnsiTheme="majorEastAsia" w:cstheme="majorEastAsia"/>
        </w:rPr>
      </w:pPr>
      <w:r>
        <w:rPr>
          <w:rFonts w:asciiTheme="majorEastAsia" w:eastAsiaTheme="majorEastAsia" w:hAnsiTheme="majorEastAsia" w:cstheme="majorEastAsia" w:hint="eastAsia"/>
        </w:rPr>
        <w:t>填报单位：</w:t>
      </w:r>
      <w:r>
        <w:rPr>
          <w:rFonts w:asciiTheme="majorEastAsia" w:eastAsiaTheme="majorEastAsia" w:hAnsiTheme="majorEastAsia" w:cstheme="majorEastAsia" w:hint="eastAsia"/>
        </w:rPr>
        <w:t>鹤城区商务局</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22093C">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rPr>
            </w:pPr>
            <w:r>
              <w:rPr>
                <w:rFonts w:asciiTheme="majorEastAsia" w:eastAsiaTheme="majorEastAsia" w:hAnsiTheme="majorEastAsia" w:cstheme="majorEastAsia"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rPr>
            </w:pPr>
            <w:r>
              <w:rPr>
                <w:rFonts w:asciiTheme="majorEastAsia" w:eastAsiaTheme="majorEastAsia" w:hAnsiTheme="majorEastAsia" w:cstheme="majorEastAsia" w:hint="eastAsia"/>
              </w:rPr>
              <w:t>编制数</w:t>
            </w:r>
          </w:p>
        </w:tc>
        <w:tc>
          <w:tcPr>
            <w:tcW w:w="2292" w:type="dxa"/>
            <w:tcBorders>
              <w:top w:val="single" w:sz="4" w:space="0" w:color="000000"/>
              <w:left w:val="nil"/>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rPr>
            </w:pPr>
            <w:r>
              <w:rPr>
                <w:rFonts w:asciiTheme="majorEastAsia" w:eastAsiaTheme="majorEastAsia" w:hAnsiTheme="majorEastAsia" w:cstheme="majorEastAsia" w:hint="eastAsia"/>
              </w:rPr>
              <w:t>2019</w:t>
            </w:r>
            <w:r>
              <w:rPr>
                <w:rFonts w:asciiTheme="majorEastAsia" w:eastAsiaTheme="majorEastAsia" w:hAnsiTheme="majorEastAsia" w:cstheme="majorEastAsia" w:hint="eastAsia"/>
              </w:rPr>
              <w:t>年实际在职人数</w:t>
            </w:r>
          </w:p>
        </w:tc>
        <w:tc>
          <w:tcPr>
            <w:tcW w:w="2244" w:type="dxa"/>
            <w:tcBorders>
              <w:top w:val="single" w:sz="4" w:space="0" w:color="000000"/>
              <w:left w:val="nil"/>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rPr>
            </w:pPr>
            <w:r>
              <w:rPr>
                <w:rFonts w:asciiTheme="majorEastAsia" w:eastAsiaTheme="majorEastAsia" w:hAnsiTheme="majorEastAsia" w:cstheme="majorEastAsia" w:hint="eastAsia"/>
              </w:rPr>
              <w:t>控制率</w:t>
            </w:r>
          </w:p>
        </w:tc>
      </w:tr>
      <w:tr w:rsidR="0022093C">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22093C" w:rsidRDefault="0022093C">
            <w:pPr>
              <w:widowControl/>
              <w:spacing w:line="440" w:lineRule="exact"/>
              <w:jc w:val="left"/>
              <w:rPr>
                <w:rFonts w:asciiTheme="majorEastAsia" w:eastAsiaTheme="majorEastAsia" w:hAnsiTheme="majorEastAsia" w:cstheme="majorEastAsia"/>
              </w:rPr>
            </w:pPr>
          </w:p>
        </w:tc>
        <w:tc>
          <w:tcPr>
            <w:tcW w:w="2181" w:type="dxa"/>
            <w:tcBorders>
              <w:top w:val="single" w:sz="4" w:space="0" w:color="000000"/>
              <w:left w:val="nil"/>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rPr>
            </w:pPr>
            <w:r>
              <w:rPr>
                <w:rFonts w:asciiTheme="majorEastAsia" w:eastAsiaTheme="majorEastAsia" w:hAnsiTheme="majorEastAsia" w:cstheme="majorEastAsia" w:hint="eastAsia"/>
              </w:rPr>
              <w:t>41</w:t>
            </w:r>
          </w:p>
        </w:tc>
        <w:tc>
          <w:tcPr>
            <w:tcW w:w="2292" w:type="dxa"/>
            <w:tcBorders>
              <w:top w:val="single" w:sz="4" w:space="0" w:color="000000"/>
              <w:left w:val="nil"/>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rPr>
            </w:pPr>
            <w:r>
              <w:rPr>
                <w:rFonts w:asciiTheme="majorEastAsia" w:eastAsiaTheme="majorEastAsia" w:hAnsiTheme="majorEastAsia" w:cstheme="majorEastAsia" w:hint="eastAsia"/>
              </w:rPr>
              <w:t>25</w:t>
            </w:r>
          </w:p>
        </w:tc>
        <w:tc>
          <w:tcPr>
            <w:tcW w:w="2244" w:type="dxa"/>
            <w:tcBorders>
              <w:top w:val="single" w:sz="4" w:space="0" w:color="000000"/>
              <w:left w:val="nil"/>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rPr>
            </w:pPr>
            <w:r>
              <w:rPr>
                <w:rFonts w:asciiTheme="majorEastAsia" w:eastAsiaTheme="majorEastAsia" w:hAnsiTheme="majorEastAsia" w:cstheme="majorEastAsia" w:hint="eastAsia"/>
              </w:rPr>
              <w:t>84.38%</w:t>
            </w:r>
          </w:p>
        </w:tc>
      </w:tr>
      <w:tr w:rsidR="002209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经费控制情况</w:t>
            </w:r>
          </w:p>
        </w:tc>
        <w:tc>
          <w:tcPr>
            <w:tcW w:w="2181" w:type="dxa"/>
            <w:tcBorders>
              <w:top w:val="single" w:sz="4" w:space="0" w:color="000000"/>
              <w:left w:val="nil"/>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2018</w:t>
            </w:r>
            <w:r>
              <w:rPr>
                <w:rFonts w:asciiTheme="majorEastAsia" w:eastAsiaTheme="majorEastAsia" w:hAnsiTheme="majorEastAsia" w:cstheme="majorEastAsia" w:hint="eastAsia"/>
                <w:szCs w:val="21"/>
              </w:rPr>
              <w:t>年决算数</w:t>
            </w:r>
          </w:p>
        </w:tc>
        <w:tc>
          <w:tcPr>
            <w:tcW w:w="2292" w:type="dxa"/>
            <w:tcBorders>
              <w:top w:val="single" w:sz="4" w:space="0" w:color="000000"/>
              <w:left w:val="nil"/>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2019</w:t>
            </w:r>
            <w:r>
              <w:rPr>
                <w:rFonts w:asciiTheme="majorEastAsia" w:eastAsiaTheme="majorEastAsia" w:hAnsiTheme="majorEastAsia" w:cstheme="majorEastAsia" w:hint="eastAsia"/>
                <w:szCs w:val="21"/>
              </w:rPr>
              <w:t>年预算数</w:t>
            </w:r>
          </w:p>
        </w:tc>
        <w:tc>
          <w:tcPr>
            <w:tcW w:w="2244" w:type="dxa"/>
            <w:tcBorders>
              <w:top w:val="single" w:sz="4" w:space="0" w:color="000000"/>
              <w:left w:val="nil"/>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2019</w:t>
            </w:r>
            <w:r>
              <w:rPr>
                <w:rFonts w:asciiTheme="majorEastAsia" w:eastAsiaTheme="majorEastAsia" w:hAnsiTheme="majorEastAsia" w:cstheme="majorEastAsia" w:hint="eastAsia"/>
                <w:szCs w:val="21"/>
              </w:rPr>
              <w:t>年决算数</w:t>
            </w:r>
          </w:p>
        </w:tc>
      </w:tr>
      <w:tr w:rsidR="0022093C">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三公经费</w:t>
            </w:r>
          </w:p>
        </w:tc>
        <w:tc>
          <w:tcPr>
            <w:tcW w:w="2181"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20.18</w:t>
            </w:r>
          </w:p>
        </w:tc>
        <w:tc>
          <w:tcPr>
            <w:tcW w:w="2292"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40</w:t>
            </w:r>
          </w:p>
        </w:tc>
        <w:tc>
          <w:tcPr>
            <w:tcW w:w="2244"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6.25</w:t>
            </w:r>
          </w:p>
        </w:tc>
      </w:tr>
      <w:tr w:rsidR="0022093C">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、公务用车购置和维护经费</w:t>
            </w:r>
          </w:p>
        </w:tc>
        <w:tc>
          <w:tcPr>
            <w:tcW w:w="2181"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4.43</w:t>
            </w:r>
          </w:p>
        </w:tc>
        <w:tc>
          <w:tcPr>
            <w:tcW w:w="2292"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c>
          <w:tcPr>
            <w:tcW w:w="2244"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r>
      <w:tr w:rsidR="0022093C">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其中：公车购置</w:t>
            </w:r>
          </w:p>
        </w:tc>
        <w:tc>
          <w:tcPr>
            <w:tcW w:w="2181"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c>
          <w:tcPr>
            <w:tcW w:w="2292"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c>
          <w:tcPr>
            <w:tcW w:w="2244"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r>
      <w:tr w:rsidR="002209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公车运行维护</w:t>
            </w:r>
          </w:p>
        </w:tc>
        <w:tc>
          <w:tcPr>
            <w:tcW w:w="2181"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c>
          <w:tcPr>
            <w:tcW w:w="2292"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c>
          <w:tcPr>
            <w:tcW w:w="2244"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r>
      <w:tr w:rsidR="002209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、出国经费</w:t>
            </w:r>
          </w:p>
        </w:tc>
        <w:tc>
          <w:tcPr>
            <w:tcW w:w="2181"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c>
          <w:tcPr>
            <w:tcW w:w="2292"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c>
          <w:tcPr>
            <w:tcW w:w="2244"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0.12</w:t>
            </w:r>
          </w:p>
        </w:tc>
      </w:tr>
      <w:tr w:rsidR="002209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、公务接待</w:t>
            </w:r>
          </w:p>
        </w:tc>
        <w:tc>
          <w:tcPr>
            <w:tcW w:w="2181"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15.75</w:t>
            </w:r>
          </w:p>
        </w:tc>
        <w:tc>
          <w:tcPr>
            <w:tcW w:w="2292"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40</w:t>
            </w:r>
          </w:p>
        </w:tc>
        <w:tc>
          <w:tcPr>
            <w:tcW w:w="2244"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6.13</w:t>
            </w:r>
          </w:p>
        </w:tc>
      </w:tr>
      <w:tr w:rsidR="0022093C">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项目支出：</w:t>
            </w:r>
          </w:p>
        </w:tc>
        <w:tc>
          <w:tcPr>
            <w:tcW w:w="2181" w:type="dxa"/>
            <w:tcBorders>
              <w:top w:val="single" w:sz="4" w:space="0" w:color="000000"/>
              <w:left w:val="nil"/>
              <w:bottom w:val="single" w:sz="4" w:space="0" w:color="000000"/>
              <w:right w:val="single" w:sz="4" w:space="0" w:color="000000"/>
            </w:tcBorders>
          </w:tcPr>
          <w:p w:rsidR="0022093C" w:rsidRDefault="0022093C">
            <w:pPr>
              <w:spacing w:line="440" w:lineRule="exact"/>
              <w:rPr>
                <w:rFonts w:asciiTheme="majorEastAsia" w:eastAsiaTheme="majorEastAsia" w:hAnsiTheme="majorEastAsia" w:cstheme="majorEastAsia"/>
                <w:szCs w:val="21"/>
              </w:rPr>
            </w:pPr>
          </w:p>
        </w:tc>
        <w:tc>
          <w:tcPr>
            <w:tcW w:w="2292"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712.5</w:t>
            </w:r>
          </w:p>
        </w:tc>
        <w:tc>
          <w:tcPr>
            <w:tcW w:w="2244"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311.44</w:t>
            </w:r>
          </w:p>
        </w:tc>
      </w:tr>
      <w:tr w:rsidR="002209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、业务工作专项</w:t>
            </w:r>
          </w:p>
        </w:tc>
        <w:tc>
          <w:tcPr>
            <w:tcW w:w="2181" w:type="dxa"/>
            <w:tcBorders>
              <w:top w:val="single" w:sz="4" w:space="0" w:color="000000"/>
              <w:left w:val="nil"/>
              <w:bottom w:val="single" w:sz="4" w:space="0" w:color="000000"/>
              <w:right w:val="single" w:sz="4" w:space="0" w:color="000000"/>
            </w:tcBorders>
          </w:tcPr>
          <w:p w:rsidR="0022093C" w:rsidRDefault="0022093C">
            <w:pPr>
              <w:spacing w:line="440" w:lineRule="exact"/>
              <w:rPr>
                <w:rFonts w:asciiTheme="majorEastAsia" w:eastAsiaTheme="majorEastAsia" w:hAnsiTheme="majorEastAsia" w:cstheme="majorEastAsia"/>
                <w:szCs w:val="21"/>
              </w:rPr>
            </w:pPr>
          </w:p>
        </w:tc>
        <w:tc>
          <w:tcPr>
            <w:tcW w:w="2292"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712.5</w:t>
            </w:r>
          </w:p>
        </w:tc>
        <w:tc>
          <w:tcPr>
            <w:tcW w:w="2244"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311.44</w:t>
            </w:r>
          </w:p>
        </w:tc>
      </w:tr>
      <w:tr w:rsidR="002209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、运行维护专项</w:t>
            </w:r>
          </w:p>
        </w:tc>
        <w:tc>
          <w:tcPr>
            <w:tcW w:w="2181" w:type="dxa"/>
            <w:tcBorders>
              <w:top w:val="single" w:sz="4" w:space="0" w:color="000000"/>
              <w:left w:val="nil"/>
              <w:bottom w:val="single" w:sz="4" w:space="0" w:color="000000"/>
              <w:right w:val="single" w:sz="4" w:space="0" w:color="000000"/>
            </w:tcBorders>
          </w:tcPr>
          <w:p w:rsidR="0022093C" w:rsidRDefault="0022093C">
            <w:pPr>
              <w:spacing w:line="440" w:lineRule="exact"/>
              <w:rPr>
                <w:rFonts w:asciiTheme="majorEastAsia" w:eastAsiaTheme="majorEastAsia" w:hAnsiTheme="majorEastAsia" w:cstheme="majorEastAsia"/>
                <w:szCs w:val="21"/>
              </w:rPr>
            </w:pPr>
          </w:p>
        </w:tc>
        <w:tc>
          <w:tcPr>
            <w:tcW w:w="2292" w:type="dxa"/>
            <w:tcBorders>
              <w:top w:val="single" w:sz="4" w:space="0" w:color="000000"/>
              <w:left w:val="nil"/>
              <w:bottom w:val="single" w:sz="4" w:space="0" w:color="000000"/>
              <w:right w:val="single" w:sz="4" w:space="0" w:color="000000"/>
            </w:tcBorders>
          </w:tcPr>
          <w:p w:rsidR="0022093C" w:rsidRDefault="0022093C">
            <w:pPr>
              <w:spacing w:line="440" w:lineRule="exact"/>
              <w:rPr>
                <w:rFonts w:asciiTheme="majorEastAsia" w:eastAsiaTheme="majorEastAsia" w:hAnsiTheme="majorEastAsia" w:cstheme="majorEastAsia"/>
                <w:szCs w:val="21"/>
              </w:rPr>
            </w:pPr>
          </w:p>
        </w:tc>
        <w:tc>
          <w:tcPr>
            <w:tcW w:w="2244" w:type="dxa"/>
            <w:tcBorders>
              <w:top w:val="single" w:sz="4" w:space="0" w:color="000000"/>
              <w:left w:val="nil"/>
              <w:bottom w:val="single" w:sz="4" w:space="0" w:color="000000"/>
              <w:right w:val="single" w:sz="4" w:space="0" w:color="000000"/>
            </w:tcBorders>
          </w:tcPr>
          <w:p w:rsidR="0022093C" w:rsidRDefault="0022093C">
            <w:pPr>
              <w:spacing w:line="440" w:lineRule="exact"/>
              <w:rPr>
                <w:rFonts w:asciiTheme="majorEastAsia" w:eastAsiaTheme="majorEastAsia" w:hAnsiTheme="majorEastAsia" w:cstheme="majorEastAsia"/>
                <w:szCs w:val="21"/>
              </w:rPr>
            </w:pPr>
          </w:p>
        </w:tc>
      </w:tr>
      <w:tr w:rsidR="002209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 </w:t>
            </w:r>
            <w:r>
              <w:rPr>
                <w:rFonts w:asciiTheme="majorEastAsia" w:eastAsiaTheme="majorEastAsia" w:hAnsiTheme="majorEastAsia" w:cstheme="majorEastAsia" w:hint="eastAsia"/>
                <w:szCs w:val="21"/>
              </w:rPr>
              <w:t>…</w:t>
            </w:r>
          </w:p>
        </w:tc>
        <w:tc>
          <w:tcPr>
            <w:tcW w:w="2181" w:type="dxa"/>
            <w:tcBorders>
              <w:top w:val="single" w:sz="4" w:space="0" w:color="000000"/>
              <w:left w:val="nil"/>
              <w:bottom w:val="single" w:sz="4" w:space="0" w:color="000000"/>
              <w:right w:val="single" w:sz="4" w:space="0" w:color="000000"/>
            </w:tcBorders>
          </w:tcPr>
          <w:p w:rsidR="0022093C" w:rsidRDefault="0022093C">
            <w:pPr>
              <w:spacing w:line="440" w:lineRule="exact"/>
              <w:rPr>
                <w:rFonts w:asciiTheme="majorEastAsia" w:eastAsiaTheme="majorEastAsia" w:hAnsiTheme="majorEastAsia" w:cstheme="majorEastAsia"/>
                <w:szCs w:val="21"/>
              </w:rPr>
            </w:pPr>
          </w:p>
        </w:tc>
        <w:tc>
          <w:tcPr>
            <w:tcW w:w="2292" w:type="dxa"/>
            <w:tcBorders>
              <w:top w:val="single" w:sz="4" w:space="0" w:color="000000"/>
              <w:left w:val="nil"/>
              <w:bottom w:val="single" w:sz="4" w:space="0" w:color="000000"/>
              <w:right w:val="single" w:sz="4" w:space="0" w:color="000000"/>
            </w:tcBorders>
          </w:tcPr>
          <w:p w:rsidR="0022093C" w:rsidRDefault="0022093C">
            <w:pPr>
              <w:spacing w:line="440" w:lineRule="exact"/>
              <w:rPr>
                <w:rFonts w:asciiTheme="majorEastAsia" w:eastAsiaTheme="majorEastAsia" w:hAnsiTheme="majorEastAsia" w:cstheme="majorEastAsia"/>
                <w:szCs w:val="21"/>
              </w:rPr>
            </w:pPr>
          </w:p>
        </w:tc>
        <w:tc>
          <w:tcPr>
            <w:tcW w:w="2244" w:type="dxa"/>
            <w:tcBorders>
              <w:top w:val="single" w:sz="4" w:space="0" w:color="000000"/>
              <w:left w:val="nil"/>
              <w:bottom w:val="single" w:sz="4" w:space="0" w:color="000000"/>
              <w:right w:val="single" w:sz="4" w:space="0" w:color="000000"/>
            </w:tcBorders>
          </w:tcPr>
          <w:p w:rsidR="0022093C" w:rsidRDefault="0022093C">
            <w:pPr>
              <w:spacing w:line="440" w:lineRule="exact"/>
              <w:rPr>
                <w:rFonts w:asciiTheme="majorEastAsia" w:eastAsiaTheme="majorEastAsia" w:hAnsiTheme="majorEastAsia" w:cstheme="majorEastAsia"/>
                <w:szCs w:val="21"/>
              </w:rPr>
            </w:pPr>
          </w:p>
        </w:tc>
      </w:tr>
      <w:tr w:rsidR="002209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公用经费</w:t>
            </w:r>
          </w:p>
        </w:tc>
        <w:tc>
          <w:tcPr>
            <w:tcW w:w="2181"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410</w:t>
            </w:r>
          </w:p>
        </w:tc>
        <w:tc>
          <w:tcPr>
            <w:tcW w:w="2292"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35.86</w:t>
            </w:r>
          </w:p>
        </w:tc>
        <w:tc>
          <w:tcPr>
            <w:tcW w:w="2244"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21.77</w:t>
            </w:r>
          </w:p>
        </w:tc>
      </w:tr>
      <w:tr w:rsidR="002209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其中：办公经费</w:t>
            </w:r>
          </w:p>
        </w:tc>
        <w:tc>
          <w:tcPr>
            <w:tcW w:w="2181"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64</w:t>
            </w:r>
          </w:p>
        </w:tc>
        <w:tc>
          <w:tcPr>
            <w:tcW w:w="2292"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w:t>
            </w:r>
          </w:p>
        </w:tc>
        <w:tc>
          <w:tcPr>
            <w:tcW w:w="2244"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7.48</w:t>
            </w:r>
          </w:p>
        </w:tc>
      </w:tr>
      <w:tr w:rsidR="0022093C">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水费、电费、差旅费</w:t>
            </w:r>
          </w:p>
        </w:tc>
        <w:tc>
          <w:tcPr>
            <w:tcW w:w="2181"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46.5</w:t>
            </w:r>
          </w:p>
        </w:tc>
        <w:tc>
          <w:tcPr>
            <w:tcW w:w="2292"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5.5</w:t>
            </w:r>
          </w:p>
        </w:tc>
        <w:tc>
          <w:tcPr>
            <w:tcW w:w="2244"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14.12</w:t>
            </w:r>
          </w:p>
        </w:tc>
      </w:tr>
      <w:tr w:rsidR="002209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会议费、培训费</w:t>
            </w:r>
          </w:p>
        </w:tc>
        <w:tc>
          <w:tcPr>
            <w:tcW w:w="2181"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w:t>
            </w:r>
          </w:p>
        </w:tc>
        <w:tc>
          <w:tcPr>
            <w:tcW w:w="2292"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1.7</w:t>
            </w:r>
          </w:p>
        </w:tc>
        <w:tc>
          <w:tcPr>
            <w:tcW w:w="2244"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1.92</w:t>
            </w:r>
          </w:p>
        </w:tc>
      </w:tr>
      <w:tr w:rsidR="0022093C">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政府采购金额</w:t>
            </w:r>
          </w:p>
        </w:tc>
        <w:tc>
          <w:tcPr>
            <w:tcW w:w="2181" w:type="dxa"/>
            <w:tcBorders>
              <w:top w:val="single" w:sz="4" w:space="0" w:color="000000"/>
              <w:left w:val="nil"/>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p>
        </w:tc>
        <w:tc>
          <w:tcPr>
            <w:tcW w:w="2292"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51.98</w:t>
            </w:r>
          </w:p>
        </w:tc>
        <w:tc>
          <w:tcPr>
            <w:tcW w:w="2244" w:type="dxa"/>
            <w:tcBorders>
              <w:top w:val="single" w:sz="4" w:space="0" w:color="000000"/>
              <w:left w:val="nil"/>
              <w:bottom w:val="single" w:sz="4" w:space="0" w:color="000000"/>
              <w:right w:val="single" w:sz="4" w:space="0" w:color="000000"/>
            </w:tcBorders>
          </w:tcPr>
          <w:p w:rsidR="0022093C" w:rsidRDefault="006247C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0</w:t>
            </w:r>
          </w:p>
        </w:tc>
      </w:tr>
      <w:tr w:rsidR="0022093C">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22093C" w:rsidRDefault="006247C0">
            <w:pPr>
              <w:spacing w:line="44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p>
        </w:tc>
        <w:tc>
          <w:tcPr>
            <w:tcW w:w="2292" w:type="dxa"/>
            <w:tcBorders>
              <w:top w:val="single" w:sz="4" w:space="0" w:color="000000"/>
              <w:left w:val="nil"/>
              <w:bottom w:val="single" w:sz="4" w:space="0" w:color="000000"/>
              <w:right w:val="single" w:sz="4" w:space="0" w:color="000000"/>
            </w:tcBorders>
          </w:tcPr>
          <w:p w:rsidR="0022093C" w:rsidRDefault="0022093C">
            <w:pPr>
              <w:spacing w:line="440" w:lineRule="exact"/>
              <w:rPr>
                <w:rFonts w:asciiTheme="majorEastAsia" w:eastAsiaTheme="majorEastAsia" w:hAnsiTheme="majorEastAsia" w:cstheme="majorEastAsia"/>
                <w:szCs w:val="21"/>
              </w:rPr>
            </w:pPr>
          </w:p>
        </w:tc>
        <w:tc>
          <w:tcPr>
            <w:tcW w:w="2244" w:type="dxa"/>
            <w:tcBorders>
              <w:top w:val="single" w:sz="4" w:space="0" w:color="000000"/>
              <w:left w:val="nil"/>
              <w:bottom w:val="single" w:sz="4" w:space="0" w:color="000000"/>
              <w:right w:val="single" w:sz="4" w:space="0" w:color="000000"/>
            </w:tcBorders>
          </w:tcPr>
          <w:p w:rsidR="0022093C" w:rsidRDefault="0022093C">
            <w:pPr>
              <w:spacing w:line="440" w:lineRule="exact"/>
              <w:rPr>
                <w:rFonts w:asciiTheme="majorEastAsia" w:eastAsiaTheme="majorEastAsia" w:hAnsiTheme="majorEastAsia" w:cstheme="majorEastAsia"/>
                <w:szCs w:val="21"/>
              </w:rPr>
            </w:pPr>
          </w:p>
        </w:tc>
      </w:tr>
    </w:tbl>
    <w:p w:rsidR="0022093C" w:rsidRDefault="006247C0">
      <w:pPr>
        <w:spacing w:line="400" w:lineRule="exact"/>
        <w:rPr>
          <w:rFonts w:asciiTheme="majorEastAsia" w:eastAsiaTheme="majorEastAsia" w:hAnsiTheme="majorEastAsia" w:cstheme="majorEastAsia"/>
        </w:rPr>
      </w:pPr>
      <w:r>
        <w:rPr>
          <w:rFonts w:asciiTheme="majorEastAsia" w:eastAsiaTheme="majorEastAsia" w:hAnsiTheme="majorEastAsia" w:cstheme="majorEastAsia" w:hint="eastAsia"/>
        </w:rPr>
        <w:t>说明：“项目支出”需要填报除专项资金和基本支出以外的所有项目情况，包括业务工作项目、运行维护项目等；“公用经费”填报基本支出中的一般商品和服务支出。</w:t>
      </w:r>
    </w:p>
    <w:p w:rsidR="0022093C" w:rsidRDefault="0022093C">
      <w:pPr>
        <w:rPr>
          <w:rFonts w:asciiTheme="majorEastAsia" w:eastAsiaTheme="majorEastAsia" w:hAnsiTheme="majorEastAsia" w:cstheme="majorEastAsia"/>
        </w:rPr>
      </w:pPr>
    </w:p>
    <w:p w:rsidR="0022093C" w:rsidRDefault="0022093C">
      <w:pPr>
        <w:rPr>
          <w:rFonts w:asciiTheme="majorEastAsia" w:eastAsiaTheme="majorEastAsia" w:hAnsiTheme="majorEastAsia" w:cstheme="majorEastAsia"/>
        </w:rPr>
      </w:pPr>
    </w:p>
    <w:p w:rsidR="0022093C" w:rsidRDefault="0022093C">
      <w:pPr>
        <w:rPr>
          <w:rFonts w:asciiTheme="majorEastAsia" w:eastAsiaTheme="majorEastAsia" w:hAnsiTheme="majorEastAsia" w:cstheme="majorEastAsia"/>
        </w:rPr>
      </w:pPr>
    </w:p>
    <w:p w:rsidR="0022093C" w:rsidRDefault="0022093C">
      <w:pPr>
        <w:rPr>
          <w:rFonts w:asciiTheme="majorEastAsia" w:eastAsiaTheme="majorEastAsia" w:hAnsiTheme="majorEastAsia" w:cstheme="majorEastAsia"/>
        </w:rPr>
      </w:pPr>
    </w:p>
    <w:p w:rsidR="0022093C" w:rsidRDefault="0022093C">
      <w:pPr>
        <w:rPr>
          <w:rFonts w:asciiTheme="majorEastAsia" w:eastAsiaTheme="majorEastAsia" w:hAnsiTheme="majorEastAsia" w:cstheme="majorEastAsia"/>
        </w:rPr>
      </w:pPr>
    </w:p>
    <w:p w:rsidR="0022093C" w:rsidRDefault="0022093C">
      <w:pPr>
        <w:rPr>
          <w:rFonts w:asciiTheme="majorEastAsia" w:eastAsiaTheme="majorEastAsia" w:hAnsiTheme="majorEastAsia" w:cstheme="majorEastAsia"/>
        </w:rPr>
      </w:pPr>
    </w:p>
    <w:p w:rsidR="0022093C" w:rsidRDefault="0022093C">
      <w:pPr>
        <w:rPr>
          <w:rFonts w:asciiTheme="majorEastAsia" w:eastAsiaTheme="majorEastAsia" w:hAnsiTheme="majorEastAsia" w:cstheme="majorEastAsia"/>
        </w:rPr>
      </w:pPr>
    </w:p>
    <w:p w:rsidR="0022093C" w:rsidRDefault="006247C0">
      <w:pPr>
        <w:widowControl/>
        <w:spacing w:line="600" w:lineRule="exact"/>
        <w:jc w:val="left"/>
        <w:rPr>
          <w:rFonts w:asciiTheme="majorEastAsia" w:eastAsiaTheme="majorEastAsia" w:hAnsiTheme="majorEastAsia" w:cstheme="majorEastAsia"/>
          <w:kern w:val="0"/>
          <w:sz w:val="32"/>
          <w:szCs w:val="32"/>
        </w:rPr>
      </w:pPr>
      <w:r>
        <w:rPr>
          <w:rFonts w:asciiTheme="majorEastAsia" w:eastAsiaTheme="majorEastAsia" w:hAnsiTheme="majorEastAsia" w:cstheme="majorEastAsia" w:hint="eastAsia"/>
          <w:kern w:val="0"/>
          <w:sz w:val="32"/>
          <w:szCs w:val="32"/>
        </w:rPr>
        <w:lastRenderedPageBreak/>
        <w:t>附件</w:t>
      </w:r>
      <w:r>
        <w:rPr>
          <w:rFonts w:asciiTheme="majorEastAsia" w:eastAsiaTheme="majorEastAsia" w:hAnsiTheme="majorEastAsia" w:cstheme="majorEastAsia" w:hint="eastAsia"/>
          <w:kern w:val="0"/>
          <w:sz w:val="32"/>
          <w:szCs w:val="32"/>
        </w:rPr>
        <w:t>3</w:t>
      </w:r>
    </w:p>
    <w:p w:rsidR="0022093C" w:rsidRDefault="0022093C">
      <w:pPr>
        <w:widowControl/>
        <w:spacing w:line="600" w:lineRule="exact"/>
        <w:jc w:val="left"/>
        <w:rPr>
          <w:rFonts w:asciiTheme="majorEastAsia" w:eastAsiaTheme="majorEastAsia" w:hAnsiTheme="majorEastAsia" w:cstheme="majorEastAsia"/>
          <w:kern w:val="0"/>
          <w:sz w:val="32"/>
          <w:szCs w:val="32"/>
        </w:rPr>
      </w:pPr>
    </w:p>
    <w:p w:rsidR="0022093C" w:rsidRDefault="006247C0">
      <w:pPr>
        <w:spacing w:line="600" w:lineRule="exact"/>
        <w:jc w:val="center"/>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6"/>
          <w:szCs w:val="36"/>
        </w:rPr>
        <w:t>部门整体支出绩效评价报告</w:t>
      </w:r>
    </w:p>
    <w:p w:rsidR="0022093C" w:rsidRDefault="006247C0">
      <w:pPr>
        <w:spacing w:line="600" w:lineRule="exact"/>
        <w:jc w:val="center"/>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（鹤城区商务局）</w:t>
      </w:r>
    </w:p>
    <w:p w:rsidR="0022093C" w:rsidRDefault="006247C0">
      <w:pPr>
        <w:pStyle w:val="a6"/>
        <w:widowControl/>
        <w:numPr>
          <w:ilvl w:val="0"/>
          <w:numId w:val="1"/>
        </w:numPr>
        <w:spacing w:line="600" w:lineRule="exact"/>
        <w:ind w:left="640" w:firstLineChars="0" w:firstLine="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部门、单位基本情况</w:t>
      </w:r>
    </w:p>
    <w:p w:rsidR="0022093C" w:rsidRDefault="006247C0">
      <w:pPr>
        <w:ind w:firstLineChars="250" w:firstLine="800"/>
        <w:rPr>
          <w:rFonts w:asciiTheme="majorEastAsia" w:eastAsiaTheme="majorEastAsia" w:hAnsiTheme="majorEastAsia" w:cstheme="majorEastAsia"/>
          <w:snapToGrid w:val="0"/>
          <w:sz w:val="32"/>
          <w:szCs w:val="32"/>
        </w:rPr>
      </w:pPr>
      <w:r>
        <w:rPr>
          <w:rFonts w:asciiTheme="majorEastAsia" w:eastAsiaTheme="majorEastAsia" w:hAnsiTheme="majorEastAsia" w:cstheme="majorEastAsia" w:hint="eastAsia"/>
          <w:snapToGrid w:val="0"/>
          <w:sz w:val="32"/>
          <w:szCs w:val="32"/>
        </w:rPr>
        <w:t>怀化市鹤城区商务局是区政府工作部门，为正科级。贯彻落实党中央、省委、市委、关于商务工作的方针政策和决策部署，全面落实省委、市委、区委关于商务工作的部署要求，在履行职责过程中坚持和加强党对商务工作的集中统一领导，主要职责是：</w:t>
      </w:r>
      <w:r>
        <w:rPr>
          <w:rFonts w:asciiTheme="majorEastAsia" w:eastAsiaTheme="majorEastAsia" w:hAnsiTheme="majorEastAsia" w:cstheme="majorEastAsia" w:hint="eastAsia"/>
          <w:sz w:val="32"/>
          <w:szCs w:val="32"/>
        </w:rPr>
        <w:t>制定我区国内外贸易、招商引资、承接产业转移、对外投资和对外经济合作的政策措施和实施办法指导流通企业改革，促进商贸服务业和社区商业发展促进城乡市场发展、承担组织实施重要消费品市场调控和重要生产资料（成品油）流通管理的责任、承担会展业促进与管理有关工作、负责商贸行业安全生产监督管理工作。</w:t>
      </w:r>
      <w:r>
        <w:rPr>
          <w:rFonts w:asciiTheme="majorEastAsia" w:eastAsiaTheme="majorEastAsia" w:hAnsiTheme="majorEastAsia" w:cstheme="majorEastAsia" w:hint="eastAsia"/>
          <w:bCs/>
          <w:kern w:val="0"/>
          <w:sz w:val="32"/>
          <w:szCs w:val="32"/>
        </w:rPr>
        <w:t>区商务局内设机构包括：</w:t>
      </w:r>
      <w:r>
        <w:rPr>
          <w:rFonts w:asciiTheme="majorEastAsia" w:eastAsiaTheme="majorEastAsia" w:hAnsiTheme="majorEastAsia" w:cstheme="majorEastAsia" w:hint="eastAsia"/>
          <w:bCs/>
          <w:kern w:val="0"/>
          <w:sz w:val="32"/>
          <w:szCs w:val="32"/>
        </w:rPr>
        <w:t>8</w:t>
      </w:r>
      <w:r>
        <w:rPr>
          <w:rFonts w:asciiTheme="majorEastAsia" w:eastAsiaTheme="majorEastAsia" w:hAnsiTheme="majorEastAsia" w:cstheme="majorEastAsia" w:hint="eastAsia"/>
          <w:sz w:val="32"/>
          <w:szCs w:val="32"/>
        </w:rPr>
        <w:t>个职能股室：</w:t>
      </w:r>
      <w:r>
        <w:rPr>
          <w:rFonts w:asciiTheme="majorEastAsia" w:eastAsiaTheme="majorEastAsia" w:hAnsiTheme="majorEastAsia" w:cstheme="majorEastAsia" w:hint="eastAsia"/>
          <w:sz w:val="32"/>
        </w:rPr>
        <w:t>办公室（人事股）</w:t>
      </w:r>
      <w:r>
        <w:rPr>
          <w:rFonts w:asciiTheme="majorEastAsia" w:eastAsiaTheme="majorEastAsia" w:hAnsiTheme="majorEastAsia" w:cstheme="majorEastAsia" w:hint="eastAsia"/>
          <w:sz w:val="32"/>
          <w:szCs w:val="32"/>
        </w:rPr>
        <w:t>、财务股、</w:t>
      </w:r>
      <w:r>
        <w:rPr>
          <w:rFonts w:asciiTheme="majorEastAsia" w:eastAsiaTheme="majorEastAsia" w:hAnsiTheme="majorEastAsia" w:cstheme="majorEastAsia" w:hint="eastAsia"/>
          <w:sz w:val="32"/>
        </w:rPr>
        <w:t>政策法规和市场秩序股（行政审批股）</w:t>
      </w:r>
      <w:r>
        <w:rPr>
          <w:rFonts w:asciiTheme="majorEastAsia" w:eastAsiaTheme="majorEastAsia" w:hAnsiTheme="majorEastAsia" w:cstheme="majorEastAsia" w:hint="eastAsia"/>
          <w:sz w:val="32"/>
          <w:szCs w:val="32"/>
        </w:rPr>
        <w:t>、</w:t>
      </w:r>
      <w:r>
        <w:rPr>
          <w:rFonts w:asciiTheme="majorEastAsia" w:eastAsiaTheme="majorEastAsia" w:hAnsiTheme="majorEastAsia" w:cstheme="majorEastAsia" w:hint="eastAsia"/>
          <w:sz w:val="32"/>
        </w:rPr>
        <w:t>市场运行和商贸服务业股、市场体系建设股、流通业发展股（电子商务局股）、对外贸易和对外经济合作股、招商联络和投资促进股。</w:t>
      </w:r>
      <w:r>
        <w:rPr>
          <w:rFonts w:asciiTheme="majorEastAsia" w:eastAsiaTheme="majorEastAsia" w:hAnsiTheme="majorEastAsia" w:cstheme="majorEastAsia" w:hint="eastAsia"/>
          <w:b/>
          <w:snapToGrid w:val="0"/>
          <w:sz w:val="32"/>
          <w:szCs w:val="32"/>
        </w:rPr>
        <w:t xml:space="preserve"> </w:t>
      </w:r>
      <w:r>
        <w:rPr>
          <w:rFonts w:asciiTheme="majorEastAsia" w:eastAsiaTheme="majorEastAsia" w:hAnsiTheme="majorEastAsia" w:cstheme="majorEastAsia" w:hint="eastAsia"/>
          <w:snapToGrid w:val="0"/>
          <w:sz w:val="32"/>
          <w:szCs w:val="32"/>
        </w:rPr>
        <w:t>区商务局机</w:t>
      </w:r>
      <w:r>
        <w:rPr>
          <w:rFonts w:asciiTheme="majorEastAsia" w:eastAsiaTheme="majorEastAsia" w:hAnsiTheme="majorEastAsia" w:cstheme="majorEastAsia" w:hint="eastAsia"/>
          <w:snapToGrid w:val="0"/>
          <w:sz w:val="32"/>
          <w:szCs w:val="32"/>
        </w:rPr>
        <w:t>关行政编制</w:t>
      </w:r>
      <w:r>
        <w:rPr>
          <w:rFonts w:asciiTheme="majorEastAsia" w:eastAsiaTheme="majorEastAsia" w:hAnsiTheme="majorEastAsia" w:cstheme="majorEastAsia" w:hint="eastAsia"/>
          <w:snapToGrid w:val="0"/>
          <w:sz w:val="32"/>
          <w:szCs w:val="32"/>
        </w:rPr>
        <w:t>11</w:t>
      </w:r>
      <w:r>
        <w:rPr>
          <w:rFonts w:asciiTheme="majorEastAsia" w:eastAsiaTheme="majorEastAsia" w:hAnsiTheme="majorEastAsia" w:cstheme="majorEastAsia" w:hint="eastAsia"/>
          <w:snapToGrid w:val="0"/>
          <w:sz w:val="32"/>
          <w:szCs w:val="32"/>
        </w:rPr>
        <w:t>名，其中</w:t>
      </w:r>
      <w:r>
        <w:rPr>
          <w:rFonts w:asciiTheme="majorEastAsia" w:eastAsiaTheme="majorEastAsia" w:hAnsiTheme="majorEastAsia" w:cstheme="majorEastAsia" w:hint="eastAsia"/>
          <w:snapToGrid w:val="0"/>
          <w:sz w:val="32"/>
          <w:szCs w:val="32"/>
        </w:rPr>
        <w:t>:</w:t>
      </w:r>
      <w:r>
        <w:rPr>
          <w:rFonts w:asciiTheme="majorEastAsia" w:eastAsiaTheme="majorEastAsia" w:hAnsiTheme="majorEastAsia" w:cstheme="majorEastAsia" w:hint="eastAsia"/>
          <w:snapToGrid w:val="0"/>
          <w:sz w:val="32"/>
          <w:szCs w:val="32"/>
        </w:rPr>
        <w:t>局长</w:t>
      </w:r>
      <w:r>
        <w:rPr>
          <w:rFonts w:asciiTheme="majorEastAsia" w:eastAsiaTheme="majorEastAsia" w:hAnsiTheme="majorEastAsia" w:cstheme="majorEastAsia" w:hint="eastAsia"/>
          <w:snapToGrid w:val="0"/>
          <w:sz w:val="32"/>
          <w:szCs w:val="32"/>
        </w:rPr>
        <w:t>1</w:t>
      </w:r>
      <w:r>
        <w:rPr>
          <w:rFonts w:asciiTheme="majorEastAsia" w:eastAsiaTheme="majorEastAsia" w:hAnsiTheme="majorEastAsia" w:cstheme="majorEastAsia" w:hint="eastAsia"/>
          <w:snapToGrid w:val="0"/>
          <w:sz w:val="32"/>
          <w:szCs w:val="32"/>
        </w:rPr>
        <w:t>名，副局长</w:t>
      </w:r>
      <w:r>
        <w:rPr>
          <w:rFonts w:asciiTheme="majorEastAsia" w:eastAsiaTheme="majorEastAsia" w:hAnsiTheme="majorEastAsia" w:cstheme="majorEastAsia" w:hint="eastAsia"/>
          <w:snapToGrid w:val="0"/>
          <w:sz w:val="32"/>
          <w:szCs w:val="32"/>
        </w:rPr>
        <w:t>3</w:t>
      </w:r>
      <w:r>
        <w:rPr>
          <w:rFonts w:asciiTheme="majorEastAsia" w:eastAsiaTheme="majorEastAsia" w:hAnsiTheme="majorEastAsia" w:cstheme="majorEastAsia" w:hint="eastAsia"/>
          <w:snapToGrid w:val="0"/>
          <w:sz w:val="32"/>
          <w:szCs w:val="32"/>
        </w:rPr>
        <w:t>名，股（室）领导职数</w:t>
      </w:r>
      <w:r>
        <w:rPr>
          <w:rFonts w:asciiTheme="majorEastAsia" w:eastAsiaTheme="majorEastAsia" w:hAnsiTheme="majorEastAsia" w:cstheme="majorEastAsia" w:hint="eastAsia"/>
          <w:snapToGrid w:val="0"/>
          <w:sz w:val="32"/>
          <w:szCs w:val="32"/>
        </w:rPr>
        <w:t>7</w:t>
      </w:r>
      <w:r>
        <w:rPr>
          <w:rFonts w:asciiTheme="majorEastAsia" w:eastAsiaTheme="majorEastAsia" w:hAnsiTheme="majorEastAsia" w:cstheme="majorEastAsia" w:hint="eastAsia"/>
          <w:snapToGrid w:val="0"/>
          <w:sz w:val="32"/>
          <w:szCs w:val="32"/>
        </w:rPr>
        <w:t>名。机关后勤全额拨款事业编制</w:t>
      </w:r>
      <w:r>
        <w:rPr>
          <w:rFonts w:asciiTheme="majorEastAsia" w:eastAsiaTheme="majorEastAsia" w:hAnsiTheme="majorEastAsia" w:cstheme="majorEastAsia" w:hint="eastAsia"/>
          <w:snapToGrid w:val="0"/>
          <w:sz w:val="32"/>
          <w:szCs w:val="32"/>
        </w:rPr>
        <w:t>1</w:t>
      </w:r>
      <w:r>
        <w:rPr>
          <w:rFonts w:asciiTheme="majorEastAsia" w:eastAsiaTheme="majorEastAsia" w:hAnsiTheme="majorEastAsia" w:cstheme="majorEastAsia" w:hint="eastAsia"/>
          <w:snapToGrid w:val="0"/>
          <w:sz w:val="32"/>
          <w:szCs w:val="32"/>
        </w:rPr>
        <w:t>名，人员只出不进。</w:t>
      </w:r>
    </w:p>
    <w:p w:rsidR="0022093C" w:rsidRDefault="006247C0">
      <w:pPr>
        <w:pStyle w:val="a6"/>
        <w:widowControl/>
        <w:spacing w:line="600" w:lineRule="exact"/>
        <w:ind w:firstLineChars="0" w:firstLine="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lastRenderedPageBreak/>
        <w:t>二、一般公共预算支出情况</w:t>
      </w:r>
    </w:p>
    <w:p w:rsidR="0022093C" w:rsidRDefault="006247C0">
      <w:pPr>
        <w:pStyle w:val="a6"/>
        <w:widowControl/>
        <w:spacing w:line="600" w:lineRule="exact"/>
        <w:ind w:left="640" w:firstLineChars="0" w:firstLine="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（一）基本支出情况</w:t>
      </w:r>
    </w:p>
    <w:p w:rsidR="0022093C" w:rsidRDefault="006247C0">
      <w:pPr>
        <w:pStyle w:val="a6"/>
        <w:widowControl/>
        <w:spacing w:line="600" w:lineRule="exact"/>
        <w:ind w:left="640" w:firstLineChars="0" w:firstLine="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2019</w:t>
      </w:r>
      <w:r>
        <w:rPr>
          <w:rFonts w:asciiTheme="majorEastAsia" w:eastAsiaTheme="majorEastAsia" w:hAnsiTheme="majorEastAsia" w:cstheme="majorEastAsia" w:hint="eastAsia"/>
          <w:sz w:val="32"/>
          <w:szCs w:val="32"/>
        </w:rPr>
        <w:t>年度财政拨款基本支出</w:t>
      </w:r>
      <w:r>
        <w:rPr>
          <w:rFonts w:asciiTheme="majorEastAsia" w:eastAsiaTheme="majorEastAsia" w:hAnsiTheme="majorEastAsia" w:cstheme="majorEastAsia" w:hint="eastAsia"/>
          <w:sz w:val="32"/>
          <w:szCs w:val="32"/>
        </w:rPr>
        <w:t>674.90</w:t>
      </w:r>
      <w:r>
        <w:rPr>
          <w:rFonts w:asciiTheme="majorEastAsia" w:eastAsiaTheme="majorEastAsia" w:hAnsiTheme="majorEastAsia" w:cstheme="majorEastAsia" w:hint="eastAsia"/>
          <w:sz w:val="32"/>
          <w:szCs w:val="32"/>
        </w:rPr>
        <w:t>万元，其中：人员经费</w:t>
      </w:r>
      <w:r>
        <w:rPr>
          <w:rFonts w:asciiTheme="majorEastAsia" w:eastAsiaTheme="majorEastAsia" w:hAnsiTheme="majorEastAsia" w:cstheme="majorEastAsia" w:hint="eastAsia"/>
          <w:sz w:val="32"/>
          <w:szCs w:val="32"/>
        </w:rPr>
        <w:t>653.13</w:t>
      </w:r>
      <w:r>
        <w:rPr>
          <w:rFonts w:asciiTheme="majorEastAsia" w:eastAsiaTheme="majorEastAsia" w:hAnsiTheme="majorEastAsia" w:cstheme="majorEastAsia" w:hint="eastAsia"/>
          <w:sz w:val="32"/>
          <w:szCs w:val="32"/>
        </w:rPr>
        <w:t>万元，公用经费支出</w:t>
      </w:r>
      <w:r>
        <w:rPr>
          <w:rFonts w:asciiTheme="majorEastAsia" w:eastAsiaTheme="majorEastAsia" w:hAnsiTheme="majorEastAsia" w:cstheme="majorEastAsia" w:hint="eastAsia"/>
          <w:sz w:val="32"/>
          <w:szCs w:val="32"/>
        </w:rPr>
        <w:t>21.77</w:t>
      </w:r>
      <w:r>
        <w:rPr>
          <w:rFonts w:asciiTheme="majorEastAsia" w:eastAsiaTheme="majorEastAsia" w:hAnsiTheme="majorEastAsia" w:cstheme="majorEastAsia" w:hint="eastAsia"/>
          <w:sz w:val="32"/>
          <w:szCs w:val="32"/>
        </w:rPr>
        <w:t>万元。</w:t>
      </w:r>
    </w:p>
    <w:p w:rsidR="0022093C" w:rsidRDefault="006247C0">
      <w:pPr>
        <w:pStyle w:val="a6"/>
        <w:widowControl/>
        <w:numPr>
          <w:ilvl w:val="0"/>
          <w:numId w:val="2"/>
        </w:numPr>
        <w:spacing w:line="600" w:lineRule="exact"/>
        <w:ind w:left="640" w:firstLineChars="0" w:firstLine="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项目支出情况</w:t>
      </w:r>
    </w:p>
    <w:p w:rsidR="0022093C" w:rsidRDefault="006247C0">
      <w:pPr>
        <w:pStyle w:val="a6"/>
        <w:widowControl/>
        <w:spacing w:line="600" w:lineRule="exact"/>
        <w:ind w:left="640" w:firstLineChars="0" w:firstLine="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2019</w:t>
      </w:r>
      <w:r>
        <w:rPr>
          <w:rFonts w:asciiTheme="majorEastAsia" w:eastAsiaTheme="majorEastAsia" w:hAnsiTheme="majorEastAsia" w:cstheme="majorEastAsia" w:hint="eastAsia"/>
          <w:sz w:val="32"/>
          <w:szCs w:val="32"/>
        </w:rPr>
        <w:t>年度财政拨款项目支出</w:t>
      </w:r>
      <w:r>
        <w:rPr>
          <w:rFonts w:asciiTheme="majorEastAsia" w:eastAsiaTheme="majorEastAsia" w:hAnsiTheme="majorEastAsia" w:cstheme="majorEastAsia" w:hint="eastAsia"/>
          <w:sz w:val="32"/>
          <w:szCs w:val="32"/>
        </w:rPr>
        <w:t>311.44</w:t>
      </w:r>
      <w:r>
        <w:rPr>
          <w:rFonts w:asciiTheme="majorEastAsia" w:eastAsiaTheme="majorEastAsia" w:hAnsiTheme="majorEastAsia" w:cstheme="majorEastAsia" w:hint="eastAsia"/>
          <w:sz w:val="32"/>
          <w:szCs w:val="32"/>
        </w:rPr>
        <w:t>万元。</w:t>
      </w:r>
    </w:p>
    <w:p w:rsidR="0022093C" w:rsidRDefault="006247C0">
      <w:pPr>
        <w:pStyle w:val="a6"/>
        <w:widowControl/>
        <w:spacing w:line="600" w:lineRule="exact"/>
        <w:ind w:left="640" w:firstLineChars="0" w:firstLine="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其中：专项业务费支出</w:t>
      </w:r>
      <w:r>
        <w:rPr>
          <w:rFonts w:asciiTheme="majorEastAsia" w:eastAsiaTheme="majorEastAsia" w:hAnsiTheme="majorEastAsia" w:cstheme="majorEastAsia" w:hint="eastAsia"/>
          <w:sz w:val="32"/>
          <w:szCs w:val="32"/>
        </w:rPr>
        <w:t>311.44</w:t>
      </w:r>
      <w:r>
        <w:rPr>
          <w:rFonts w:asciiTheme="majorEastAsia" w:eastAsiaTheme="majorEastAsia" w:hAnsiTheme="majorEastAsia" w:cstheme="majorEastAsia" w:hint="eastAsia"/>
          <w:sz w:val="32"/>
          <w:szCs w:val="32"/>
        </w:rPr>
        <w:t>万元</w:t>
      </w:r>
    </w:p>
    <w:p w:rsidR="0022093C" w:rsidRDefault="006247C0">
      <w:pPr>
        <w:pStyle w:val="a6"/>
        <w:widowControl/>
        <w:spacing w:line="600" w:lineRule="exact"/>
        <w:ind w:firstLineChars="0" w:firstLine="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三、政府性基金预算支出情况</w:t>
      </w:r>
    </w:p>
    <w:p w:rsidR="0022093C" w:rsidRDefault="006247C0">
      <w:pPr>
        <w:pStyle w:val="a6"/>
        <w:widowControl/>
        <w:spacing w:line="600" w:lineRule="exact"/>
        <w:ind w:left="640" w:firstLineChars="0" w:firstLine="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2019</w:t>
      </w:r>
      <w:r>
        <w:rPr>
          <w:rFonts w:asciiTheme="majorEastAsia" w:eastAsiaTheme="majorEastAsia" w:hAnsiTheme="majorEastAsia" w:cstheme="majorEastAsia" w:hint="eastAsia"/>
          <w:sz w:val="32"/>
          <w:szCs w:val="32"/>
        </w:rPr>
        <w:t>年鹤城区商务局政府性基金预算</w:t>
      </w:r>
      <w:r>
        <w:rPr>
          <w:rFonts w:asciiTheme="majorEastAsia" w:eastAsiaTheme="majorEastAsia" w:hAnsiTheme="majorEastAsia" w:cstheme="majorEastAsia" w:hint="eastAsia"/>
          <w:sz w:val="32"/>
          <w:szCs w:val="32"/>
        </w:rPr>
        <w:t>0</w:t>
      </w:r>
      <w:r>
        <w:rPr>
          <w:rFonts w:asciiTheme="majorEastAsia" w:eastAsiaTheme="majorEastAsia" w:hAnsiTheme="majorEastAsia" w:cstheme="majorEastAsia" w:hint="eastAsia"/>
          <w:sz w:val="32"/>
          <w:szCs w:val="32"/>
        </w:rPr>
        <w:t>元。</w:t>
      </w:r>
    </w:p>
    <w:p w:rsidR="0022093C" w:rsidRDefault="006247C0">
      <w:pPr>
        <w:pStyle w:val="a6"/>
        <w:widowControl/>
        <w:spacing w:line="600" w:lineRule="exact"/>
        <w:ind w:firstLineChars="0" w:firstLine="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四、国有资本经营预算支出情况</w:t>
      </w:r>
    </w:p>
    <w:p w:rsidR="0022093C" w:rsidRDefault="006247C0">
      <w:pPr>
        <w:spacing w:line="560" w:lineRule="exact"/>
        <w:ind w:firstLineChars="200" w:firstLine="640"/>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sz w:val="32"/>
          <w:szCs w:val="32"/>
        </w:rPr>
        <w:t>1</w:t>
      </w:r>
      <w:r>
        <w:rPr>
          <w:rFonts w:asciiTheme="majorEastAsia" w:eastAsiaTheme="majorEastAsia" w:hAnsiTheme="majorEastAsia" w:cstheme="majorEastAsia" w:hint="eastAsia"/>
          <w:sz w:val="32"/>
          <w:szCs w:val="32"/>
        </w:rPr>
        <w:t>、截至</w:t>
      </w:r>
      <w:r>
        <w:rPr>
          <w:rFonts w:asciiTheme="majorEastAsia" w:eastAsiaTheme="majorEastAsia" w:hAnsiTheme="majorEastAsia" w:cstheme="majorEastAsia" w:hint="eastAsia"/>
          <w:sz w:val="32"/>
          <w:szCs w:val="32"/>
        </w:rPr>
        <w:t>2019</w:t>
      </w:r>
      <w:r>
        <w:rPr>
          <w:rFonts w:asciiTheme="majorEastAsia" w:eastAsiaTheme="majorEastAsia" w:hAnsiTheme="majorEastAsia" w:cstheme="majorEastAsia" w:hint="eastAsia"/>
          <w:sz w:val="32"/>
          <w:szCs w:val="32"/>
        </w:rPr>
        <w:t>年</w:t>
      </w:r>
      <w:r>
        <w:rPr>
          <w:rFonts w:asciiTheme="majorEastAsia" w:eastAsiaTheme="majorEastAsia" w:hAnsiTheme="majorEastAsia" w:cstheme="majorEastAsia" w:hint="eastAsia"/>
          <w:sz w:val="32"/>
          <w:szCs w:val="32"/>
        </w:rPr>
        <w:t>12</w:t>
      </w:r>
      <w:r>
        <w:rPr>
          <w:rFonts w:asciiTheme="majorEastAsia" w:eastAsiaTheme="majorEastAsia" w:hAnsiTheme="majorEastAsia" w:cstheme="majorEastAsia" w:hint="eastAsia"/>
          <w:sz w:val="32"/>
          <w:szCs w:val="32"/>
        </w:rPr>
        <w:t>月</w:t>
      </w:r>
      <w:r>
        <w:rPr>
          <w:rFonts w:asciiTheme="majorEastAsia" w:eastAsiaTheme="majorEastAsia" w:hAnsiTheme="majorEastAsia" w:cstheme="majorEastAsia" w:hint="eastAsia"/>
          <w:sz w:val="32"/>
          <w:szCs w:val="32"/>
        </w:rPr>
        <w:t>31</w:t>
      </w:r>
      <w:r>
        <w:rPr>
          <w:rFonts w:asciiTheme="majorEastAsia" w:eastAsiaTheme="majorEastAsia" w:hAnsiTheme="majorEastAsia" w:cstheme="majorEastAsia" w:hint="eastAsia"/>
          <w:sz w:val="32"/>
          <w:szCs w:val="32"/>
        </w:rPr>
        <w:t>日，本部门无车</w:t>
      </w:r>
      <w:r>
        <w:rPr>
          <w:rFonts w:asciiTheme="majorEastAsia" w:eastAsiaTheme="majorEastAsia" w:hAnsiTheme="majorEastAsia" w:cstheme="majorEastAsia" w:hint="eastAsia"/>
          <w:sz w:val="32"/>
          <w:szCs w:val="32"/>
        </w:rPr>
        <w:t>辆，无</w:t>
      </w:r>
      <w:r>
        <w:rPr>
          <w:rFonts w:asciiTheme="majorEastAsia" w:eastAsiaTheme="majorEastAsia" w:hAnsiTheme="majorEastAsia" w:cstheme="majorEastAsia" w:hint="eastAsia"/>
          <w:sz w:val="32"/>
          <w:szCs w:val="32"/>
        </w:rPr>
        <w:t>50</w:t>
      </w:r>
      <w:r>
        <w:rPr>
          <w:rFonts w:asciiTheme="majorEastAsia" w:eastAsiaTheme="majorEastAsia" w:hAnsiTheme="majorEastAsia" w:cstheme="majorEastAsia" w:hint="eastAsia"/>
          <w:sz w:val="32"/>
          <w:szCs w:val="32"/>
        </w:rPr>
        <w:t>万元以上专用设备。</w:t>
      </w:r>
    </w:p>
    <w:p w:rsidR="0022093C" w:rsidRDefault="006247C0">
      <w:pPr>
        <w:spacing w:line="560" w:lineRule="exact"/>
        <w:ind w:firstLineChars="200" w:firstLine="640"/>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sz w:val="32"/>
          <w:szCs w:val="32"/>
        </w:rPr>
        <w:t>2</w:t>
      </w:r>
      <w:r>
        <w:rPr>
          <w:rFonts w:asciiTheme="majorEastAsia" w:eastAsiaTheme="majorEastAsia" w:hAnsiTheme="majorEastAsia" w:cstheme="majorEastAsia" w:hint="eastAsia"/>
          <w:sz w:val="32"/>
          <w:szCs w:val="32"/>
        </w:rPr>
        <w:t>、截至</w:t>
      </w:r>
      <w:r>
        <w:rPr>
          <w:rFonts w:asciiTheme="majorEastAsia" w:eastAsiaTheme="majorEastAsia" w:hAnsiTheme="majorEastAsia" w:cstheme="majorEastAsia" w:hint="eastAsia"/>
          <w:sz w:val="32"/>
          <w:szCs w:val="32"/>
        </w:rPr>
        <w:t>2019</w:t>
      </w:r>
      <w:r>
        <w:rPr>
          <w:rFonts w:asciiTheme="majorEastAsia" w:eastAsiaTheme="majorEastAsia" w:hAnsiTheme="majorEastAsia" w:cstheme="majorEastAsia" w:hint="eastAsia"/>
          <w:sz w:val="32"/>
          <w:szCs w:val="32"/>
        </w:rPr>
        <w:t>年</w:t>
      </w:r>
      <w:r>
        <w:rPr>
          <w:rFonts w:asciiTheme="majorEastAsia" w:eastAsiaTheme="majorEastAsia" w:hAnsiTheme="majorEastAsia" w:cstheme="majorEastAsia" w:hint="eastAsia"/>
          <w:sz w:val="32"/>
          <w:szCs w:val="32"/>
        </w:rPr>
        <w:t>12</w:t>
      </w:r>
      <w:r>
        <w:rPr>
          <w:rFonts w:asciiTheme="majorEastAsia" w:eastAsiaTheme="majorEastAsia" w:hAnsiTheme="majorEastAsia" w:cstheme="majorEastAsia" w:hint="eastAsia"/>
          <w:sz w:val="32"/>
          <w:szCs w:val="32"/>
        </w:rPr>
        <w:t>月</w:t>
      </w:r>
      <w:r>
        <w:rPr>
          <w:rFonts w:asciiTheme="majorEastAsia" w:eastAsiaTheme="majorEastAsia" w:hAnsiTheme="majorEastAsia" w:cstheme="majorEastAsia" w:hint="eastAsia"/>
          <w:sz w:val="32"/>
          <w:szCs w:val="32"/>
        </w:rPr>
        <w:t>31</w:t>
      </w:r>
      <w:r>
        <w:rPr>
          <w:rFonts w:asciiTheme="majorEastAsia" w:eastAsiaTheme="majorEastAsia" w:hAnsiTheme="majorEastAsia" w:cstheme="majorEastAsia" w:hint="eastAsia"/>
          <w:sz w:val="32"/>
          <w:szCs w:val="32"/>
        </w:rPr>
        <w:t>日，本部门无新增车辆，无新增</w:t>
      </w:r>
      <w:r>
        <w:rPr>
          <w:rFonts w:asciiTheme="majorEastAsia" w:eastAsiaTheme="majorEastAsia" w:hAnsiTheme="majorEastAsia" w:cstheme="majorEastAsia" w:hint="eastAsia"/>
          <w:sz w:val="32"/>
          <w:szCs w:val="32"/>
        </w:rPr>
        <w:t>50</w:t>
      </w:r>
      <w:r>
        <w:rPr>
          <w:rFonts w:asciiTheme="majorEastAsia" w:eastAsiaTheme="majorEastAsia" w:hAnsiTheme="majorEastAsia" w:cstheme="majorEastAsia" w:hint="eastAsia"/>
          <w:sz w:val="32"/>
          <w:szCs w:val="32"/>
        </w:rPr>
        <w:t>万元以上通用设备和专用设备。</w:t>
      </w:r>
    </w:p>
    <w:p w:rsidR="0022093C" w:rsidRDefault="0022093C">
      <w:pPr>
        <w:pStyle w:val="a6"/>
        <w:widowControl/>
        <w:spacing w:line="600" w:lineRule="exact"/>
        <w:ind w:left="640" w:firstLineChars="0" w:firstLine="0"/>
        <w:jc w:val="left"/>
        <w:rPr>
          <w:rFonts w:asciiTheme="majorEastAsia" w:eastAsiaTheme="majorEastAsia" w:hAnsiTheme="majorEastAsia" w:cstheme="majorEastAsia"/>
          <w:sz w:val="32"/>
          <w:szCs w:val="32"/>
        </w:rPr>
      </w:pPr>
    </w:p>
    <w:p w:rsidR="0022093C" w:rsidRDefault="006247C0">
      <w:pPr>
        <w:pStyle w:val="a6"/>
        <w:widowControl/>
        <w:spacing w:line="600" w:lineRule="exact"/>
        <w:ind w:firstLineChars="0" w:firstLine="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五、社会保险基金预算支出情况</w:t>
      </w:r>
    </w:p>
    <w:p w:rsidR="0022093C" w:rsidRDefault="006247C0">
      <w:pPr>
        <w:spacing w:line="500" w:lineRule="exact"/>
        <w:ind w:firstLine="645"/>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2019</w:t>
      </w:r>
      <w:r>
        <w:rPr>
          <w:rFonts w:asciiTheme="majorEastAsia" w:eastAsiaTheme="majorEastAsia" w:hAnsiTheme="majorEastAsia" w:cstheme="majorEastAsia" w:hint="eastAsia"/>
          <w:sz w:val="32"/>
          <w:szCs w:val="32"/>
        </w:rPr>
        <w:t>年鹤城区商务局社会保险基金预算支出</w:t>
      </w:r>
      <w:r>
        <w:rPr>
          <w:rFonts w:asciiTheme="majorEastAsia" w:eastAsiaTheme="majorEastAsia" w:hAnsiTheme="majorEastAsia" w:cstheme="majorEastAsia" w:hint="eastAsia"/>
          <w:sz w:val="32"/>
          <w:szCs w:val="32"/>
        </w:rPr>
        <w:t>46.5</w:t>
      </w:r>
      <w:r>
        <w:rPr>
          <w:rFonts w:asciiTheme="majorEastAsia" w:eastAsiaTheme="majorEastAsia" w:hAnsiTheme="majorEastAsia" w:cstheme="majorEastAsia" w:hint="eastAsia"/>
          <w:sz w:val="32"/>
          <w:szCs w:val="32"/>
        </w:rPr>
        <w:t>万元。</w:t>
      </w:r>
    </w:p>
    <w:p w:rsidR="0022093C" w:rsidRDefault="006247C0">
      <w:pPr>
        <w:widowControl/>
        <w:spacing w:line="600" w:lineRule="exact"/>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六、部门整体支出绩效情况</w:t>
      </w:r>
    </w:p>
    <w:p w:rsidR="0022093C" w:rsidRDefault="006247C0">
      <w:pPr>
        <w:spacing w:line="560" w:lineRule="exact"/>
        <w:ind w:firstLineChars="200" w:firstLine="64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鹤城区商务局在鹤城区委、区政府的正确领导和市商务局支持指导下，围绕经济社会发展大局和区委、区政府决策部署，积极谋产业、抓项目、推投资、促发展、惠民生，较好地完成全年各项目标任务。</w:t>
      </w:r>
    </w:p>
    <w:p w:rsidR="0022093C" w:rsidRDefault="006247C0">
      <w:pPr>
        <w:spacing w:line="560" w:lineRule="exact"/>
        <w:ind w:firstLineChars="200" w:firstLine="64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2019</w:t>
      </w:r>
      <w:r>
        <w:rPr>
          <w:rFonts w:asciiTheme="majorEastAsia" w:eastAsiaTheme="majorEastAsia" w:hAnsiTheme="majorEastAsia" w:cstheme="majorEastAsia" w:hint="eastAsia"/>
          <w:sz w:val="32"/>
          <w:szCs w:val="32"/>
        </w:rPr>
        <w:t>年，全区商务经济呈现消费稳定增长、引进项目增加、项目建设顺利、发展质量提升的良好态势。全区实现社</w:t>
      </w:r>
      <w:r>
        <w:rPr>
          <w:rFonts w:asciiTheme="majorEastAsia" w:eastAsiaTheme="majorEastAsia" w:hAnsiTheme="majorEastAsia" w:cstheme="majorEastAsia" w:hint="eastAsia"/>
          <w:sz w:val="32"/>
          <w:szCs w:val="32"/>
        </w:rPr>
        <w:lastRenderedPageBreak/>
        <w:t>会消费品零售总额增幅</w:t>
      </w:r>
      <w:r>
        <w:rPr>
          <w:rFonts w:asciiTheme="majorEastAsia" w:eastAsiaTheme="majorEastAsia" w:hAnsiTheme="majorEastAsia" w:cstheme="majorEastAsia" w:hint="eastAsia"/>
          <w:sz w:val="32"/>
          <w:szCs w:val="32"/>
        </w:rPr>
        <w:t>9.8%</w:t>
      </w:r>
      <w:r>
        <w:rPr>
          <w:rFonts w:asciiTheme="majorEastAsia" w:eastAsiaTheme="majorEastAsia" w:hAnsiTheme="majorEastAsia" w:cstheme="majorEastAsia" w:hint="eastAsia"/>
          <w:sz w:val="32"/>
          <w:szCs w:val="32"/>
        </w:rPr>
        <w:t>，与去年同比增长</w:t>
      </w:r>
      <w:r>
        <w:rPr>
          <w:rFonts w:asciiTheme="majorEastAsia" w:eastAsiaTheme="majorEastAsia" w:hAnsiTheme="majorEastAsia" w:cstheme="majorEastAsia" w:hint="eastAsia"/>
          <w:sz w:val="32"/>
          <w:szCs w:val="32"/>
        </w:rPr>
        <w:t>0.3%</w:t>
      </w:r>
      <w:r>
        <w:rPr>
          <w:rFonts w:asciiTheme="majorEastAsia" w:eastAsiaTheme="majorEastAsia" w:hAnsiTheme="majorEastAsia" w:cstheme="majorEastAsia" w:hint="eastAsia"/>
          <w:sz w:val="32"/>
          <w:szCs w:val="32"/>
        </w:rPr>
        <w:t>，占全市贡献值</w:t>
      </w:r>
      <w:r>
        <w:rPr>
          <w:rFonts w:asciiTheme="majorEastAsia" w:eastAsiaTheme="majorEastAsia" w:hAnsiTheme="majorEastAsia" w:cstheme="majorEastAsia" w:hint="eastAsia"/>
          <w:sz w:val="32"/>
          <w:szCs w:val="32"/>
        </w:rPr>
        <w:t>33%</w:t>
      </w:r>
      <w:r>
        <w:rPr>
          <w:rFonts w:asciiTheme="majorEastAsia" w:eastAsiaTheme="majorEastAsia" w:hAnsiTheme="majorEastAsia" w:cstheme="majorEastAsia" w:hint="eastAsia"/>
          <w:sz w:val="32"/>
          <w:szCs w:val="32"/>
        </w:rPr>
        <w:t>，限上企业零售总额占全市</w:t>
      </w:r>
      <w:r>
        <w:rPr>
          <w:rFonts w:asciiTheme="majorEastAsia" w:eastAsiaTheme="majorEastAsia" w:hAnsiTheme="majorEastAsia" w:cstheme="majorEastAsia" w:hint="eastAsia"/>
          <w:sz w:val="32"/>
          <w:szCs w:val="32"/>
        </w:rPr>
        <w:t>80%</w:t>
      </w:r>
      <w:r>
        <w:rPr>
          <w:rFonts w:asciiTheme="majorEastAsia" w:eastAsiaTheme="majorEastAsia" w:hAnsiTheme="majorEastAsia" w:cstheme="majorEastAsia" w:hint="eastAsia"/>
          <w:sz w:val="32"/>
          <w:szCs w:val="32"/>
        </w:rPr>
        <w:t>左右；招商引资省外到位资金</w:t>
      </w:r>
      <w:r>
        <w:rPr>
          <w:rFonts w:asciiTheme="majorEastAsia" w:eastAsiaTheme="majorEastAsia" w:hAnsiTheme="majorEastAsia" w:cstheme="majorEastAsia" w:hint="eastAsia"/>
          <w:sz w:val="32"/>
          <w:szCs w:val="32"/>
        </w:rPr>
        <w:t>25.8</w:t>
      </w:r>
      <w:r>
        <w:rPr>
          <w:rFonts w:asciiTheme="majorEastAsia" w:eastAsiaTheme="majorEastAsia" w:hAnsiTheme="majorEastAsia" w:cstheme="majorEastAsia" w:hint="eastAsia"/>
          <w:sz w:val="32"/>
          <w:szCs w:val="32"/>
        </w:rPr>
        <w:t>亿元，完成年计划的</w:t>
      </w:r>
      <w:r>
        <w:rPr>
          <w:rFonts w:asciiTheme="majorEastAsia" w:eastAsiaTheme="majorEastAsia" w:hAnsiTheme="majorEastAsia" w:cstheme="majorEastAsia" w:hint="eastAsia"/>
          <w:sz w:val="32"/>
          <w:szCs w:val="32"/>
        </w:rPr>
        <w:t>80.6 %</w:t>
      </w:r>
      <w:r>
        <w:rPr>
          <w:rFonts w:asciiTheme="majorEastAsia" w:eastAsiaTheme="majorEastAsia" w:hAnsiTheme="majorEastAsia" w:cstheme="majorEastAsia" w:hint="eastAsia"/>
          <w:sz w:val="32"/>
          <w:szCs w:val="32"/>
        </w:rPr>
        <w:t>，全市排名靠前；实现对外劳务合作</w:t>
      </w:r>
      <w:r>
        <w:rPr>
          <w:rFonts w:asciiTheme="majorEastAsia" w:eastAsiaTheme="majorEastAsia" w:hAnsiTheme="majorEastAsia" w:cstheme="majorEastAsia" w:hint="eastAsia"/>
          <w:sz w:val="32"/>
          <w:szCs w:val="32"/>
        </w:rPr>
        <w:t>281</w:t>
      </w:r>
      <w:r>
        <w:rPr>
          <w:rFonts w:asciiTheme="majorEastAsia" w:eastAsiaTheme="majorEastAsia" w:hAnsiTheme="majorEastAsia" w:cstheme="majorEastAsia" w:hint="eastAsia"/>
          <w:sz w:val="32"/>
          <w:szCs w:val="32"/>
        </w:rPr>
        <w:t>万美元，同比增加</w:t>
      </w:r>
      <w:r>
        <w:rPr>
          <w:rFonts w:asciiTheme="majorEastAsia" w:eastAsiaTheme="majorEastAsia" w:hAnsiTheme="majorEastAsia" w:cstheme="majorEastAsia" w:hint="eastAsia"/>
          <w:sz w:val="32"/>
          <w:szCs w:val="32"/>
        </w:rPr>
        <w:t>14</w:t>
      </w:r>
      <w:r>
        <w:rPr>
          <w:rFonts w:asciiTheme="majorEastAsia" w:eastAsiaTheme="majorEastAsia" w:hAnsiTheme="majorEastAsia" w:cstheme="majorEastAsia" w:hint="eastAsia"/>
          <w:sz w:val="32"/>
          <w:szCs w:val="32"/>
        </w:rPr>
        <w:t>万美元，完成年计划的</w:t>
      </w:r>
      <w:r>
        <w:rPr>
          <w:rFonts w:asciiTheme="majorEastAsia" w:eastAsiaTheme="majorEastAsia" w:hAnsiTheme="majorEastAsia" w:cstheme="majorEastAsia" w:hint="eastAsia"/>
          <w:sz w:val="32"/>
          <w:szCs w:val="32"/>
        </w:rPr>
        <w:t>91.8%</w:t>
      </w:r>
      <w:r>
        <w:rPr>
          <w:rFonts w:asciiTheme="majorEastAsia" w:eastAsiaTheme="majorEastAsia" w:hAnsiTheme="majorEastAsia" w:cstheme="majorEastAsia" w:hint="eastAsia"/>
          <w:sz w:val="32"/>
          <w:szCs w:val="32"/>
        </w:rPr>
        <w:t>；实际利用外资</w:t>
      </w:r>
      <w:r>
        <w:rPr>
          <w:rFonts w:asciiTheme="majorEastAsia" w:eastAsiaTheme="majorEastAsia" w:hAnsiTheme="majorEastAsia" w:cstheme="majorEastAsia" w:hint="eastAsia"/>
          <w:sz w:val="32"/>
          <w:szCs w:val="32"/>
        </w:rPr>
        <w:t>1528</w:t>
      </w:r>
      <w:r>
        <w:rPr>
          <w:rFonts w:asciiTheme="majorEastAsia" w:eastAsiaTheme="majorEastAsia" w:hAnsiTheme="majorEastAsia" w:cstheme="majorEastAsia" w:hint="eastAsia"/>
          <w:sz w:val="32"/>
          <w:szCs w:val="32"/>
        </w:rPr>
        <w:t>万美元，完成年计划的</w:t>
      </w:r>
      <w:r>
        <w:rPr>
          <w:rFonts w:asciiTheme="majorEastAsia" w:eastAsiaTheme="majorEastAsia" w:hAnsiTheme="majorEastAsia" w:cstheme="majorEastAsia" w:hint="eastAsia"/>
          <w:sz w:val="32"/>
          <w:szCs w:val="32"/>
        </w:rPr>
        <w:t>250.5%</w:t>
      </w:r>
      <w:r>
        <w:rPr>
          <w:rFonts w:asciiTheme="majorEastAsia" w:eastAsiaTheme="majorEastAsia" w:hAnsiTheme="majorEastAsia" w:cstheme="majorEastAsia" w:hint="eastAsia"/>
          <w:sz w:val="32"/>
          <w:szCs w:val="32"/>
        </w:rPr>
        <w:t>；实现外贸进出口</w:t>
      </w:r>
      <w:r>
        <w:rPr>
          <w:rFonts w:asciiTheme="majorEastAsia" w:eastAsiaTheme="majorEastAsia" w:hAnsiTheme="majorEastAsia" w:cstheme="majorEastAsia" w:hint="eastAsia"/>
          <w:sz w:val="32"/>
          <w:szCs w:val="32"/>
        </w:rPr>
        <w:t>605</w:t>
      </w:r>
      <w:r>
        <w:rPr>
          <w:rFonts w:asciiTheme="majorEastAsia" w:eastAsiaTheme="majorEastAsia" w:hAnsiTheme="majorEastAsia" w:cstheme="majorEastAsia" w:hint="eastAsia"/>
          <w:sz w:val="32"/>
          <w:szCs w:val="32"/>
        </w:rPr>
        <w:t>万美元，完成计划的</w:t>
      </w:r>
      <w:r>
        <w:rPr>
          <w:rFonts w:asciiTheme="majorEastAsia" w:eastAsiaTheme="majorEastAsia" w:hAnsiTheme="majorEastAsia" w:cstheme="majorEastAsia" w:hint="eastAsia"/>
          <w:sz w:val="32"/>
          <w:szCs w:val="32"/>
        </w:rPr>
        <w:t>93.1%</w:t>
      </w:r>
      <w:r>
        <w:rPr>
          <w:rFonts w:asciiTheme="majorEastAsia" w:eastAsiaTheme="majorEastAsia" w:hAnsiTheme="majorEastAsia" w:cstheme="majorEastAsia" w:hint="eastAsia"/>
          <w:sz w:val="32"/>
          <w:szCs w:val="32"/>
        </w:rPr>
        <w:t>；商务部门统计的</w:t>
      </w:r>
      <w:r>
        <w:rPr>
          <w:rFonts w:asciiTheme="majorEastAsia" w:eastAsiaTheme="majorEastAsia" w:hAnsiTheme="majorEastAsia" w:cstheme="majorEastAsia" w:hint="eastAsia"/>
          <w:sz w:val="32"/>
          <w:szCs w:val="32"/>
        </w:rPr>
        <w:t>12</w:t>
      </w:r>
      <w:r>
        <w:rPr>
          <w:rFonts w:asciiTheme="majorEastAsia" w:eastAsiaTheme="majorEastAsia" w:hAnsiTheme="majorEastAsia" w:cstheme="majorEastAsia" w:hint="eastAsia"/>
          <w:sz w:val="32"/>
          <w:szCs w:val="32"/>
        </w:rPr>
        <w:t>个商贸物流重点投资项目实际完成</w:t>
      </w:r>
      <w:r>
        <w:rPr>
          <w:rFonts w:asciiTheme="majorEastAsia" w:eastAsiaTheme="majorEastAsia" w:hAnsiTheme="majorEastAsia" w:cstheme="majorEastAsia" w:hint="eastAsia"/>
          <w:sz w:val="32"/>
          <w:szCs w:val="32"/>
        </w:rPr>
        <w:t>投资</w:t>
      </w:r>
      <w:r>
        <w:rPr>
          <w:rFonts w:asciiTheme="majorEastAsia" w:eastAsiaTheme="majorEastAsia" w:hAnsiTheme="majorEastAsia" w:cstheme="majorEastAsia" w:hint="eastAsia"/>
          <w:sz w:val="32"/>
          <w:szCs w:val="32"/>
        </w:rPr>
        <w:t>15.7</w:t>
      </w:r>
      <w:r>
        <w:rPr>
          <w:rFonts w:asciiTheme="majorEastAsia" w:eastAsiaTheme="majorEastAsia" w:hAnsiTheme="majorEastAsia" w:cstheme="majorEastAsia" w:hint="eastAsia"/>
          <w:sz w:val="32"/>
          <w:szCs w:val="32"/>
        </w:rPr>
        <w:t>亿元，完成年计划的</w:t>
      </w:r>
      <w:r>
        <w:rPr>
          <w:rFonts w:asciiTheme="majorEastAsia" w:eastAsiaTheme="majorEastAsia" w:hAnsiTheme="majorEastAsia" w:cstheme="majorEastAsia" w:hint="eastAsia"/>
          <w:sz w:val="32"/>
          <w:szCs w:val="32"/>
        </w:rPr>
        <w:t>80.76%</w:t>
      </w:r>
      <w:r>
        <w:rPr>
          <w:rFonts w:asciiTheme="majorEastAsia" w:eastAsiaTheme="majorEastAsia" w:hAnsiTheme="majorEastAsia" w:cstheme="majorEastAsia" w:hint="eastAsia"/>
          <w:sz w:val="32"/>
          <w:szCs w:val="32"/>
        </w:rPr>
        <w:t>。</w:t>
      </w:r>
    </w:p>
    <w:p w:rsidR="0022093C" w:rsidRDefault="006247C0">
      <w:pPr>
        <w:spacing w:line="560" w:lineRule="exact"/>
        <w:ind w:firstLineChars="200" w:firstLine="64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2019</w:t>
      </w:r>
      <w:r>
        <w:rPr>
          <w:rFonts w:asciiTheme="majorEastAsia" w:eastAsiaTheme="majorEastAsia" w:hAnsiTheme="majorEastAsia" w:cstheme="majorEastAsia" w:hint="eastAsia"/>
          <w:sz w:val="32"/>
          <w:szCs w:val="32"/>
        </w:rPr>
        <w:t>年单位部门整体绩效评介自评分：</w:t>
      </w:r>
      <w:r>
        <w:rPr>
          <w:rFonts w:asciiTheme="majorEastAsia" w:eastAsiaTheme="majorEastAsia" w:hAnsiTheme="majorEastAsia" w:cstheme="majorEastAsia" w:hint="eastAsia"/>
          <w:sz w:val="32"/>
          <w:szCs w:val="32"/>
        </w:rPr>
        <w:t>96</w:t>
      </w:r>
      <w:r>
        <w:rPr>
          <w:rFonts w:asciiTheme="majorEastAsia" w:eastAsiaTheme="majorEastAsia" w:hAnsiTheme="majorEastAsia" w:cstheme="majorEastAsia" w:hint="eastAsia"/>
          <w:sz w:val="32"/>
          <w:szCs w:val="32"/>
        </w:rPr>
        <w:t>分。</w:t>
      </w:r>
    </w:p>
    <w:p w:rsidR="0022093C" w:rsidRDefault="006247C0">
      <w:pPr>
        <w:spacing w:line="560" w:lineRule="exac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b/>
          <w:bCs/>
          <w:sz w:val="32"/>
          <w:szCs w:val="32"/>
        </w:rPr>
        <w:t xml:space="preserve">   </w:t>
      </w:r>
      <w:r>
        <w:rPr>
          <w:rFonts w:asciiTheme="majorEastAsia" w:eastAsiaTheme="majorEastAsia" w:hAnsiTheme="majorEastAsia" w:cstheme="majorEastAsia" w:hint="eastAsia"/>
          <w:bCs/>
          <w:sz w:val="32"/>
          <w:szCs w:val="32"/>
        </w:rPr>
        <w:t xml:space="preserve"> </w:t>
      </w:r>
      <w:r>
        <w:rPr>
          <w:rFonts w:asciiTheme="majorEastAsia" w:eastAsiaTheme="majorEastAsia" w:hAnsiTheme="majorEastAsia" w:cstheme="majorEastAsia" w:hint="eastAsia"/>
          <w:b/>
          <w:sz w:val="32"/>
          <w:szCs w:val="32"/>
        </w:rPr>
        <w:t>七、</w:t>
      </w:r>
      <w:r>
        <w:rPr>
          <w:rFonts w:asciiTheme="majorEastAsia" w:eastAsiaTheme="majorEastAsia" w:hAnsiTheme="majorEastAsia" w:cstheme="majorEastAsia" w:hint="eastAsia"/>
          <w:sz w:val="32"/>
          <w:szCs w:val="32"/>
        </w:rPr>
        <w:t>存在的问题及原因分析</w:t>
      </w:r>
    </w:p>
    <w:p w:rsidR="0022093C" w:rsidRDefault="006247C0">
      <w:pPr>
        <w:rPr>
          <w:rFonts w:asciiTheme="majorEastAsia" w:eastAsiaTheme="majorEastAsia" w:hAnsiTheme="majorEastAsia" w:cstheme="majorEastAsia"/>
          <w:sz w:val="32"/>
          <w:szCs w:val="32"/>
        </w:rPr>
      </w:pPr>
      <w:r>
        <w:rPr>
          <w:rFonts w:asciiTheme="majorEastAsia" w:eastAsiaTheme="majorEastAsia" w:hAnsiTheme="majorEastAsia" w:cstheme="majorEastAsia" w:hint="eastAsia"/>
          <w:color w:val="000000"/>
          <w:sz w:val="32"/>
          <w:szCs w:val="32"/>
          <w:shd w:val="clear" w:color="auto" w:fill="FFFFFF"/>
        </w:rPr>
        <w:t xml:space="preserve">    ( 1 ) </w:t>
      </w:r>
      <w:r>
        <w:rPr>
          <w:rFonts w:asciiTheme="majorEastAsia" w:eastAsiaTheme="majorEastAsia" w:hAnsiTheme="majorEastAsia" w:cstheme="majorEastAsia" w:hint="eastAsia"/>
          <w:color w:val="000000"/>
          <w:sz w:val="32"/>
          <w:szCs w:val="32"/>
          <w:shd w:val="clear" w:color="auto" w:fill="FFFFFF"/>
        </w:rPr>
        <w:t>预算编制不够完善</w:t>
      </w:r>
      <w:r>
        <w:rPr>
          <w:rFonts w:asciiTheme="majorEastAsia" w:eastAsiaTheme="majorEastAsia" w:hAnsiTheme="majorEastAsia" w:cstheme="majorEastAsia" w:hint="eastAsia"/>
          <w:color w:val="000000"/>
          <w:sz w:val="32"/>
          <w:szCs w:val="32"/>
          <w:shd w:val="clear" w:color="auto" w:fill="FFFFFF"/>
        </w:rPr>
        <w:t>,</w:t>
      </w:r>
      <w:r>
        <w:rPr>
          <w:rFonts w:asciiTheme="majorEastAsia" w:eastAsiaTheme="majorEastAsia" w:hAnsiTheme="majorEastAsia" w:cstheme="majorEastAsia" w:hint="eastAsia"/>
          <w:color w:val="000000"/>
          <w:sz w:val="32"/>
          <w:szCs w:val="32"/>
          <w:shd w:val="clear" w:color="auto" w:fill="FFFFFF"/>
        </w:rPr>
        <w:t>年中追加多，决算数与预算数比例不协调。一是必要的经费安排不足，部分公用经费定额标准与单位实际支出差距比较大；二是是离退休人员很多开支没有列入预算；三在编制中除人均公用经费、车辆运行费有标准，其他所有支出均没有细化到具体的预算项目和相应的政府收支服务科目，各项运转支出缺少控制指标。</w:t>
      </w:r>
      <w:r>
        <w:rPr>
          <w:rFonts w:asciiTheme="majorEastAsia" w:eastAsiaTheme="majorEastAsia" w:hAnsiTheme="majorEastAsia" w:cstheme="majorEastAsia" w:hint="eastAsia"/>
          <w:color w:val="000000"/>
          <w:sz w:val="32"/>
          <w:szCs w:val="32"/>
          <w:shd w:val="clear" w:color="auto" w:fill="FFFFFF"/>
        </w:rPr>
        <w:t> </w:t>
      </w:r>
      <w:r>
        <w:rPr>
          <w:rFonts w:asciiTheme="majorEastAsia" w:eastAsiaTheme="majorEastAsia" w:hAnsiTheme="majorEastAsia" w:cstheme="majorEastAsia" w:hint="eastAsia"/>
          <w:color w:val="000000"/>
          <w:sz w:val="32"/>
          <w:szCs w:val="32"/>
          <w:shd w:val="clear" w:color="auto" w:fill="FFFFFF"/>
        </w:rPr>
        <w:br/>
        <w:t xml:space="preserve">   </w:t>
      </w:r>
      <w:r>
        <w:rPr>
          <w:rFonts w:asciiTheme="majorEastAsia" w:eastAsiaTheme="majorEastAsia" w:hAnsiTheme="majorEastAsia" w:cstheme="majorEastAsia" w:hint="eastAsia"/>
          <w:color w:val="000000"/>
          <w:sz w:val="32"/>
          <w:szCs w:val="32"/>
          <w:shd w:val="clear" w:color="auto" w:fill="FFFFFF"/>
        </w:rPr>
        <w:t>（</w:t>
      </w:r>
      <w:r>
        <w:rPr>
          <w:rFonts w:asciiTheme="majorEastAsia" w:eastAsiaTheme="majorEastAsia" w:hAnsiTheme="majorEastAsia" w:cstheme="majorEastAsia" w:hint="eastAsia"/>
          <w:color w:val="000000"/>
          <w:sz w:val="32"/>
          <w:szCs w:val="32"/>
          <w:shd w:val="clear" w:color="auto" w:fill="FFFFFF"/>
        </w:rPr>
        <w:t>2</w:t>
      </w:r>
      <w:r>
        <w:rPr>
          <w:rFonts w:asciiTheme="majorEastAsia" w:eastAsiaTheme="majorEastAsia" w:hAnsiTheme="majorEastAsia" w:cstheme="majorEastAsia" w:hint="eastAsia"/>
          <w:color w:val="000000"/>
          <w:sz w:val="32"/>
          <w:szCs w:val="32"/>
          <w:shd w:val="clear" w:color="auto" w:fill="FFFFFF"/>
        </w:rPr>
        <w:t>）机构改革</w:t>
      </w:r>
      <w:r>
        <w:rPr>
          <w:rFonts w:asciiTheme="majorEastAsia" w:eastAsiaTheme="majorEastAsia" w:hAnsiTheme="majorEastAsia" w:cstheme="majorEastAsia" w:hint="eastAsia"/>
          <w:color w:val="000000" w:themeColor="text1"/>
          <w:sz w:val="32"/>
          <w:szCs w:val="32"/>
          <w:shd w:val="clear" w:color="auto" w:fill="FFFFFF"/>
        </w:rPr>
        <w:t>商务部门的组织机构和人才队伍需要不断加强。区商务局干部队伍难以满足当前商务工作发展的需要，工作任务重，工作压力大，一定程度阻碍当前商务工作进一步发展。</w:t>
      </w:r>
      <w:r>
        <w:rPr>
          <w:rFonts w:asciiTheme="majorEastAsia" w:eastAsiaTheme="majorEastAsia" w:hAnsiTheme="majorEastAsia" w:cstheme="majorEastAsia" w:hint="eastAsia"/>
          <w:color w:val="000000" w:themeColor="text1"/>
          <w:sz w:val="32"/>
          <w:szCs w:val="32"/>
          <w:shd w:val="clear" w:color="auto" w:fill="FFFFFF"/>
        </w:rPr>
        <w:t> </w:t>
      </w:r>
      <w:r>
        <w:rPr>
          <w:rFonts w:asciiTheme="majorEastAsia" w:eastAsiaTheme="majorEastAsia" w:hAnsiTheme="majorEastAsia" w:cstheme="majorEastAsia" w:hint="eastAsia"/>
          <w:color w:val="000000" w:themeColor="text1"/>
          <w:sz w:val="32"/>
          <w:szCs w:val="32"/>
          <w:shd w:val="clear" w:color="auto" w:fill="FFFFFF"/>
        </w:rPr>
        <w:br/>
      </w:r>
      <w:r>
        <w:rPr>
          <w:rFonts w:asciiTheme="majorEastAsia" w:eastAsiaTheme="majorEastAsia" w:hAnsiTheme="majorEastAsia" w:cstheme="majorEastAsia" w:hint="eastAsia"/>
          <w:color w:val="000000"/>
          <w:sz w:val="32"/>
          <w:szCs w:val="32"/>
          <w:shd w:val="clear" w:color="auto" w:fill="FFFFFF"/>
        </w:rPr>
        <w:t xml:space="preserve">  </w:t>
      </w:r>
      <w:r>
        <w:rPr>
          <w:rFonts w:asciiTheme="majorEastAsia" w:eastAsiaTheme="majorEastAsia" w:hAnsiTheme="majorEastAsia" w:cstheme="majorEastAsia" w:hint="eastAsia"/>
          <w:color w:val="000000"/>
          <w:sz w:val="32"/>
          <w:szCs w:val="32"/>
          <w:shd w:val="clear" w:color="auto" w:fill="FFFFFF"/>
        </w:rPr>
        <w:t>（</w:t>
      </w:r>
      <w:r>
        <w:rPr>
          <w:rFonts w:asciiTheme="majorEastAsia" w:eastAsiaTheme="majorEastAsia" w:hAnsiTheme="majorEastAsia" w:cstheme="majorEastAsia" w:hint="eastAsia"/>
          <w:color w:val="000000"/>
          <w:sz w:val="32"/>
          <w:szCs w:val="32"/>
          <w:shd w:val="clear" w:color="auto" w:fill="FFFFFF"/>
        </w:rPr>
        <w:t>3</w:t>
      </w:r>
      <w:r>
        <w:rPr>
          <w:rFonts w:asciiTheme="majorEastAsia" w:eastAsiaTheme="majorEastAsia" w:hAnsiTheme="majorEastAsia" w:cstheme="majorEastAsia" w:hint="eastAsia"/>
          <w:color w:val="000000"/>
          <w:sz w:val="32"/>
          <w:szCs w:val="32"/>
          <w:shd w:val="clear" w:color="auto" w:fill="FFFFFF"/>
        </w:rPr>
        <w:t>）与相关部门的配合与协调有待于提高。商务局工作涉及面广，政策性强。部门的部分职能与一些部门职能相互交叉，在整体配合，上下联动，协调一致还存在不足。</w:t>
      </w:r>
      <w:r>
        <w:rPr>
          <w:rFonts w:asciiTheme="majorEastAsia" w:eastAsiaTheme="majorEastAsia" w:hAnsiTheme="majorEastAsia" w:cstheme="majorEastAsia" w:hint="eastAsia"/>
          <w:color w:val="000000"/>
          <w:sz w:val="32"/>
          <w:szCs w:val="32"/>
          <w:shd w:val="clear" w:color="auto" w:fill="FFFFFF"/>
        </w:rPr>
        <w:t> </w:t>
      </w:r>
      <w:r>
        <w:rPr>
          <w:rFonts w:asciiTheme="majorEastAsia" w:eastAsiaTheme="majorEastAsia" w:hAnsiTheme="majorEastAsia" w:cstheme="majorEastAsia" w:hint="eastAsia"/>
          <w:color w:val="000000"/>
          <w:sz w:val="32"/>
          <w:szCs w:val="32"/>
          <w:shd w:val="clear" w:color="auto" w:fill="FFFFFF"/>
        </w:rPr>
        <w:br/>
      </w:r>
      <w:r>
        <w:rPr>
          <w:rFonts w:asciiTheme="majorEastAsia" w:eastAsiaTheme="majorEastAsia" w:hAnsiTheme="majorEastAsia" w:cstheme="majorEastAsia" w:hint="eastAsia"/>
          <w:color w:val="000000"/>
          <w:sz w:val="32"/>
          <w:szCs w:val="32"/>
          <w:shd w:val="clear" w:color="auto" w:fill="FFFFFF"/>
        </w:rPr>
        <w:lastRenderedPageBreak/>
        <w:t xml:space="preserve">    </w:t>
      </w:r>
      <w:r>
        <w:rPr>
          <w:rFonts w:asciiTheme="majorEastAsia" w:eastAsiaTheme="majorEastAsia" w:hAnsiTheme="majorEastAsia" w:cstheme="majorEastAsia" w:hint="eastAsia"/>
          <w:sz w:val="32"/>
          <w:szCs w:val="32"/>
        </w:rPr>
        <w:t>八、下一步改进措施</w:t>
      </w:r>
    </w:p>
    <w:p w:rsidR="0022093C" w:rsidRDefault="006247C0">
      <w:pPr>
        <w:ind w:firstLineChars="200" w:firstLine="640"/>
        <w:rPr>
          <w:rFonts w:asciiTheme="majorEastAsia" w:eastAsiaTheme="majorEastAsia" w:hAnsiTheme="majorEastAsia" w:cstheme="majorEastAsia"/>
          <w:color w:val="000000"/>
          <w:sz w:val="32"/>
          <w:szCs w:val="32"/>
          <w:shd w:val="clear" w:color="auto" w:fill="FFFFFF"/>
        </w:rPr>
      </w:pPr>
      <w:r>
        <w:rPr>
          <w:rFonts w:asciiTheme="majorEastAsia" w:eastAsiaTheme="majorEastAsia" w:hAnsiTheme="majorEastAsia" w:cstheme="majorEastAsia" w:hint="eastAsia"/>
          <w:color w:val="000000"/>
          <w:sz w:val="32"/>
          <w:szCs w:val="32"/>
          <w:shd w:val="clear" w:color="auto" w:fill="FFFFFF"/>
        </w:rPr>
        <w:t>（</w:t>
      </w:r>
      <w:r>
        <w:rPr>
          <w:rFonts w:asciiTheme="majorEastAsia" w:eastAsiaTheme="majorEastAsia" w:hAnsiTheme="majorEastAsia" w:cstheme="majorEastAsia" w:hint="eastAsia"/>
          <w:color w:val="000000"/>
          <w:sz w:val="32"/>
          <w:szCs w:val="32"/>
          <w:shd w:val="clear" w:color="auto" w:fill="FFFFFF"/>
        </w:rPr>
        <w:t>1</w:t>
      </w:r>
      <w:r>
        <w:rPr>
          <w:rFonts w:asciiTheme="majorEastAsia" w:eastAsiaTheme="majorEastAsia" w:hAnsiTheme="majorEastAsia" w:cstheme="majorEastAsia" w:hint="eastAsia"/>
          <w:color w:val="000000"/>
          <w:sz w:val="32"/>
          <w:szCs w:val="32"/>
          <w:shd w:val="clear" w:color="auto" w:fill="FFFFFF"/>
        </w:rPr>
        <w:t>）认真贯彻《预算法》，不断提高思想认识。加强政策学习，组织学习《预算法》等相关法规、制度，提高单位领导对全面预算管理的重视程度，增强财务人员的预算意识，坚持先有预算、后</w:t>
      </w:r>
      <w:r>
        <w:rPr>
          <w:rFonts w:asciiTheme="majorEastAsia" w:eastAsiaTheme="majorEastAsia" w:hAnsiTheme="majorEastAsia" w:cstheme="majorEastAsia" w:hint="eastAsia"/>
          <w:color w:val="000000"/>
          <w:sz w:val="32"/>
          <w:szCs w:val="32"/>
          <w:shd w:val="clear" w:color="auto" w:fill="FFFFFF"/>
        </w:rPr>
        <w:t>有支出，没有预算不得支出理念。</w:t>
      </w:r>
      <w:r>
        <w:rPr>
          <w:rFonts w:asciiTheme="majorEastAsia" w:eastAsiaTheme="majorEastAsia" w:hAnsiTheme="majorEastAsia" w:cstheme="majorEastAsia" w:hint="eastAsia"/>
          <w:color w:val="000000"/>
          <w:sz w:val="32"/>
          <w:szCs w:val="32"/>
          <w:shd w:val="clear" w:color="auto" w:fill="FFFFFF"/>
        </w:rPr>
        <w:t> </w:t>
      </w:r>
    </w:p>
    <w:p w:rsidR="0022093C" w:rsidRDefault="006247C0">
      <w:pPr>
        <w:ind w:firstLineChars="200" w:firstLine="640"/>
        <w:rPr>
          <w:rFonts w:asciiTheme="majorEastAsia" w:eastAsiaTheme="majorEastAsia" w:hAnsiTheme="majorEastAsia" w:cstheme="majorEastAsia"/>
          <w:color w:val="000000"/>
          <w:sz w:val="32"/>
          <w:szCs w:val="32"/>
          <w:shd w:val="clear" w:color="auto" w:fill="FFFFFF"/>
        </w:rPr>
      </w:pPr>
      <w:r>
        <w:rPr>
          <w:rFonts w:asciiTheme="majorEastAsia" w:eastAsiaTheme="majorEastAsia" w:hAnsiTheme="majorEastAsia" w:cstheme="majorEastAsia" w:hint="eastAsia"/>
          <w:color w:val="000000"/>
          <w:sz w:val="32"/>
          <w:szCs w:val="32"/>
          <w:shd w:val="clear" w:color="auto" w:fill="FFFFFF"/>
        </w:rPr>
        <w:t>（</w:t>
      </w:r>
      <w:r>
        <w:rPr>
          <w:rFonts w:asciiTheme="majorEastAsia" w:eastAsiaTheme="majorEastAsia" w:hAnsiTheme="majorEastAsia" w:cstheme="majorEastAsia" w:hint="eastAsia"/>
          <w:color w:val="000000"/>
          <w:sz w:val="32"/>
          <w:szCs w:val="32"/>
          <w:shd w:val="clear" w:color="auto" w:fill="FFFFFF"/>
        </w:rPr>
        <w:t>2</w:t>
      </w:r>
      <w:r>
        <w:rPr>
          <w:rFonts w:asciiTheme="majorEastAsia" w:eastAsiaTheme="majorEastAsia" w:hAnsiTheme="majorEastAsia" w:cstheme="majorEastAsia" w:hint="eastAsia"/>
          <w:color w:val="000000"/>
          <w:sz w:val="32"/>
          <w:szCs w:val="32"/>
          <w:shd w:val="clear" w:color="auto" w:fill="FFFFFF"/>
        </w:rPr>
        <w:t>）严格执行《预算法》，科学编制部门预算。细化预算指标，提高预算科学性，预算编制前根据年度内单位可预见的工作任务，确定单位年度预算目标，细化预算指标，科学合理编制部门预算，推进预算编制科学化、准确化。年度预算编制后，根据实际情况，定期做好预算执行分析，掌握预算执行进度，及时找出预算实际执行情况与预算目标之间存在的差距，纠正偏差，为科学、准确地编制部门预算积累经验。</w:t>
      </w:r>
      <w:r>
        <w:rPr>
          <w:rFonts w:asciiTheme="majorEastAsia" w:eastAsiaTheme="majorEastAsia" w:hAnsiTheme="majorEastAsia" w:cstheme="majorEastAsia" w:hint="eastAsia"/>
          <w:color w:val="000000"/>
          <w:sz w:val="32"/>
          <w:szCs w:val="32"/>
          <w:shd w:val="clear" w:color="auto" w:fill="FFFFFF"/>
        </w:rPr>
        <w:t> </w:t>
      </w:r>
    </w:p>
    <w:p w:rsidR="0022093C" w:rsidRDefault="006247C0">
      <w:pPr>
        <w:ind w:firstLineChars="200" w:firstLine="640"/>
        <w:rPr>
          <w:rFonts w:asciiTheme="majorEastAsia" w:eastAsiaTheme="majorEastAsia" w:hAnsiTheme="majorEastAsia" w:cstheme="majorEastAsia"/>
          <w:color w:val="000000"/>
          <w:sz w:val="32"/>
          <w:szCs w:val="32"/>
          <w:shd w:val="clear" w:color="auto" w:fill="FFFFFF"/>
        </w:rPr>
      </w:pPr>
      <w:r>
        <w:rPr>
          <w:rFonts w:asciiTheme="majorEastAsia" w:eastAsiaTheme="majorEastAsia" w:hAnsiTheme="majorEastAsia" w:cstheme="majorEastAsia" w:hint="eastAsia"/>
          <w:color w:val="000000"/>
          <w:sz w:val="32"/>
          <w:szCs w:val="32"/>
          <w:shd w:val="clear" w:color="auto" w:fill="FFFFFF"/>
        </w:rPr>
        <w:t>（</w:t>
      </w:r>
      <w:r>
        <w:rPr>
          <w:rFonts w:asciiTheme="majorEastAsia" w:eastAsiaTheme="majorEastAsia" w:hAnsiTheme="majorEastAsia" w:cstheme="majorEastAsia" w:hint="eastAsia"/>
          <w:color w:val="000000"/>
          <w:sz w:val="32"/>
          <w:szCs w:val="32"/>
          <w:shd w:val="clear" w:color="auto" w:fill="FFFFFF"/>
        </w:rPr>
        <w:t>3</w:t>
      </w:r>
      <w:r>
        <w:rPr>
          <w:rFonts w:asciiTheme="majorEastAsia" w:eastAsiaTheme="majorEastAsia" w:hAnsiTheme="majorEastAsia" w:cstheme="majorEastAsia" w:hint="eastAsia"/>
          <w:color w:val="000000"/>
          <w:sz w:val="32"/>
          <w:szCs w:val="32"/>
          <w:shd w:val="clear" w:color="auto" w:fill="FFFFFF"/>
        </w:rPr>
        <w:t>）优化支出结构</w:t>
      </w:r>
      <w:r>
        <w:rPr>
          <w:rFonts w:asciiTheme="majorEastAsia" w:eastAsiaTheme="majorEastAsia" w:hAnsiTheme="majorEastAsia" w:cstheme="majorEastAsia" w:hint="eastAsia"/>
          <w:color w:val="000000"/>
          <w:sz w:val="32"/>
          <w:szCs w:val="32"/>
          <w:shd w:val="clear" w:color="auto" w:fill="FFFFFF"/>
        </w:rPr>
        <w:t> </w:t>
      </w:r>
      <w:r>
        <w:rPr>
          <w:rFonts w:asciiTheme="majorEastAsia" w:eastAsiaTheme="majorEastAsia" w:hAnsiTheme="majorEastAsia" w:cstheme="majorEastAsia" w:hint="eastAsia"/>
          <w:color w:val="000000"/>
          <w:sz w:val="32"/>
          <w:szCs w:val="32"/>
          <w:shd w:val="clear" w:color="auto" w:fill="FFFFFF"/>
        </w:rPr>
        <w:br/>
        <w:t xml:space="preserve">    </w:t>
      </w:r>
      <w:r>
        <w:rPr>
          <w:rFonts w:asciiTheme="majorEastAsia" w:eastAsiaTheme="majorEastAsia" w:hAnsiTheme="majorEastAsia" w:cstheme="majorEastAsia" w:hint="eastAsia"/>
          <w:color w:val="000000"/>
          <w:sz w:val="32"/>
          <w:szCs w:val="32"/>
          <w:shd w:val="clear" w:color="auto" w:fill="FFFFFF"/>
        </w:rPr>
        <w:t>一是研究完善公用经费支出标准，建议适当提高公用经费预算标准定额，在科学测算的</w:t>
      </w:r>
      <w:r>
        <w:rPr>
          <w:rFonts w:asciiTheme="majorEastAsia" w:eastAsiaTheme="majorEastAsia" w:hAnsiTheme="majorEastAsia" w:cstheme="majorEastAsia" w:hint="eastAsia"/>
          <w:color w:val="000000"/>
          <w:sz w:val="32"/>
          <w:szCs w:val="32"/>
          <w:shd w:val="clear" w:color="auto" w:fill="FFFFFF"/>
        </w:rPr>
        <w:t>基础上适当提高人员经费、公用经费标准。</w:t>
      </w:r>
      <w:r>
        <w:rPr>
          <w:rFonts w:asciiTheme="majorEastAsia" w:eastAsiaTheme="majorEastAsia" w:hAnsiTheme="majorEastAsia" w:cstheme="majorEastAsia" w:hint="eastAsia"/>
          <w:color w:val="000000"/>
          <w:sz w:val="32"/>
          <w:szCs w:val="32"/>
          <w:shd w:val="clear" w:color="auto" w:fill="FFFFFF"/>
        </w:rPr>
        <w:t> </w:t>
      </w:r>
      <w:r>
        <w:rPr>
          <w:rFonts w:asciiTheme="majorEastAsia" w:eastAsiaTheme="majorEastAsia" w:hAnsiTheme="majorEastAsia" w:cstheme="majorEastAsia" w:hint="eastAsia"/>
          <w:color w:val="000000"/>
          <w:sz w:val="32"/>
          <w:szCs w:val="32"/>
          <w:shd w:val="clear" w:color="auto" w:fill="FFFFFF"/>
        </w:rPr>
        <w:br/>
        <w:t xml:space="preserve">    </w:t>
      </w:r>
      <w:r>
        <w:rPr>
          <w:rFonts w:asciiTheme="majorEastAsia" w:eastAsiaTheme="majorEastAsia" w:hAnsiTheme="majorEastAsia" w:cstheme="majorEastAsia" w:hint="eastAsia"/>
          <w:color w:val="000000"/>
          <w:sz w:val="32"/>
          <w:szCs w:val="32"/>
          <w:shd w:val="clear" w:color="auto" w:fill="FFFFFF"/>
        </w:rPr>
        <w:t>二是规范干部职工的福利待遇、医疗补助等，建议由财政统一补助标准，编入年初财政预算。</w:t>
      </w:r>
      <w:r>
        <w:rPr>
          <w:rFonts w:asciiTheme="majorEastAsia" w:eastAsiaTheme="majorEastAsia" w:hAnsiTheme="majorEastAsia" w:cstheme="majorEastAsia" w:hint="eastAsia"/>
          <w:color w:val="000000"/>
          <w:sz w:val="32"/>
          <w:szCs w:val="32"/>
          <w:shd w:val="clear" w:color="auto" w:fill="FFFFFF"/>
        </w:rPr>
        <w:t> </w:t>
      </w:r>
    </w:p>
    <w:p w:rsidR="0022093C" w:rsidRDefault="006247C0">
      <w:pPr>
        <w:widowControl/>
        <w:spacing w:line="600" w:lineRule="exact"/>
        <w:ind w:firstLine="645"/>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报告应包括以下附件：</w:t>
      </w:r>
    </w:p>
    <w:p w:rsidR="0022093C" w:rsidRDefault="006247C0">
      <w:pPr>
        <w:widowControl/>
        <w:spacing w:line="600" w:lineRule="exact"/>
        <w:ind w:firstLineChars="200" w:firstLine="64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1</w:t>
      </w:r>
      <w:r>
        <w:rPr>
          <w:rFonts w:asciiTheme="majorEastAsia" w:eastAsiaTheme="majorEastAsia" w:hAnsiTheme="majorEastAsia" w:cstheme="majorEastAsia" w:hint="eastAsia"/>
          <w:sz w:val="32"/>
          <w:szCs w:val="32"/>
        </w:rPr>
        <w:t>、部门整体支出绩效评价基础数据表</w:t>
      </w:r>
    </w:p>
    <w:p w:rsidR="0022093C" w:rsidRDefault="006247C0">
      <w:pPr>
        <w:widowControl/>
        <w:spacing w:line="600" w:lineRule="exact"/>
        <w:ind w:firstLineChars="200" w:firstLine="64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2</w:t>
      </w:r>
      <w:r>
        <w:rPr>
          <w:rFonts w:asciiTheme="majorEastAsia" w:eastAsiaTheme="majorEastAsia" w:hAnsiTheme="majorEastAsia" w:cstheme="majorEastAsia" w:hint="eastAsia"/>
          <w:sz w:val="32"/>
          <w:szCs w:val="32"/>
        </w:rPr>
        <w:t>、部门整体支出绩效自评表</w:t>
      </w:r>
    </w:p>
    <w:p w:rsidR="0022093C" w:rsidRDefault="006247C0">
      <w:pPr>
        <w:spacing w:line="600" w:lineRule="exac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lastRenderedPageBreak/>
        <w:t>附件</w:t>
      </w:r>
      <w:r>
        <w:rPr>
          <w:rFonts w:asciiTheme="majorEastAsia" w:eastAsiaTheme="majorEastAsia" w:hAnsiTheme="majorEastAsia" w:cstheme="majorEastAsia" w:hint="eastAsia"/>
          <w:sz w:val="32"/>
          <w:szCs w:val="32"/>
        </w:rPr>
        <w:t>4-1</w:t>
      </w:r>
    </w:p>
    <w:p w:rsidR="0022093C" w:rsidRDefault="0022093C">
      <w:pPr>
        <w:spacing w:line="400" w:lineRule="exact"/>
        <w:rPr>
          <w:rFonts w:asciiTheme="majorEastAsia" w:eastAsiaTheme="majorEastAsia" w:hAnsiTheme="majorEastAsia" w:cstheme="majorEastAsia"/>
          <w:sz w:val="32"/>
          <w:szCs w:val="32"/>
        </w:rPr>
      </w:pPr>
    </w:p>
    <w:p w:rsidR="0022093C" w:rsidRDefault="006247C0" w:rsidP="00C37286">
      <w:pPr>
        <w:spacing w:afterLines="50" w:line="400" w:lineRule="exact"/>
        <w:jc w:val="center"/>
        <w:rPr>
          <w:rFonts w:asciiTheme="majorEastAsia" w:eastAsiaTheme="majorEastAsia" w:hAnsiTheme="majorEastAsia" w:cstheme="majorEastAsia"/>
          <w:bCs/>
          <w:sz w:val="36"/>
          <w:szCs w:val="36"/>
        </w:rPr>
      </w:pPr>
      <w:r>
        <w:rPr>
          <w:rFonts w:asciiTheme="majorEastAsia" w:eastAsiaTheme="majorEastAsia" w:hAnsiTheme="majorEastAsia" w:cstheme="majorEastAsia" w:hint="eastAsia"/>
          <w:bCs/>
          <w:sz w:val="36"/>
          <w:szCs w:val="36"/>
        </w:rPr>
        <w:t>鹤城区商务局</w:t>
      </w:r>
      <w:r>
        <w:rPr>
          <w:rFonts w:asciiTheme="majorEastAsia" w:eastAsiaTheme="majorEastAsia" w:hAnsiTheme="majorEastAsia" w:cstheme="majorEastAsia" w:hint="eastAsia"/>
          <w:bCs/>
          <w:sz w:val="36"/>
          <w:szCs w:val="36"/>
        </w:rPr>
        <w:t>预算支出绩效评价共性指标体系</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22093C">
        <w:trPr>
          <w:trHeight w:val="454"/>
          <w:tblHeader/>
          <w:jc w:val="center"/>
        </w:trPr>
        <w:tc>
          <w:tcPr>
            <w:tcW w:w="777" w:type="dxa"/>
            <w:shd w:val="clear" w:color="auto" w:fill="auto"/>
            <w:tcMar>
              <w:top w:w="10" w:type="dxa"/>
              <w:left w:w="10" w:type="dxa"/>
              <w:bottom w:w="0" w:type="dxa"/>
              <w:right w:w="10" w:type="dxa"/>
            </w:tcMar>
            <w:vAlign w:val="center"/>
          </w:tcPr>
          <w:p w:rsidR="0022093C" w:rsidRDefault="006247C0">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一级</w:t>
            </w:r>
            <w:r>
              <w:rPr>
                <w:rFonts w:asciiTheme="majorEastAsia" w:eastAsiaTheme="majorEastAsia" w:hAnsiTheme="majorEastAsia" w:cstheme="majorEastAsia" w:hint="eastAsia"/>
                <w:b/>
                <w:bCs/>
                <w:szCs w:val="21"/>
              </w:rPr>
              <w:br/>
            </w:r>
            <w:r>
              <w:rPr>
                <w:rFonts w:asciiTheme="majorEastAsia" w:eastAsiaTheme="majorEastAsia" w:hAnsiTheme="majorEastAsia" w:cstheme="majorEastAsia" w:hint="eastAsia"/>
                <w:b/>
                <w:bCs/>
                <w:szCs w:val="21"/>
              </w:rPr>
              <w:t>指标</w:t>
            </w:r>
          </w:p>
        </w:tc>
        <w:tc>
          <w:tcPr>
            <w:tcW w:w="674" w:type="dxa"/>
            <w:shd w:val="clear" w:color="auto" w:fill="auto"/>
            <w:tcMar>
              <w:top w:w="10" w:type="dxa"/>
              <w:left w:w="10" w:type="dxa"/>
              <w:bottom w:w="0" w:type="dxa"/>
              <w:right w:w="10" w:type="dxa"/>
            </w:tcMar>
            <w:vAlign w:val="center"/>
          </w:tcPr>
          <w:p w:rsidR="0022093C" w:rsidRDefault="006247C0">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二级</w:t>
            </w:r>
            <w:r>
              <w:rPr>
                <w:rFonts w:asciiTheme="majorEastAsia" w:eastAsiaTheme="majorEastAsia" w:hAnsiTheme="majorEastAsia" w:cstheme="majorEastAsia" w:hint="eastAsia"/>
                <w:b/>
                <w:bCs/>
                <w:szCs w:val="21"/>
              </w:rPr>
              <w:br/>
            </w:r>
            <w:r>
              <w:rPr>
                <w:rFonts w:asciiTheme="majorEastAsia" w:eastAsiaTheme="majorEastAsia" w:hAnsiTheme="majorEastAsia" w:cstheme="majorEastAsia" w:hint="eastAsia"/>
                <w:b/>
                <w:bCs/>
                <w:szCs w:val="21"/>
              </w:rPr>
              <w:t>指标</w:t>
            </w:r>
          </w:p>
        </w:tc>
        <w:tc>
          <w:tcPr>
            <w:tcW w:w="1071" w:type="dxa"/>
            <w:shd w:val="clear" w:color="auto" w:fill="auto"/>
            <w:tcMar>
              <w:top w:w="10" w:type="dxa"/>
              <w:left w:w="10" w:type="dxa"/>
              <w:bottom w:w="0" w:type="dxa"/>
              <w:right w:w="10" w:type="dxa"/>
            </w:tcMar>
            <w:vAlign w:val="center"/>
          </w:tcPr>
          <w:p w:rsidR="0022093C" w:rsidRDefault="006247C0">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三级指标</w:t>
            </w:r>
          </w:p>
        </w:tc>
        <w:tc>
          <w:tcPr>
            <w:tcW w:w="1975" w:type="dxa"/>
            <w:shd w:val="clear" w:color="auto" w:fill="auto"/>
            <w:tcMar>
              <w:top w:w="10" w:type="dxa"/>
              <w:left w:w="10" w:type="dxa"/>
              <w:bottom w:w="0" w:type="dxa"/>
              <w:right w:w="10" w:type="dxa"/>
            </w:tcMar>
            <w:vAlign w:val="center"/>
          </w:tcPr>
          <w:p w:rsidR="0022093C" w:rsidRDefault="006247C0">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评分及标准</w:t>
            </w:r>
          </w:p>
        </w:tc>
        <w:tc>
          <w:tcPr>
            <w:tcW w:w="4482" w:type="dxa"/>
            <w:shd w:val="clear" w:color="auto" w:fill="auto"/>
            <w:tcMar>
              <w:top w:w="10" w:type="dxa"/>
              <w:left w:w="10" w:type="dxa"/>
              <w:bottom w:w="0" w:type="dxa"/>
              <w:right w:w="10" w:type="dxa"/>
            </w:tcMar>
            <w:vAlign w:val="center"/>
          </w:tcPr>
          <w:p w:rsidR="0022093C" w:rsidRDefault="006247C0">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指标说明</w:t>
            </w:r>
          </w:p>
        </w:tc>
        <w:tc>
          <w:tcPr>
            <w:tcW w:w="954" w:type="dxa"/>
            <w:vAlign w:val="center"/>
          </w:tcPr>
          <w:p w:rsidR="0022093C" w:rsidRDefault="006247C0">
            <w:pPr>
              <w:jc w:val="cente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自评分</w:t>
            </w:r>
          </w:p>
        </w:tc>
      </w:tr>
      <w:tr w:rsidR="0022093C">
        <w:trPr>
          <w:trHeight w:val="454"/>
          <w:jc w:val="center"/>
        </w:trPr>
        <w:tc>
          <w:tcPr>
            <w:tcW w:w="777" w:type="dxa"/>
            <w:vMerge w:val="restart"/>
            <w:shd w:val="clear" w:color="auto" w:fill="auto"/>
            <w:noWrap/>
            <w:tcMar>
              <w:top w:w="10" w:type="dxa"/>
              <w:left w:w="10" w:type="dxa"/>
              <w:bottom w:w="0" w:type="dxa"/>
              <w:right w:w="10" w:type="dxa"/>
            </w:tcMar>
            <w:vAlign w:val="center"/>
          </w:tcPr>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决</w:t>
            </w:r>
          </w:p>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策</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10</w:t>
            </w:r>
            <w:r>
              <w:rPr>
                <w:rFonts w:asciiTheme="majorEastAsia" w:eastAsiaTheme="majorEastAsia" w:hAnsiTheme="majorEastAsia" w:cstheme="majorEastAsia" w:hint="eastAsia"/>
                <w:szCs w:val="21"/>
              </w:rPr>
              <w:t>）</w:t>
            </w:r>
          </w:p>
        </w:tc>
        <w:tc>
          <w:tcPr>
            <w:tcW w:w="674" w:type="dxa"/>
            <w:vMerge w:val="restart"/>
            <w:shd w:val="clear" w:color="auto" w:fill="auto"/>
            <w:tcMar>
              <w:top w:w="10" w:type="dxa"/>
              <w:left w:w="10" w:type="dxa"/>
              <w:bottom w:w="0" w:type="dxa"/>
              <w:right w:w="10" w:type="dxa"/>
            </w:tcMar>
            <w:vAlign w:val="center"/>
          </w:tcPr>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预算支出决策</w:t>
            </w:r>
          </w:p>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（项目立项）（</w:t>
            </w:r>
            <w:r>
              <w:rPr>
                <w:rFonts w:asciiTheme="majorEastAsia" w:eastAsiaTheme="majorEastAsia" w:hAnsiTheme="majorEastAsia" w:cstheme="majorEastAsia" w:hint="eastAsia"/>
                <w:szCs w:val="21"/>
              </w:rPr>
              <w:t>4</w:t>
            </w:r>
            <w:r>
              <w:rPr>
                <w:rFonts w:asciiTheme="majorEastAsia" w:eastAsiaTheme="majorEastAsia" w:hAnsiTheme="majorEastAsia" w:cstheme="majorEastAsia" w:hint="eastAsia"/>
                <w:szCs w:val="21"/>
              </w:rPr>
              <w:t>）</w:t>
            </w:r>
          </w:p>
        </w:tc>
        <w:tc>
          <w:tcPr>
            <w:tcW w:w="1071"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预算支出决策（项目立项）依据</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充分性</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1975"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482"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①决策（立项）是否符合国家相关法律法规、国民经济发展规划和相关政策；</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②决策（立项）是否符合行业发展规划和政策要求；</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③决策（立项）是否与部门职责范围相符，属于部门履职所需；</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④预算支出是否属于公共财政支持范围，是否符合中央、地方事权支出责任划分原则；</w:t>
            </w:r>
          </w:p>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⑤预算支出是否与相关部门同类预算支出或部门内部相关预算支出重复。</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22093C" w:rsidRDefault="0022093C">
            <w:pPr>
              <w:jc w:val="center"/>
              <w:rPr>
                <w:rFonts w:asciiTheme="majorEastAsia" w:eastAsiaTheme="majorEastAsia" w:hAnsiTheme="majorEastAsia" w:cstheme="majorEastAsia"/>
                <w:szCs w:val="21"/>
              </w:rPr>
            </w:pPr>
          </w:p>
        </w:tc>
        <w:tc>
          <w:tcPr>
            <w:tcW w:w="674" w:type="dxa"/>
            <w:vMerge/>
            <w:shd w:val="clear" w:color="auto" w:fill="auto"/>
            <w:tcMar>
              <w:top w:w="10" w:type="dxa"/>
              <w:left w:w="10" w:type="dxa"/>
              <w:bottom w:w="0" w:type="dxa"/>
              <w:right w:w="10" w:type="dxa"/>
            </w:tcMar>
            <w:vAlign w:val="center"/>
          </w:tcPr>
          <w:p w:rsidR="0022093C" w:rsidRDefault="0022093C">
            <w:pPr>
              <w:jc w:val="center"/>
              <w:rPr>
                <w:rFonts w:asciiTheme="majorEastAsia" w:eastAsiaTheme="majorEastAsia" w:hAnsiTheme="majorEastAsia" w:cstheme="majorEastAsia"/>
                <w:szCs w:val="21"/>
              </w:rPr>
            </w:pPr>
          </w:p>
        </w:tc>
        <w:tc>
          <w:tcPr>
            <w:tcW w:w="1071"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决策（立项）程序规范性</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1975"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482"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p>
          <w:p w:rsidR="0022093C" w:rsidRDefault="006247C0">
            <w:pPr>
              <w:pStyle w:val="a6"/>
              <w:numPr>
                <w:ilvl w:val="0"/>
                <w:numId w:val="3"/>
              </w:numPr>
              <w:spacing w:line="260" w:lineRule="exact"/>
              <w:ind w:firstLineChars="0"/>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预算支出是否按照规定的程序申请设立；</w:t>
            </w:r>
          </w:p>
          <w:p w:rsidR="0022093C" w:rsidRDefault="006247C0">
            <w:pPr>
              <w:pStyle w:val="a6"/>
              <w:numPr>
                <w:ilvl w:val="0"/>
                <w:numId w:val="3"/>
              </w:numPr>
              <w:spacing w:line="260" w:lineRule="exact"/>
              <w:ind w:firstLineChars="0"/>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审批文件、材料是否符合相关要求；</w:t>
            </w:r>
          </w:p>
          <w:p w:rsidR="0022093C" w:rsidRDefault="006247C0">
            <w:pPr>
              <w:spacing w:line="260" w:lineRule="exact"/>
              <w:ind w:leftChars="50" w:lef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③事前是否已经过必要的可行性研究、专家论证、风险评估、绩效评估、集体决策。</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2473"/>
          <w:jc w:val="center"/>
        </w:trPr>
        <w:tc>
          <w:tcPr>
            <w:tcW w:w="777" w:type="dxa"/>
            <w:vMerge/>
            <w:shd w:val="clear" w:color="auto" w:fill="auto"/>
            <w:vAlign w:val="center"/>
          </w:tcPr>
          <w:p w:rsidR="0022093C" w:rsidRDefault="0022093C">
            <w:pPr>
              <w:rPr>
                <w:rFonts w:asciiTheme="majorEastAsia" w:eastAsiaTheme="majorEastAsia" w:hAnsiTheme="majorEastAsia" w:cstheme="majorEastAsia"/>
                <w:szCs w:val="21"/>
              </w:rPr>
            </w:pPr>
          </w:p>
        </w:tc>
        <w:tc>
          <w:tcPr>
            <w:tcW w:w="674" w:type="dxa"/>
            <w:vMerge w:val="restart"/>
            <w:shd w:val="clear" w:color="auto" w:fill="auto"/>
            <w:vAlign w:val="center"/>
          </w:tcPr>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绩效</w:t>
            </w:r>
          </w:p>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目标（</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w:t>
            </w:r>
          </w:p>
        </w:tc>
        <w:tc>
          <w:tcPr>
            <w:tcW w:w="1071"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绩效目标</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合理性</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1975"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482"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p>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（如未设定预算绩效目标，也可考核其他工作任务目标）</w:t>
            </w:r>
          </w:p>
          <w:p w:rsidR="0022093C" w:rsidRDefault="006247C0">
            <w:pPr>
              <w:pStyle w:val="a6"/>
              <w:numPr>
                <w:ilvl w:val="0"/>
                <w:numId w:val="4"/>
              </w:numPr>
              <w:spacing w:line="260" w:lineRule="exact"/>
              <w:ind w:rightChars="50" w:right="105" w:firstLineChars="0"/>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预算支出是否有绩效目标；</w:t>
            </w:r>
          </w:p>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②预算支出绩效目标与实际工作内容是否具有相关性；</w:t>
            </w:r>
          </w:p>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③预算支出预期产出效益和效果是否符合正常的业绩水平；是否与预算确定的预算支出投资额或资金量相匹配。</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454"/>
          <w:jc w:val="center"/>
        </w:trPr>
        <w:tc>
          <w:tcPr>
            <w:tcW w:w="777" w:type="dxa"/>
            <w:vMerge/>
            <w:shd w:val="clear" w:color="auto" w:fill="auto"/>
            <w:vAlign w:val="center"/>
          </w:tcPr>
          <w:p w:rsidR="0022093C" w:rsidRDefault="0022093C">
            <w:pPr>
              <w:rPr>
                <w:rFonts w:asciiTheme="majorEastAsia" w:eastAsiaTheme="majorEastAsia" w:hAnsiTheme="majorEastAsia" w:cstheme="majorEastAsia"/>
                <w:szCs w:val="21"/>
              </w:rPr>
            </w:pPr>
          </w:p>
        </w:tc>
        <w:tc>
          <w:tcPr>
            <w:tcW w:w="674" w:type="dxa"/>
            <w:vMerge/>
            <w:shd w:val="clear" w:color="auto" w:fill="auto"/>
            <w:vAlign w:val="center"/>
          </w:tcPr>
          <w:p w:rsidR="0022093C" w:rsidRDefault="0022093C">
            <w:pPr>
              <w:jc w:val="center"/>
              <w:rPr>
                <w:rFonts w:asciiTheme="majorEastAsia" w:eastAsiaTheme="majorEastAsia" w:hAnsiTheme="majorEastAsia" w:cstheme="majorEastAsia"/>
                <w:szCs w:val="21"/>
              </w:rPr>
            </w:pPr>
          </w:p>
        </w:tc>
        <w:tc>
          <w:tcPr>
            <w:tcW w:w="1071"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绩效指标</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明确性</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w:t>
            </w:r>
          </w:p>
        </w:tc>
        <w:tc>
          <w:tcPr>
            <w:tcW w:w="1975"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482"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①是否将预算支出绩效目标细化分解为具体的绩效指标；</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②是否通过清晰、可衡量的指标值体现。</w:t>
            </w:r>
          </w:p>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③是否与预算支出目标任务数相对应。</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w:t>
            </w:r>
          </w:p>
        </w:tc>
      </w:tr>
      <w:tr w:rsidR="0022093C">
        <w:trPr>
          <w:trHeight w:val="454"/>
          <w:jc w:val="center"/>
        </w:trPr>
        <w:tc>
          <w:tcPr>
            <w:tcW w:w="777" w:type="dxa"/>
            <w:vMerge/>
            <w:shd w:val="clear" w:color="auto" w:fill="auto"/>
            <w:vAlign w:val="center"/>
          </w:tcPr>
          <w:p w:rsidR="0022093C" w:rsidRDefault="0022093C">
            <w:pPr>
              <w:rPr>
                <w:rFonts w:asciiTheme="majorEastAsia" w:eastAsiaTheme="majorEastAsia" w:hAnsiTheme="majorEastAsia" w:cstheme="majorEastAsia"/>
                <w:szCs w:val="21"/>
              </w:rPr>
            </w:pPr>
          </w:p>
        </w:tc>
        <w:tc>
          <w:tcPr>
            <w:tcW w:w="674" w:type="dxa"/>
            <w:vMerge w:val="restart"/>
            <w:shd w:val="clear" w:color="auto" w:fill="auto"/>
            <w:vAlign w:val="center"/>
          </w:tcPr>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w:t>
            </w:r>
          </w:p>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投入（</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w:t>
            </w:r>
          </w:p>
        </w:tc>
        <w:tc>
          <w:tcPr>
            <w:tcW w:w="1071"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预算编制</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科学性</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p>
        </w:tc>
        <w:tc>
          <w:tcPr>
            <w:tcW w:w="1975"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482"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p>
          <w:p w:rsidR="0022093C" w:rsidRDefault="006247C0">
            <w:pPr>
              <w:pStyle w:val="a6"/>
              <w:numPr>
                <w:ilvl w:val="0"/>
                <w:numId w:val="5"/>
              </w:numPr>
              <w:spacing w:line="260" w:lineRule="exact"/>
              <w:ind w:rightChars="50" w:right="105" w:firstLineChars="0"/>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预算编制是否经过科学论证；</w:t>
            </w:r>
          </w:p>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②预算内容与支出内容是否匹配；</w:t>
            </w:r>
          </w:p>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③预算额度测算依据是否充分，是否按照标准编制；</w:t>
            </w:r>
          </w:p>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④预算确定的预算支出投资额或资金量是否与工作任务相匹配</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454"/>
          <w:jc w:val="center"/>
        </w:trPr>
        <w:tc>
          <w:tcPr>
            <w:tcW w:w="777" w:type="dxa"/>
            <w:vMerge/>
            <w:shd w:val="clear" w:color="auto" w:fill="auto"/>
            <w:vAlign w:val="center"/>
          </w:tcPr>
          <w:p w:rsidR="0022093C" w:rsidRDefault="0022093C">
            <w:pPr>
              <w:rPr>
                <w:rFonts w:asciiTheme="majorEastAsia" w:eastAsiaTheme="majorEastAsia" w:hAnsiTheme="majorEastAsia" w:cstheme="majorEastAsia"/>
                <w:szCs w:val="21"/>
              </w:rPr>
            </w:pPr>
          </w:p>
        </w:tc>
        <w:tc>
          <w:tcPr>
            <w:tcW w:w="674" w:type="dxa"/>
            <w:vMerge/>
            <w:shd w:val="clear" w:color="auto" w:fill="auto"/>
            <w:vAlign w:val="center"/>
          </w:tcPr>
          <w:p w:rsidR="0022093C" w:rsidRDefault="0022093C">
            <w:pPr>
              <w:jc w:val="center"/>
              <w:rPr>
                <w:rFonts w:asciiTheme="majorEastAsia" w:eastAsiaTheme="majorEastAsia" w:hAnsiTheme="majorEastAsia" w:cstheme="majorEastAsia"/>
                <w:szCs w:val="21"/>
              </w:rPr>
            </w:pPr>
          </w:p>
        </w:tc>
        <w:tc>
          <w:tcPr>
            <w:tcW w:w="1071"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资金分配</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合理性</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w:t>
            </w:r>
          </w:p>
        </w:tc>
        <w:tc>
          <w:tcPr>
            <w:tcW w:w="1975"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482"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p>
          <w:p w:rsidR="0022093C" w:rsidRDefault="006247C0">
            <w:pPr>
              <w:pStyle w:val="a6"/>
              <w:numPr>
                <w:ilvl w:val="0"/>
                <w:numId w:val="6"/>
              </w:numPr>
              <w:spacing w:line="260" w:lineRule="exact"/>
              <w:ind w:rightChars="50" w:right="105" w:firstLineChars="0"/>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预算资金分配依据是否充分；</w:t>
            </w:r>
          </w:p>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②资金分配额度是否合理，与项目实施单位或地方实际是否相适应。</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w:t>
            </w:r>
          </w:p>
        </w:tc>
      </w:tr>
      <w:tr w:rsidR="0022093C">
        <w:trPr>
          <w:trHeight w:val="1542"/>
          <w:jc w:val="center"/>
        </w:trPr>
        <w:tc>
          <w:tcPr>
            <w:tcW w:w="777" w:type="dxa"/>
            <w:vMerge w:val="restart"/>
            <w:shd w:val="clear" w:color="auto" w:fill="auto"/>
            <w:vAlign w:val="center"/>
          </w:tcPr>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lastRenderedPageBreak/>
              <w:t>过</w:t>
            </w:r>
          </w:p>
          <w:p w:rsidR="0022093C" w:rsidRDefault="0022093C">
            <w:pPr>
              <w:jc w:val="center"/>
              <w:rPr>
                <w:rFonts w:asciiTheme="majorEastAsia" w:eastAsiaTheme="majorEastAsia" w:hAnsiTheme="majorEastAsia" w:cstheme="majorEastAsia"/>
                <w:szCs w:val="21"/>
              </w:rPr>
            </w:pPr>
          </w:p>
          <w:p w:rsidR="0022093C" w:rsidRDefault="0022093C">
            <w:pPr>
              <w:jc w:val="center"/>
              <w:rPr>
                <w:rFonts w:asciiTheme="majorEastAsia" w:eastAsiaTheme="majorEastAsia" w:hAnsiTheme="majorEastAsia" w:cstheme="majorEastAsia"/>
                <w:szCs w:val="21"/>
              </w:rPr>
            </w:pPr>
          </w:p>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程</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20</w:t>
            </w:r>
            <w:r>
              <w:rPr>
                <w:rFonts w:asciiTheme="majorEastAsia" w:eastAsiaTheme="majorEastAsia" w:hAnsiTheme="majorEastAsia" w:cstheme="majorEastAsia" w:hint="eastAsia"/>
                <w:szCs w:val="21"/>
              </w:rPr>
              <w:t>）</w:t>
            </w:r>
          </w:p>
        </w:tc>
        <w:tc>
          <w:tcPr>
            <w:tcW w:w="674" w:type="dxa"/>
            <w:vMerge w:val="restart"/>
            <w:shd w:val="clear" w:color="auto" w:fill="auto"/>
            <w:tcMar>
              <w:top w:w="10" w:type="dxa"/>
              <w:left w:w="10" w:type="dxa"/>
              <w:bottom w:w="0" w:type="dxa"/>
              <w:right w:w="10" w:type="dxa"/>
            </w:tcMar>
            <w:vAlign w:val="center"/>
          </w:tcPr>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管理（</w:t>
            </w:r>
            <w:r>
              <w:rPr>
                <w:rFonts w:asciiTheme="majorEastAsia" w:eastAsiaTheme="majorEastAsia" w:hAnsiTheme="majorEastAsia" w:cstheme="majorEastAsia" w:hint="eastAsia"/>
                <w:szCs w:val="21"/>
              </w:rPr>
              <w:t>10</w:t>
            </w:r>
            <w:r>
              <w:rPr>
                <w:rFonts w:asciiTheme="majorEastAsia" w:eastAsiaTheme="majorEastAsia" w:hAnsiTheme="majorEastAsia" w:cstheme="majorEastAsia" w:hint="eastAsia"/>
                <w:szCs w:val="21"/>
              </w:rPr>
              <w:t>）</w:t>
            </w:r>
          </w:p>
        </w:tc>
        <w:tc>
          <w:tcPr>
            <w:tcW w:w="1071"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到位率</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分）</w:t>
            </w:r>
          </w:p>
        </w:tc>
        <w:tc>
          <w:tcPr>
            <w:tcW w:w="1975"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资金到位率</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计满分，每下降</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个百分点扣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482"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资金到位率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（实际到位资金</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预算资金）×</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实际到位资金：一定时期（本年度或预算支出期）内落实到具体预算支出的资金。</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预算资金：一定时期（本年度或预算支出期）内预算安排到具体预算支出的资金。</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w:t>
            </w:r>
          </w:p>
        </w:tc>
      </w:tr>
      <w:tr w:rsidR="0022093C">
        <w:trPr>
          <w:trHeight w:val="1265"/>
          <w:jc w:val="center"/>
        </w:trPr>
        <w:tc>
          <w:tcPr>
            <w:tcW w:w="777" w:type="dxa"/>
            <w:vMerge/>
            <w:shd w:val="clear" w:color="auto" w:fill="auto"/>
            <w:vAlign w:val="center"/>
          </w:tcPr>
          <w:p w:rsidR="0022093C" w:rsidRDefault="0022093C">
            <w:pPr>
              <w:jc w:val="center"/>
              <w:rPr>
                <w:rFonts w:asciiTheme="majorEastAsia" w:eastAsiaTheme="majorEastAsia" w:hAnsiTheme="majorEastAsia" w:cstheme="majorEastAsia"/>
                <w:szCs w:val="21"/>
              </w:rPr>
            </w:pPr>
          </w:p>
        </w:tc>
        <w:tc>
          <w:tcPr>
            <w:tcW w:w="674" w:type="dxa"/>
            <w:vMerge/>
            <w:shd w:val="clear" w:color="auto" w:fill="auto"/>
            <w:tcMar>
              <w:top w:w="10" w:type="dxa"/>
              <w:left w:w="10" w:type="dxa"/>
              <w:bottom w:w="0" w:type="dxa"/>
              <w:right w:w="10" w:type="dxa"/>
            </w:tcMar>
            <w:vAlign w:val="center"/>
          </w:tcPr>
          <w:p w:rsidR="0022093C" w:rsidRDefault="0022093C">
            <w:pPr>
              <w:jc w:val="center"/>
              <w:rPr>
                <w:rFonts w:asciiTheme="majorEastAsia" w:eastAsiaTheme="majorEastAsia" w:hAnsiTheme="majorEastAsia" w:cstheme="majorEastAsia"/>
                <w:szCs w:val="21"/>
              </w:rPr>
            </w:pPr>
          </w:p>
        </w:tc>
        <w:tc>
          <w:tcPr>
            <w:tcW w:w="1071"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执行率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分）</w:t>
            </w:r>
          </w:p>
        </w:tc>
        <w:tc>
          <w:tcPr>
            <w:tcW w:w="1975"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计满分，每下降</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个百分点扣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482"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预算执行率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（实际支出资金</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实际到位资金）×</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p>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实际支出资金：一定时期（本年度或预算支出期）内预算支出实际拨付的资金。</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p>
        </w:tc>
      </w:tr>
      <w:tr w:rsidR="0022093C">
        <w:trPr>
          <w:trHeight w:val="454"/>
          <w:jc w:val="center"/>
        </w:trPr>
        <w:tc>
          <w:tcPr>
            <w:tcW w:w="777" w:type="dxa"/>
            <w:vMerge/>
            <w:shd w:val="clear" w:color="auto" w:fill="auto"/>
            <w:vAlign w:val="center"/>
          </w:tcPr>
          <w:p w:rsidR="0022093C" w:rsidRDefault="0022093C">
            <w:pPr>
              <w:jc w:val="center"/>
              <w:rPr>
                <w:rFonts w:asciiTheme="majorEastAsia" w:eastAsiaTheme="majorEastAsia" w:hAnsiTheme="majorEastAsia" w:cstheme="majorEastAsia"/>
                <w:szCs w:val="21"/>
              </w:rPr>
            </w:pPr>
          </w:p>
        </w:tc>
        <w:tc>
          <w:tcPr>
            <w:tcW w:w="674" w:type="dxa"/>
            <w:vMerge/>
            <w:shd w:val="clear" w:color="auto" w:fill="auto"/>
            <w:vAlign w:val="center"/>
          </w:tcPr>
          <w:p w:rsidR="0022093C" w:rsidRDefault="0022093C">
            <w:pPr>
              <w:rPr>
                <w:rFonts w:asciiTheme="majorEastAsia" w:eastAsiaTheme="majorEastAsia" w:hAnsiTheme="majorEastAsia" w:cstheme="majorEastAsia"/>
                <w:szCs w:val="21"/>
              </w:rPr>
            </w:pPr>
          </w:p>
        </w:tc>
        <w:tc>
          <w:tcPr>
            <w:tcW w:w="1071"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资金使用</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合规性</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4</w:t>
            </w:r>
            <w:r>
              <w:rPr>
                <w:rFonts w:asciiTheme="majorEastAsia" w:eastAsiaTheme="majorEastAsia" w:hAnsiTheme="majorEastAsia" w:cstheme="majorEastAsia" w:hint="eastAsia"/>
                <w:szCs w:val="21"/>
              </w:rPr>
              <w:t>分）</w:t>
            </w:r>
          </w:p>
        </w:tc>
        <w:tc>
          <w:tcPr>
            <w:tcW w:w="1975"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482"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p>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①是否符合国家财经法规和财务管理制度以及有关专项资金管理办法的规定；</w:t>
            </w:r>
          </w:p>
          <w:p w:rsidR="0022093C" w:rsidRDefault="006247C0">
            <w:pPr>
              <w:spacing w:line="260" w:lineRule="exact"/>
              <w:ind w:rightChars="50" w:right="105" w:firstLineChars="50" w:firstLine="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②资金的拨付是否有完整的审批程序和手续；</w:t>
            </w:r>
          </w:p>
          <w:p w:rsidR="0022093C" w:rsidRDefault="006247C0">
            <w:pPr>
              <w:spacing w:line="260" w:lineRule="exact"/>
              <w:ind w:rightChars="50" w:right="105" w:firstLineChars="50" w:firstLine="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③是否符合预算支出预算批复或合同规定的用途；</w:t>
            </w:r>
          </w:p>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④是否存在截留、挤占、挪用、虐列支出等情况。</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w:t>
            </w:r>
          </w:p>
        </w:tc>
      </w:tr>
      <w:tr w:rsidR="0022093C">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22093C" w:rsidRDefault="0022093C">
            <w:pPr>
              <w:jc w:val="center"/>
              <w:rPr>
                <w:rFonts w:asciiTheme="majorEastAsia" w:eastAsiaTheme="majorEastAsia" w:hAnsiTheme="majorEastAsia" w:cstheme="majorEastAsia"/>
                <w:szCs w:val="21"/>
              </w:rPr>
            </w:pPr>
          </w:p>
        </w:tc>
        <w:tc>
          <w:tcPr>
            <w:tcW w:w="674" w:type="dxa"/>
            <w:vMerge w:val="restart"/>
            <w:shd w:val="clear" w:color="auto" w:fill="auto"/>
            <w:tcMar>
              <w:top w:w="10" w:type="dxa"/>
              <w:left w:w="10" w:type="dxa"/>
              <w:bottom w:w="0" w:type="dxa"/>
              <w:right w:w="10" w:type="dxa"/>
            </w:tcMar>
            <w:vAlign w:val="center"/>
          </w:tcPr>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组织</w:t>
            </w:r>
          </w:p>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实施（</w:t>
            </w:r>
            <w:r>
              <w:rPr>
                <w:rFonts w:asciiTheme="majorEastAsia" w:eastAsiaTheme="majorEastAsia" w:hAnsiTheme="majorEastAsia" w:cstheme="majorEastAsia" w:hint="eastAsia"/>
                <w:szCs w:val="21"/>
              </w:rPr>
              <w:t>10</w:t>
            </w:r>
            <w:r>
              <w:rPr>
                <w:rFonts w:asciiTheme="majorEastAsia" w:eastAsiaTheme="majorEastAsia" w:hAnsiTheme="majorEastAsia" w:cstheme="majorEastAsia" w:hint="eastAsia"/>
                <w:szCs w:val="21"/>
              </w:rPr>
              <w:t>）</w:t>
            </w:r>
          </w:p>
        </w:tc>
        <w:tc>
          <w:tcPr>
            <w:tcW w:w="1071"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管理制度</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健全性</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分）</w:t>
            </w:r>
          </w:p>
        </w:tc>
        <w:tc>
          <w:tcPr>
            <w:tcW w:w="1975"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分，扣完为止。</w:t>
            </w:r>
          </w:p>
        </w:tc>
        <w:tc>
          <w:tcPr>
            <w:tcW w:w="4482"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①是否已制定或具有相应的业务管理制度；</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②财务和业务管理制度是否合法、合规、完整。</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w:t>
            </w:r>
          </w:p>
        </w:tc>
      </w:tr>
      <w:tr w:rsidR="0022093C">
        <w:trPr>
          <w:trHeight w:val="454"/>
          <w:jc w:val="center"/>
        </w:trPr>
        <w:tc>
          <w:tcPr>
            <w:tcW w:w="777" w:type="dxa"/>
            <w:vMerge/>
            <w:shd w:val="clear" w:color="auto" w:fill="auto"/>
            <w:vAlign w:val="center"/>
          </w:tcPr>
          <w:p w:rsidR="0022093C" w:rsidRDefault="0022093C">
            <w:pPr>
              <w:rPr>
                <w:rFonts w:asciiTheme="majorEastAsia" w:eastAsiaTheme="majorEastAsia" w:hAnsiTheme="majorEastAsia" w:cstheme="majorEastAsia"/>
                <w:szCs w:val="21"/>
              </w:rPr>
            </w:pPr>
          </w:p>
        </w:tc>
        <w:tc>
          <w:tcPr>
            <w:tcW w:w="674" w:type="dxa"/>
            <w:vMerge/>
            <w:shd w:val="clear" w:color="auto" w:fill="auto"/>
            <w:vAlign w:val="center"/>
          </w:tcPr>
          <w:p w:rsidR="0022093C" w:rsidRDefault="0022093C">
            <w:pPr>
              <w:rPr>
                <w:rFonts w:asciiTheme="majorEastAsia" w:eastAsiaTheme="majorEastAsia" w:hAnsiTheme="majorEastAsia" w:cstheme="majorEastAsia"/>
                <w:szCs w:val="21"/>
              </w:rPr>
            </w:pPr>
          </w:p>
        </w:tc>
        <w:tc>
          <w:tcPr>
            <w:tcW w:w="1071"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制度执行</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有效性</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分）</w:t>
            </w:r>
          </w:p>
        </w:tc>
        <w:tc>
          <w:tcPr>
            <w:tcW w:w="1975"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按指标说明评价要点，每缺一项扣</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分，扣完为止。</w:t>
            </w:r>
          </w:p>
        </w:tc>
        <w:tc>
          <w:tcPr>
            <w:tcW w:w="4482"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评价要点：</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①是否遵守相关法律法规和相关管理规定；</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②预算支出调整及支出调整手续是否完备；</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③预算支出合同书、验收报告、技术鉴定等资料是否齐全并及时归档；</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④预算支出实施的人员条件、场地设备、信息支撑等是否落实到位。</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w:t>
            </w:r>
          </w:p>
        </w:tc>
      </w:tr>
      <w:tr w:rsidR="0022093C">
        <w:trPr>
          <w:trHeight w:val="1781"/>
          <w:jc w:val="center"/>
        </w:trPr>
        <w:tc>
          <w:tcPr>
            <w:tcW w:w="777" w:type="dxa"/>
            <w:vMerge w:val="restart"/>
            <w:shd w:val="clear" w:color="auto" w:fill="auto"/>
            <w:noWrap/>
            <w:tcMar>
              <w:top w:w="10" w:type="dxa"/>
              <w:left w:w="10" w:type="dxa"/>
              <w:bottom w:w="0" w:type="dxa"/>
              <w:right w:w="10" w:type="dxa"/>
            </w:tcMar>
            <w:vAlign w:val="center"/>
          </w:tcPr>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产</w:t>
            </w:r>
            <w:r>
              <w:rPr>
                <w:rFonts w:asciiTheme="majorEastAsia" w:eastAsiaTheme="majorEastAsia" w:hAnsiTheme="majorEastAsia" w:cstheme="majorEastAsia" w:hint="eastAsia"/>
                <w:szCs w:val="21"/>
              </w:rPr>
              <w:t xml:space="preserve">   </w:t>
            </w:r>
          </w:p>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出</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40</w:t>
            </w:r>
            <w:r>
              <w:rPr>
                <w:rFonts w:asciiTheme="majorEastAsia" w:eastAsiaTheme="majorEastAsia" w:hAnsiTheme="majorEastAsia" w:cstheme="majorEastAsia" w:hint="eastAsia"/>
                <w:szCs w:val="21"/>
              </w:rPr>
              <w:t>）</w:t>
            </w:r>
          </w:p>
        </w:tc>
        <w:tc>
          <w:tcPr>
            <w:tcW w:w="674" w:type="dxa"/>
            <w:shd w:val="clear" w:color="auto" w:fill="auto"/>
            <w:tcMar>
              <w:top w:w="10" w:type="dxa"/>
              <w:left w:w="10" w:type="dxa"/>
              <w:bottom w:w="0" w:type="dxa"/>
              <w:right w:w="10" w:type="dxa"/>
            </w:tcMar>
            <w:vAlign w:val="center"/>
          </w:tcPr>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产出</w:t>
            </w:r>
          </w:p>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数量（</w:t>
            </w:r>
            <w:r>
              <w:rPr>
                <w:rFonts w:asciiTheme="majorEastAsia" w:eastAsiaTheme="majorEastAsia" w:hAnsiTheme="majorEastAsia" w:cstheme="majorEastAsia" w:hint="eastAsia"/>
                <w:szCs w:val="21"/>
              </w:rPr>
              <w:t>10</w:t>
            </w:r>
            <w:r>
              <w:rPr>
                <w:rFonts w:asciiTheme="majorEastAsia" w:eastAsiaTheme="majorEastAsia" w:hAnsiTheme="majorEastAsia" w:cstheme="majorEastAsia" w:hint="eastAsia"/>
                <w:szCs w:val="21"/>
              </w:rPr>
              <w:t>）</w:t>
            </w:r>
          </w:p>
        </w:tc>
        <w:tc>
          <w:tcPr>
            <w:tcW w:w="1071"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实际</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完成率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10</w:t>
            </w:r>
            <w:r>
              <w:rPr>
                <w:rFonts w:asciiTheme="majorEastAsia" w:eastAsiaTheme="majorEastAsia" w:hAnsiTheme="majorEastAsia" w:cstheme="majorEastAsia" w:hint="eastAsia"/>
                <w:szCs w:val="21"/>
              </w:rPr>
              <w:t>分）</w:t>
            </w:r>
          </w:p>
        </w:tc>
        <w:tc>
          <w:tcPr>
            <w:tcW w:w="1975"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计满分，每下降</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482"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实际完成率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（实际产出数</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计划产出数）×</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实际产出数：一定时期（本年度或预算支出期）内预算支出实际产出的产品或提供的服务数量。</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计划产出数：预算支出绩效目标确定的在一定时期（本年度或预算支出期）内计划产出的产品或提供的服务数量。</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8</w:t>
            </w:r>
          </w:p>
        </w:tc>
      </w:tr>
      <w:tr w:rsidR="0022093C">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22093C" w:rsidRDefault="0022093C">
            <w:pPr>
              <w:jc w:val="center"/>
              <w:rPr>
                <w:rFonts w:asciiTheme="majorEastAsia" w:eastAsiaTheme="majorEastAsia" w:hAnsiTheme="majorEastAsia" w:cstheme="majorEastAsia"/>
                <w:szCs w:val="21"/>
              </w:rPr>
            </w:pPr>
          </w:p>
        </w:tc>
        <w:tc>
          <w:tcPr>
            <w:tcW w:w="674" w:type="dxa"/>
            <w:shd w:val="clear" w:color="auto" w:fill="auto"/>
            <w:tcMar>
              <w:top w:w="10" w:type="dxa"/>
              <w:left w:w="10" w:type="dxa"/>
              <w:bottom w:w="0" w:type="dxa"/>
              <w:right w:w="10" w:type="dxa"/>
            </w:tcMar>
            <w:vAlign w:val="center"/>
          </w:tcPr>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产出</w:t>
            </w:r>
          </w:p>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质量（</w:t>
            </w:r>
            <w:r>
              <w:rPr>
                <w:rFonts w:asciiTheme="majorEastAsia" w:eastAsiaTheme="majorEastAsia" w:hAnsiTheme="majorEastAsia" w:cstheme="majorEastAsia" w:hint="eastAsia"/>
                <w:szCs w:val="21"/>
              </w:rPr>
              <w:t>10</w:t>
            </w:r>
            <w:r>
              <w:rPr>
                <w:rFonts w:asciiTheme="majorEastAsia" w:eastAsiaTheme="majorEastAsia" w:hAnsiTheme="majorEastAsia" w:cstheme="majorEastAsia" w:hint="eastAsia"/>
                <w:szCs w:val="21"/>
              </w:rPr>
              <w:t>）</w:t>
            </w:r>
          </w:p>
        </w:tc>
        <w:tc>
          <w:tcPr>
            <w:tcW w:w="1071"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质量</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达标率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10</w:t>
            </w:r>
            <w:r>
              <w:rPr>
                <w:rFonts w:asciiTheme="majorEastAsia" w:eastAsiaTheme="majorEastAsia" w:hAnsiTheme="majorEastAsia" w:cstheme="majorEastAsia" w:hint="eastAsia"/>
                <w:szCs w:val="21"/>
              </w:rPr>
              <w:t>分）</w:t>
            </w:r>
          </w:p>
        </w:tc>
        <w:tc>
          <w:tcPr>
            <w:tcW w:w="1975"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计满分，每下降</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扣</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分，扣完为止。</w:t>
            </w:r>
          </w:p>
        </w:tc>
        <w:tc>
          <w:tcPr>
            <w:tcW w:w="4482"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质量达标率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（质量达标产出数</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实际产出数）×</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w:t>
            </w:r>
          </w:p>
        </w:tc>
      </w:tr>
      <w:tr w:rsidR="0022093C">
        <w:trPr>
          <w:trHeight w:val="1255"/>
          <w:jc w:val="center"/>
        </w:trPr>
        <w:tc>
          <w:tcPr>
            <w:tcW w:w="777" w:type="dxa"/>
            <w:vMerge/>
            <w:shd w:val="clear" w:color="auto" w:fill="auto"/>
            <w:vAlign w:val="center"/>
          </w:tcPr>
          <w:p w:rsidR="0022093C" w:rsidRDefault="0022093C">
            <w:pPr>
              <w:rPr>
                <w:rFonts w:asciiTheme="majorEastAsia" w:eastAsiaTheme="majorEastAsia" w:hAnsiTheme="majorEastAsia" w:cstheme="majorEastAsia"/>
                <w:szCs w:val="21"/>
              </w:rPr>
            </w:pPr>
          </w:p>
        </w:tc>
        <w:tc>
          <w:tcPr>
            <w:tcW w:w="674" w:type="dxa"/>
            <w:shd w:val="clear" w:color="auto" w:fill="auto"/>
            <w:vAlign w:val="center"/>
          </w:tcPr>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产出</w:t>
            </w:r>
          </w:p>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时效（</w:t>
            </w:r>
            <w:r>
              <w:rPr>
                <w:rFonts w:asciiTheme="majorEastAsia" w:eastAsiaTheme="majorEastAsia" w:hAnsiTheme="majorEastAsia" w:cstheme="majorEastAsia" w:hint="eastAsia"/>
                <w:szCs w:val="21"/>
              </w:rPr>
              <w:t>10</w:t>
            </w:r>
            <w:r>
              <w:rPr>
                <w:rFonts w:asciiTheme="majorEastAsia" w:eastAsiaTheme="majorEastAsia" w:hAnsiTheme="majorEastAsia" w:cstheme="majorEastAsia" w:hint="eastAsia"/>
                <w:szCs w:val="21"/>
              </w:rPr>
              <w:t>）</w:t>
            </w:r>
          </w:p>
        </w:tc>
        <w:tc>
          <w:tcPr>
            <w:tcW w:w="1071"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完成</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及时性</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10</w:t>
            </w:r>
            <w:r>
              <w:rPr>
                <w:rFonts w:asciiTheme="majorEastAsia" w:eastAsiaTheme="majorEastAsia" w:hAnsiTheme="majorEastAsia" w:cstheme="majorEastAsia" w:hint="eastAsia"/>
                <w:szCs w:val="21"/>
              </w:rPr>
              <w:t>分）</w:t>
            </w:r>
          </w:p>
        </w:tc>
        <w:tc>
          <w:tcPr>
            <w:tcW w:w="1975"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达到绩效目标完成时间计</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分，超过</w:t>
            </w:r>
            <w:r>
              <w:rPr>
                <w:rFonts w:asciiTheme="majorEastAsia" w:eastAsiaTheme="majorEastAsia" w:hAnsiTheme="majorEastAsia" w:cstheme="majorEastAsia" w:hint="eastAsia"/>
                <w:szCs w:val="21"/>
              </w:rPr>
              <w:t>30%</w:t>
            </w:r>
            <w:r>
              <w:rPr>
                <w:rFonts w:asciiTheme="majorEastAsia" w:eastAsiaTheme="majorEastAsia" w:hAnsiTheme="majorEastAsia" w:cstheme="majorEastAsia" w:hint="eastAsia"/>
                <w:szCs w:val="21"/>
              </w:rPr>
              <w:t>的不计分。</w:t>
            </w:r>
          </w:p>
        </w:tc>
        <w:tc>
          <w:tcPr>
            <w:tcW w:w="4482"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实际完成时间：预算支出实施单位完成该预算支出实际所耗用的时间。</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计划完成时间：按照预算支出实施计划或相关规定完成该预算支出所需的时间。</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w:t>
            </w:r>
          </w:p>
        </w:tc>
      </w:tr>
      <w:tr w:rsidR="0022093C">
        <w:trPr>
          <w:trHeight w:val="454"/>
          <w:jc w:val="center"/>
        </w:trPr>
        <w:tc>
          <w:tcPr>
            <w:tcW w:w="777" w:type="dxa"/>
            <w:shd w:val="clear" w:color="auto" w:fill="auto"/>
            <w:vAlign w:val="center"/>
          </w:tcPr>
          <w:p w:rsidR="0022093C" w:rsidRDefault="006247C0">
            <w:pPr>
              <w:ind w:left="113"/>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lastRenderedPageBreak/>
              <w:t>产</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出</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40</w:t>
            </w:r>
            <w:r>
              <w:rPr>
                <w:rFonts w:asciiTheme="majorEastAsia" w:eastAsiaTheme="majorEastAsia" w:hAnsiTheme="majorEastAsia" w:cstheme="majorEastAsia" w:hint="eastAsia"/>
                <w:szCs w:val="21"/>
              </w:rPr>
              <w:t>）</w:t>
            </w:r>
          </w:p>
        </w:tc>
        <w:tc>
          <w:tcPr>
            <w:tcW w:w="674" w:type="dxa"/>
            <w:shd w:val="clear" w:color="auto" w:fill="auto"/>
            <w:vAlign w:val="center"/>
          </w:tcPr>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产出</w:t>
            </w:r>
          </w:p>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成本（</w:t>
            </w:r>
            <w:r>
              <w:rPr>
                <w:rFonts w:asciiTheme="majorEastAsia" w:eastAsiaTheme="majorEastAsia" w:hAnsiTheme="majorEastAsia" w:cstheme="majorEastAsia" w:hint="eastAsia"/>
                <w:szCs w:val="21"/>
              </w:rPr>
              <w:t>10</w:t>
            </w:r>
            <w:r>
              <w:rPr>
                <w:rFonts w:asciiTheme="majorEastAsia" w:eastAsiaTheme="majorEastAsia" w:hAnsiTheme="majorEastAsia" w:cstheme="majorEastAsia" w:hint="eastAsia"/>
                <w:szCs w:val="21"/>
              </w:rPr>
              <w:t>）</w:t>
            </w:r>
          </w:p>
        </w:tc>
        <w:tc>
          <w:tcPr>
            <w:tcW w:w="1071"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成本</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节约率</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10</w:t>
            </w:r>
            <w:r>
              <w:rPr>
                <w:rFonts w:asciiTheme="majorEastAsia" w:eastAsiaTheme="majorEastAsia" w:hAnsiTheme="majorEastAsia" w:cstheme="majorEastAsia" w:hint="eastAsia"/>
                <w:szCs w:val="21"/>
              </w:rPr>
              <w:t>分）</w:t>
            </w:r>
          </w:p>
        </w:tc>
        <w:tc>
          <w:tcPr>
            <w:tcW w:w="1975" w:type="dxa"/>
            <w:shd w:val="clear" w:color="auto" w:fill="auto"/>
            <w:tcMar>
              <w:top w:w="10" w:type="dxa"/>
              <w:left w:w="10" w:type="dxa"/>
              <w:bottom w:w="0" w:type="dxa"/>
              <w:right w:w="10" w:type="dxa"/>
            </w:tcMar>
            <w:vAlign w:val="center"/>
          </w:tcPr>
          <w:p w:rsidR="0022093C" w:rsidRDefault="006247C0" w:rsidP="00C37286">
            <w:pPr>
              <w:tabs>
                <w:tab w:val="left" w:pos="2604"/>
              </w:tabs>
              <w:spacing w:line="320" w:lineRule="exact"/>
              <w:ind w:leftChars="50" w:left="105" w:rightChars="50" w:right="105" w:firstLineChars="46" w:firstLine="97"/>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计满分，每下降</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个百分点扣</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分，扣完为止。</w:t>
            </w:r>
          </w:p>
        </w:tc>
        <w:tc>
          <w:tcPr>
            <w:tcW w:w="4482"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成本节约率</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（计划成本</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实际成本）</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计划成本</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实际成本：预算支出实施单位如期、保质、保量完成既定工作目标实际所耗费的支出。</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计划成本：预算支出实施单位为完成工作目标计划安排的支出，一般以预算支出预算为参考。</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w:t>
            </w:r>
          </w:p>
        </w:tc>
      </w:tr>
      <w:tr w:rsidR="0022093C">
        <w:trPr>
          <w:trHeight w:val="454"/>
          <w:jc w:val="center"/>
        </w:trPr>
        <w:tc>
          <w:tcPr>
            <w:tcW w:w="777" w:type="dxa"/>
            <w:vMerge w:val="restart"/>
            <w:shd w:val="clear" w:color="auto" w:fill="auto"/>
            <w:noWrap/>
            <w:tcMar>
              <w:top w:w="10" w:type="dxa"/>
              <w:left w:w="10" w:type="dxa"/>
              <w:bottom w:w="0" w:type="dxa"/>
              <w:right w:w="10" w:type="dxa"/>
            </w:tcMar>
            <w:vAlign w:val="center"/>
          </w:tcPr>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效</w:t>
            </w:r>
          </w:p>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益</w:t>
            </w:r>
          </w:p>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30</w:t>
            </w:r>
            <w:r>
              <w:rPr>
                <w:rFonts w:asciiTheme="majorEastAsia" w:eastAsiaTheme="majorEastAsia" w:hAnsiTheme="majorEastAsia" w:cstheme="majorEastAsia" w:hint="eastAsia"/>
                <w:szCs w:val="21"/>
              </w:rPr>
              <w:t>）</w:t>
            </w:r>
          </w:p>
        </w:tc>
        <w:tc>
          <w:tcPr>
            <w:tcW w:w="674" w:type="dxa"/>
            <w:vMerge w:val="restart"/>
            <w:shd w:val="clear" w:color="auto" w:fill="auto"/>
            <w:tcMar>
              <w:top w:w="10" w:type="dxa"/>
              <w:left w:w="10" w:type="dxa"/>
              <w:bottom w:w="0" w:type="dxa"/>
              <w:right w:w="10" w:type="dxa"/>
            </w:tcMar>
            <w:vAlign w:val="center"/>
          </w:tcPr>
          <w:p w:rsidR="0022093C" w:rsidRDefault="006247C0">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预算支出</w:t>
            </w:r>
            <w:r>
              <w:rPr>
                <w:rFonts w:asciiTheme="majorEastAsia" w:eastAsiaTheme="majorEastAsia" w:hAnsiTheme="majorEastAsia" w:cstheme="majorEastAsia" w:hint="eastAsia"/>
                <w:szCs w:val="21"/>
              </w:rPr>
              <w:br/>
            </w:r>
            <w:r>
              <w:rPr>
                <w:rFonts w:asciiTheme="majorEastAsia" w:eastAsiaTheme="majorEastAsia" w:hAnsiTheme="majorEastAsia" w:cstheme="majorEastAsia" w:hint="eastAsia"/>
                <w:szCs w:val="21"/>
              </w:rPr>
              <w:t>效益（</w:t>
            </w:r>
            <w:r>
              <w:rPr>
                <w:rFonts w:asciiTheme="majorEastAsia" w:eastAsiaTheme="majorEastAsia" w:hAnsiTheme="majorEastAsia" w:cstheme="majorEastAsia" w:hint="eastAsia"/>
                <w:szCs w:val="21"/>
              </w:rPr>
              <w:t>10</w:t>
            </w:r>
            <w:r>
              <w:rPr>
                <w:rFonts w:asciiTheme="majorEastAsia" w:eastAsiaTheme="majorEastAsia" w:hAnsiTheme="majorEastAsia" w:cstheme="majorEastAsia" w:hint="eastAsia"/>
                <w:szCs w:val="21"/>
              </w:rPr>
              <w:t>）</w:t>
            </w:r>
          </w:p>
        </w:tc>
        <w:tc>
          <w:tcPr>
            <w:tcW w:w="1071"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实施效益（</w:t>
            </w:r>
            <w:r>
              <w:rPr>
                <w:rFonts w:asciiTheme="majorEastAsia" w:eastAsiaTheme="majorEastAsia" w:hAnsiTheme="majorEastAsia" w:cstheme="majorEastAsia" w:hint="eastAsia"/>
                <w:szCs w:val="21"/>
              </w:rPr>
              <w:t>20</w:t>
            </w:r>
            <w:r>
              <w:rPr>
                <w:rFonts w:asciiTheme="majorEastAsia" w:eastAsiaTheme="majorEastAsia" w:hAnsiTheme="majorEastAsia" w:cstheme="majorEastAsia" w:hint="eastAsia"/>
                <w:szCs w:val="21"/>
              </w:rPr>
              <w:t>分）</w:t>
            </w:r>
          </w:p>
        </w:tc>
        <w:tc>
          <w:tcPr>
            <w:tcW w:w="1975"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达到绩效目标完成时间计</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分，少于</w:t>
            </w:r>
            <w:r>
              <w:rPr>
                <w:rFonts w:asciiTheme="majorEastAsia" w:eastAsiaTheme="majorEastAsia" w:hAnsiTheme="majorEastAsia" w:cstheme="majorEastAsia" w:hint="eastAsia"/>
                <w:szCs w:val="21"/>
              </w:rPr>
              <w:t>60%</w:t>
            </w:r>
            <w:r>
              <w:rPr>
                <w:rFonts w:asciiTheme="majorEastAsia" w:eastAsiaTheme="majorEastAsia" w:hAnsiTheme="majorEastAsia" w:cstheme="majorEastAsia" w:hint="eastAsia"/>
                <w:szCs w:val="21"/>
              </w:rPr>
              <w:t>的不计分。</w:t>
            </w:r>
          </w:p>
        </w:tc>
        <w:tc>
          <w:tcPr>
            <w:tcW w:w="4482"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预算支出实施所产生的社会效益、经济效益、生态效益、可持续影响等。可根据预算支出实际情况有选择地设置和细化。</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20</w:t>
            </w:r>
          </w:p>
        </w:tc>
      </w:tr>
      <w:tr w:rsidR="0022093C">
        <w:trPr>
          <w:trHeight w:val="454"/>
          <w:jc w:val="center"/>
        </w:trPr>
        <w:tc>
          <w:tcPr>
            <w:tcW w:w="777" w:type="dxa"/>
            <w:vMerge/>
            <w:shd w:val="clear" w:color="auto" w:fill="auto"/>
            <w:vAlign w:val="center"/>
          </w:tcPr>
          <w:p w:rsidR="0022093C" w:rsidRDefault="0022093C">
            <w:pPr>
              <w:rPr>
                <w:rFonts w:asciiTheme="majorEastAsia" w:eastAsiaTheme="majorEastAsia" w:hAnsiTheme="majorEastAsia" w:cstheme="majorEastAsia"/>
                <w:szCs w:val="21"/>
              </w:rPr>
            </w:pPr>
          </w:p>
        </w:tc>
        <w:tc>
          <w:tcPr>
            <w:tcW w:w="674" w:type="dxa"/>
            <w:vMerge/>
            <w:shd w:val="clear" w:color="auto" w:fill="auto"/>
            <w:vAlign w:val="center"/>
          </w:tcPr>
          <w:p w:rsidR="0022093C" w:rsidRDefault="0022093C">
            <w:pPr>
              <w:rPr>
                <w:rFonts w:asciiTheme="majorEastAsia" w:eastAsiaTheme="majorEastAsia" w:hAnsiTheme="majorEastAsia" w:cstheme="majorEastAsia"/>
                <w:szCs w:val="21"/>
              </w:rPr>
            </w:pPr>
          </w:p>
        </w:tc>
        <w:tc>
          <w:tcPr>
            <w:tcW w:w="1071"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社会公众</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或服务对</w:t>
            </w:r>
          </w:p>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象满意度（</w:t>
            </w:r>
            <w:r>
              <w:rPr>
                <w:rFonts w:asciiTheme="majorEastAsia" w:eastAsiaTheme="majorEastAsia" w:hAnsiTheme="majorEastAsia" w:cstheme="majorEastAsia" w:hint="eastAsia"/>
                <w:szCs w:val="21"/>
              </w:rPr>
              <w:t>10</w:t>
            </w:r>
            <w:r>
              <w:rPr>
                <w:rFonts w:asciiTheme="majorEastAsia" w:eastAsiaTheme="majorEastAsia" w:hAnsiTheme="majorEastAsia" w:cstheme="majorEastAsia" w:hint="eastAsia"/>
                <w:szCs w:val="21"/>
              </w:rPr>
              <w:t>分）</w:t>
            </w:r>
          </w:p>
        </w:tc>
        <w:tc>
          <w:tcPr>
            <w:tcW w:w="1975"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100%</w:t>
            </w:r>
            <w:r>
              <w:rPr>
                <w:rFonts w:asciiTheme="majorEastAsia" w:eastAsiaTheme="majorEastAsia" w:hAnsiTheme="majorEastAsia" w:cstheme="majorEastAsia" w:hint="eastAsia"/>
                <w:szCs w:val="21"/>
              </w:rPr>
              <w:t>计满分，每下降五个百分点扣</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分，扣完为止。</w:t>
            </w:r>
          </w:p>
        </w:tc>
        <w:tc>
          <w:tcPr>
            <w:tcW w:w="4482" w:type="dxa"/>
            <w:shd w:val="clear" w:color="auto" w:fill="auto"/>
            <w:tcMar>
              <w:top w:w="10" w:type="dxa"/>
              <w:left w:w="10" w:type="dxa"/>
              <w:bottom w:w="0" w:type="dxa"/>
              <w:right w:w="10" w:type="dxa"/>
            </w:tcMar>
            <w:vAlign w:val="center"/>
          </w:tcPr>
          <w:p w:rsidR="0022093C" w:rsidRDefault="006247C0">
            <w:pPr>
              <w:spacing w:line="260" w:lineRule="exact"/>
              <w:ind w:leftChars="50" w:left="105" w:rightChars="50" w:right="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社会公众或服务对象是指因该预算支出实施而受到影响的部门、群体或个人。一般采取社会调查的方式。</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10</w:t>
            </w:r>
          </w:p>
        </w:tc>
      </w:tr>
      <w:tr w:rsidR="0022093C">
        <w:trPr>
          <w:trHeight w:val="870"/>
          <w:jc w:val="center"/>
        </w:trPr>
        <w:tc>
          <w:tcPr>
            <w:tcW w:w="8979" w:type="dxa"/>
            <w:gridSpan w:val="5"/>
            <w:shd w:val="clear" w:color="auto" w:fill="auto"/>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总分</w:t>
            </w:r>
          </w:p>
        </w:tc>
        <w:tc>
          <w:tcPr>
            <w:tcW w:w="954" w:type="dxa"/>
            <w:vAlign w:val="center"/>
          </w:tcPr>
          <w:p w:rsidR="0022093C" w:rsidRDefault="006247C0">
            <w:pPr>
              <w:spacing w:line="260" w:lineRule="exact"/>
              <w:ind w:leftChars="50" w:left="105" w:rightChars="50" w:right="105"/>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97</w:t>
            </w:r>
          </w:p>
        </w:tc>
      </w:tr>
    </w:tbl>
    <w:p w:rsidR="0022093C" w:rsidRDefault="006247C0">
      <w:pPr>
        <w:widowControl/>
        <w:spacing w:line="600" w:lineRule="exact"/>
        <w:ind w:firstLineChars="200" w:firstLine="420"/>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rPr>
        <w:br w:type="page"/>
      </w:r>
    </w:p>
    <w:tbl>
      <w:tblPr>
        <w:tblpPr w:leftFromText="180" w:rightFromText="180" w:vertAnchor="text" w:horzAnchor="page" w:tblpX="1712" w:tblpY="-201"/>
        <w:tblOverlap w:val="never"/>
        <w:tblW w:w="9999" w:type="dxa"/>
        <w:tblLook w:val="04A0"/>
      </w:tblPr>
      <w:tblGrid>
        <w:gridCol w:w="1135"/>
        <w:gridCol w:w="992"/>
        <w:gridCol w:w="1155"/>
        <w:gridCol w:w="1330"/>
        <w:gridCol w:w="1266"/>
        <w:gridCol w:w="1161"/>
        <w:gridCol w:w="828"/>
        <w:gridCol w:w="873"/>
        <w:gridCol w:w="1259"/>
      </w:tblGrid>
      <w:tr w:rsidR="0022093C">
        <w:trPr>
          <w:trHeight w:val="690"/>
        </w:trPr>
        <w:tc>
          <w:tcPr>
            <w:tcW w:w="9999" w:type="dxa"/>
            <w:gridSpan w:val="9"/>
            <w:tcBorders>
              <w:top w:val="nil"/>
              <w:left w:val="nil"/>
              <w:bottom w:val="nil"/>
              <w:right w:val="nil"/>
            </w:tcBorders>
            <w:shd w:val="clear" w:color="auto" w:fill="auto"/>
            <w:noWrap/>
            <w:vAlign w:val="center"/>
          </w:tcPr>
          <w:p w:rsidR="0022093C" w:rsidRDefault="006247C0">
            <w:pPr>
              <w:widowControl/>
              <w:spacing w:line="400" w:lineRule="exact"/>
              <w:jc w:val="lef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lastRenderedPageBreak/>
              <w:t>附件</w:t>
            </w:r>
            <w:r>
              <w:rPr>
                <w:rFonts w:asciiTheme="majorEastAsia" w:eastAsiaTheme="majorEastAsia" w:hAnsiTheme="majorEastAsia" w:cstheme="majorEastAsia" w:hint="eastAsia"/>
                <w:sz w:val="32"/>
                <w:szCs w:val="32"/>
              </w:rPr>
              <w:t>4-2</w:t>
            </w:r>
          </w:p>
          <w:p w:rsidR="0022093C" w:rsidRDefault="0022093C">
            <w:pPr>
              <w:widowControl/>
              <w:spacing w:line="400" w:lineRule="exact"/>
              <w:jc w:val="center"/>
              <w:rPr>
                <w:rFonts w:asciiTheme="majorEastAsia" w:eastAsiaTheme="majorEastAsia" w:hAnsiTheme="majorEastAsia" w:cstheme="majorEastAsia"/>
                <w:color w:val="000000"/>
                <w:kern w:val="0"/>
                <w:sz w:val="36"/>
                <w:szCs w:val="36"/>
              </w:rPr>
            </w:pPr>
          </w:p>
          <w:p w:rsidR="0022093C" w:rsidRDefault="006247C0">
            <w:pPr>
              <w:widowControl/>
              <w:spacing w:line="400" w:lineRule="exact"/>
              <w:jc w:val="center"/>
              <w:rPr>
                <w:rFonts w:asciiTheme="majorEastAsia" w:eastAsiaTheme="majorEastAsia" w:hAnsiTheme="majorEastAsia" w:cstheme="majorEastAsia"/>
                <w:color w:val="000000"/>
                <w:kern w:val="0"/>
                <w:sz w:val="36"/>
                <w:szCs w:val="36"/>
              </w:rPr>
            </w:pPr>
            <w:r>
              <w:rPr>
                <w:rFonts w:asciiTheme="majorEastAsia" w:eastAsiaTheme="majorEastAsia" w:hAnsiTheme="majorEastAsia" w:cstheme="majorEastAsia" w:hint="eastAsia"/>
                <w:color w:val="000000"/>
                <w:kern w:val="0"/>
                <w:sz w:val="36"/>
                <w:szCs w:val="36"/>
              </w:rPr>
              <w:t>预算支出绩效自评表</w:t>
            </w:r>
          </w:p>
        </w:tc>
      </w:tr>
      <w:tr w:rsidR="0022093C">
        <w:trPr>
          <w:trHeight w:val="270"/>
        </w:trPr>
        <w:tc>
          <w:tcPr>
            <w:tcW w:w="9999" w:type="dxa"/>
            <w:gridSpan w:val="9"/>
            <w:tcBorders>
              <w:top w:val="nil"/>
              <w:left w:val="nil"/>
              <w:bottom w:val="single" w:sz="4" w:space="0" w:color="auto"/>
              <w:right w:val="nil"/>
            </w:tcBorders>
            <w:shd w:val="clear" w:color="auto" w:fill="auto"/>
            <w:noWrap/>
            <w:vAlign w:val="center"/>
          </w:tcPr>
          <w:p w:rsidR="0022093C" w:rsidRDefault="006247C0">
            <w:pPr>
              <w:widowControl/>
              <w:spacing w:line="320" w:lineRule="exact"/>
              <w:jc w:val="center"/>
              <w:rPr>
                <w:rFonts w:asciiTheme="majorEastAsia" w:eastAsiaTheme="majorEastAsia" w:hAnsiTheme="majorEastAsia" w:cstheme="majorEastAsia"/>
                <w:color w:val="000000"/>
                <w:kern w:val="0"/>
                <w:sz w:val="22"/>
              </w:rPr>
            </w:pPr>
            <w:r>
              <w:rPr>
                <w:rFonts w:asciiTheme="majorEastAsia" w:eastAsiaTheme="majorEastAsia" w:hAnsiTheme="majorEastAsia" w:cstheme="majorEastAsia" w:hint="eastAsia"/>
                <w:color w:val="000000"/>
                <w:kern w:val="0"/>
                <w:sz w:val="22"/>
              </w:rPr>
              <w:t>（</w:t>
            </w:r>
            <w:r>
              <w:rPr>
                <w:rFonts w:asciiTheme="majorEastAsia" w:eastAsiaTheme="majorEastAsia" w:hAnsiTheme="majorEastAsia" w:cstheme="majorEastAsia" w:hint="eastAsia"/>
                <w:color w:val="000000"/>
                <w:kern w:val="0"/>
                <w:sz w:val="22"/>
              </w:rPr>
              <w:t>2019</w:t>
            </w:r>
            <w:r>
              <w:rPr>
                <w:rFonts w:asciiTheme="majorEastAsia" w:eastAsiaTheme="majorEastAsia" w:hAnsiTheme="majorEastAsia" w:cstheme="majorEastAsia" w:hint="eastAsia"/>
                <w:color w:val="000000"/>
                <w:kern w:val="0"/>
                <w:sz w:val="22"/>
              </w:rPr>
              <w:t>年度）</w:t>
            </w:r>
          </w:p>
        </w:tc>
      </w:tr>
      <w:tr w:rsidR="0022093C">
        <w:trPr>
          <w:trHeight w:val="585"/>
        </w:trPr>
        <w:tc>
          <w:tcPr>
            <w:tcW w:w="1135" w:type="dxa"/>
            <w:tcBorders>
              <w:top w:val="nil"/>
              <w:left w:val="single" w:sz="4" w:space="0" w:color="auto"/>
              <w:bottom w:val="single" w:sz="4" w:space="0" w:color="auto"/>
              <w:right w:val="single" w:sz="4" w:space="0" w:color="auto"/>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项目支</w:t>
            </w:r>
          </w:p>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商贸专项业务经费　</w:t>
            </w:r>
          </w:p>
        </w:tc>
      </w:tr>
      <w:tr w:rsidR="0022093C" w:rsidTr="00C37286">
        <w:trPr>
          <w:trHeight w:val="340"/>
        </w:trPr>
        <w:tc>
          <w:tcPr>
            <w:tcW w:w="1135" w:type="dxa"/>
            <w:tcBorders>
              <w:top w:val="nil"/>
              <w:left w:val="single" w:sz="4" w:space="0" w:color="auto"/>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主管部门</w:t>
            </w:r>
          </w:p>
        </w:tc>
        <w:tc>
          <w:tcPr>
            <w:tcW w:w="4743" w:type="dxa"/>
            <w:gridSpan w:val="4"/>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鹤城区商务局</w:t>
            </w:r>
          </w:p>
        </w:tc>
        <w:tc>
          <w:tcPr>
            <w:tcW w:w="1161" w:type="dxa"/>
            <w:tcBorders>
              <w:top w:val="single" w:sz="4" w:space="0" w:color="auto"/>
              <w:left w:val="nil"/>
              <w:bottom w:val="single" w:sz="4" w:space="0" w:color="auto"/>
              <w:right w:val="single" w:sz="4" w:space="0" w:color="000000"/>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实施单位</w:t>
            </w:r>
          </w:p>
        </w:tc>
        <w:tc>
          <w:tcPr>
            <w:tcW w:w="2960" w:type="dxa"/>
            <w:gridSpan w:val="3"/>
            <w:tcBorders>
              <w:top w:val="single" w:sz="4" w:space="0" w:color="auto"/>
              <w:left w:val="nil"/>
              <w:bottom w:val="single" w:sz="4" w:space="0" w:color="auto"/>
              <w:right w:val="single" w:sz="4" w:space="0" w:color="auto"/>
            </w:tcBorders>
            <w:shd w:val="clear" w:color="auto" w:fill="auto"/>
            <w:vAlign w:val="center"/>
          </w:tcPr>
          <w:p w:rsidR="0022093C" w:rsidRDefault="0022093C">
            <w:pPr>
              <w:widowControl/>
              <w:spacing w:line="320" w:lineRule="exact"/>
              <w:jc w:val="left"/>
              <w:rPr>
                <w:rFonts w:asciiTheme="majorEastAsia" w:eastAsiaTheme="majorEastAsia" w:hAnsiTheme="majorEastAsia" w:cstheme="majorEastAsia"/>
                <w:color w:val="000000"/>
                <w:kern w:val="0"/>
                <w:szCs w:val="21"/>
              </w:rPr>
            </w:pPr>
          </w:p>
        </w:tc>
      </w:tr>
      <w:tr w:rsidR="0022093C" w:rsidTr="00C37286">
        <w:trPr>
          <w:trHeight w:val="340"/>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项目资金</w:t>
            </w:r>
            <w:r>
              <w:rPr>
                <w:rFonts w:asciiTheme="majorEastAsia" w:eastAsiaTheme="majorEastAsia" w:hAnsiTheme="majorEastAsia" w:cstheme="majorEastAsia" w:hint="eastAsia"/>
                <w:color w:val="000000"/>
                <w:kern w:val="0"/>
                <w:szCs w:val="21"/>
              </w:rPr>
              <w:br/>
            </w:r>
            <w:r>
              <w:rPr>
                <w:rFonts w:asciiTheme="majorEastAsia" w:eastAsiaTheme="majorEastAsia" w:hAnsiTheme="majorEastAsia" w:cstheme="majorEastAsia" w:hint="eastAsia"/>
                <w:color w:val="000000"/>
                <w:kern w:val="0"/>
                <w:szCs w:val="21"/>
              </w:rPr>
              <w:t>（万元）</w:t>
            </w:r>
          </w:p>
        </w:tc>
        <w:tc>
          <w:tcPr>
            <w:tcW w:w="2147" w:type="dxa"/>
            <w:gridSpan w:val="2"/>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330"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年初预算数</w:t>
            </w:r>
          </w:p>
        </w:tc>
        <w:tc>
          <w:tcPr>
            <w:tcW w:w="1266"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全年预算数</w:t>
            </w:r>
          </w:p>
        </w:tc>
        <w:tc>
          <w:tcPr>
            <w:tcW w:w="1161" w:type="dxa"/>
            <w:tcBorders>
              <w:top w:val="nil"/>
              <w:left w:val="nil"/>
              <w:bottom w:val="single" w:sz="4" w:space="0" w:color="auto"/>
              <w:right w:val="single" w:sz="4" w:space="0" w:color="auto"/>
            </w:tcBorders>
            <w:shd w:val="clear" w:color="auto" w:fill="auto"/>
          </w:tcPr>
          <w:p w:rsidR="0022093C" w:rsidRDefault="006247C0">
            <w:pPr>
              <w:spacing w:line="32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全年执行数</w:t>
            </w:r>
          </w:p>
        </w:tc>
        <w:tc>
          <w:tcPr>
            <w:tcW w:w="828" w:type="dxa"/>
            <w:tcBorders>
              <w:top w:val="nil"/>
              <w:left w:val="nil"/>
              <w:bottom w:val="single" w:sz="4" w:space="0" w:color="auto"/>
              <w:right w:val="single" w:sz="4" w:space="0" w:color="auto"/>
            </w:tcBorders>
            <w:shd w:val="clear" w:color="auto" w:fill="auto"/>
          </w:tcPr>
          <w:p w:rsidR="0022093C" w:rsidRDefault="006247C0">
            <w:pPr>
              <w:spacing w:line="32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分值</w:t>
            </w:r>
          </w:p>
        </w:tc>
        <w:tc>
          <w:tcPr>
            <w:tcW w:w="873" w:type="dxa"/>
            <w:tcBorders>
              <w:top w:val="nil"/>
              <w:left w:val="nil"/>
              <w:bottom w:val="single" w:sz="4" w:space="0" w:color="auto"/>
              <w:right w:val="single" w:sz="4" w:space="0" w:color="auto"/>
            </w:tcBorders>
            <w:shd w:val="clear" w:color="auto" w:fill="auto"/>
          </w:tcPr>
          <w:p w:rsidR="0022093C" w:rsidRDefault="006247C0">
            <w:pPr>
              <w:spacing w:line="32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执行率</w:t>
            </w:r>
          </w:p>
        </w:tc>
        <w:tc>
          <w:tcPr>
            <w:tcW w:w="1259" w:type="dxa"/>
            <w:tcBorders>
              <w:top w:val="nil"/>
              <w:left w:val="nil"/>
              <w:bottom w:val="single" w:sz="4" w:space="0" w:color="auto"/>
              <w:right w:val="single" w:sz="4" w:space="0" w:color="auto"/>
            </w:tcBorders>
            <w:shd w:val="clear" w:color="auto" w:fill="auto"/>
          </w:tcPr>
          <w:p w:rsidR="0022093C" w:rsidRDefault="006247C0">
            <w:pPr>
              <w:spacing w:line="32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得分</w:t>
            </w:r>
          </w:p>
        </w:tc>
      </w:tr>
      <w:tr w:rsidR="0022093C" w:rsidTr="00C37286">
        <w:trPr>
          <w:trHeight w:val="340"/>
        </w:trPr>
        <w:tc>
          <w:tcPr>
            <w:tcW w:w="1135" w:type="dxa"/>
            <w:vMerge/>
            <w:tcBorders>
              <w:top w:val="nil"/>
              <w:left w:val="single" w:sz="4" w:space="0" w:color="auto"/>
              <w:bottom w:val="single" w:sz="4" w:space="0" w:color="000000"/>
              <w:right w:val="single" w:sz="4" w:space="0" w:color="auto"/>
            </w:tcBorders>
            <w:vAlign w:val="center"/>
          </w:tcPr>
          <w:p w:rsidR="0022093C" w:rsidRDefault="0022093C">
            <w:pPr>
              <w:widowControl/>
              <w:spacing w:line="320" w:lineRule="exact"/>
              <w:jc w:val="left"/>
              <w:rPr>
                <w:rFonts w:asciiTheme="majorEastAsia" w:eastAsiaTheme="majorEastAsia" w:hAnsiTheme="majorEastAsia" w:cstheme="majorEastAsia"/>
                <w:color w:val="000000"/>
                <w:kern w:val="0"/>
                <w:szCs w:val="21"/>
              </w:rPr>
            </w:pPr>
          </w:p>
        </w:tc>
        <w:tc>
          <w:tcPr>
            <w:tcW w:w="2147" w:type="dxa"/>
            <w:gridSpan w:val="2"/>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年度资金总额　</w:t>
            </w:r>
          </w:p>
        </w:tc>
        <w:tc>
          <w:tcPr>
            <w:tcW w:w="1330"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712.50</w:t>
            </w:r>
          </w:p>
        </w:tc>
        <w:tc>
          <w:tcPr>
            <w:tcW w:w="1266"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712.50</w:t>
            </w:r>
          </w:p>
        </w:tc>
        <w:tc>
          <w:tcPr>
            <w:tcW w:w="1161"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311.44</w:t>
            </w:r>
          </w:p>
        </w:tc>
        <w:tc>
          <w:tcPr>
            <w:tcW w:w="828"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56.29%</w:t>
            </w:r>
          </w:p>
        </w:tc>
        <w:tc>
          <w:tcPr>
            <w:tcW w:w="1259"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6</w:t>
            </w:r>
          </w:p>
        </w:tc>
      </w:tr>
      <w:tr w:rsidR="0022093C" w:rsidTr="00C37286">
        <w:trPr>
          <w:trHeight w:val="340"/>
        </w:trPr>
        <w:tc>
          <w:tcPr>
            <w:tcW w:w="1135" w:type="dxa"/>
            <w:vMerge/>
            <w:tcBorders>
              <w:top w:val="nil"/>
              <w:left w:val="single" w:sz="4" w:space="0" w:color="auto"/>
              <w:bottom w:val="single" w:sz="4" w:space="0" w:color="000000"/>
              <w:right w:val="single" w:sz="4" w:space="0" w:color="auto"/>
            </w:tcBorders>
            <w:vAlign w:val="center"/>
          </w:tcPr>
          <w:p w:rsidR="0022093C" w:rsidRDefault="0022093C">
            <w:pPr>
              <w:widowControl/>
              <w:spacing w:line="320" w:lineRule="exact"/>
              <w:jc w:val="left"/>
              <w:rPr>
                <w:rFonts w:asciiTheme="majorEastAsia" w:eastAsiaTheme="majorEastAsia" w:hAnsiTheme="majorEastAsia" w:cstheme="majorEastAsia"/>
                <w:color w:val="000000"/>
                <w:kern w:val="0"/>
                <w:szCs w:val="21"/>
              </w:rPr>
            </w:pPr>
          </w:p>
        </w:tc>
        <w:tc>
          <w:tcPr>
            <w:tcW w:w="2147" w:type="dxa"/>
            <w:gridSpan w:val="2"/>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其中：当年财政拨款　</w:t>
            </w:r>
          </w:p>
        </w:tc>
        <w:tc>
          <w:tcPr>
            <w:tcW w:w="1330"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712.5</w:t>
            </w:r>
          </w:p>
        </w:tc>
        <w:tc>
          <w:tcPr>
            <w:tcW w:w="1266"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712.5</w:t>
            </w:r>
          </w:p>
        </w:tc>
        <w:tc>
          <w:tcPr>
            <w:tcW w:w="1161"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311.44</w:t>
            </w:r>
          </w:p>
        </w:tc>
        <w:tc>
          <w:tcPr>
            <w:tcW w:w="828"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259"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22093C" w:rsidTr="00C37286">
        <w:trPr>
          <w:trHeight w:val="340"/>
        </w:trPr>
        <w:tc>
          <w:tcPr>
            <w:tcW w:w="1135" w:type="dxa"/>
            <w:vMerge/>
            <w:tcBorders>
              <w:top w:val="nil"/>
              <w:left w:val="single" w:sz="4" w:space="0" w:color="auto"/>
              <w:bottom w:val="single" w:sz="4" w:space="0" w:color="000000"/>
              <w:right w:val="single" w:sz="4" w:space="0" w:color="auto"/>
            </w:tcBorders>
            <w:vAlign w:val="center"/>
          </w:tcPr>
          <w:p w:rsidR="0022093C" w:rsidRDefault="0022093C">
            <w:pPr>
              <w:widowControl/>
              <w:spacing w:line="320" w:lineRule="exact"/>
              <w:jc w:val="left"/>
              <w:rPr>
                <w:rFonts w:asciiTheme="majorEastAsia" w:eastAsiaTheme="majorEastAsia" w:hAnsiTheme="majorEastAsia" w:cstheme="majorEastAsia"/>
                <w:color w:val="000000"/>
                <w:kern w:val="0"/>
                <w:szCs w:val="21"/>
              </w:rPr>
            </w:pPr>
          </w:p>
        </w:tc>
        <w:tc>
          <w:tcPr>
            <w:tcW w:w="2147" w:type="dxa"/>
            <w:gridSpan w:val="2"/>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ind w:firstLineChars="300" w:firstLine="630"/>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上年结转资金　</w:t>
            </w:r>
          </w:p>
        </w:tc>
        <w:tc>
          <w:tcPr>
            <w:tcW w:w="1330"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0</w:t>
            </w:r>
          </w:p>
        </w:tc>
        <w:tc>
          <w:tcPr>
            <w:tcW w:w="1266"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0</w:t>
            </w:r>
          </w:p>
        </w:tc>
        <w:tc>
          <w:tcPr>
            <w:tcW w:w="1161"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0</w:t>
            </w:r>
          </w:p>
        </w:tc>
        <w:tc>
          <w:tcPr>
            <w:tcW w:w="828"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259"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22093C" w:rsidTr="00C37286">
        <w:trPr>
          <w:trHeight w:val="340"/>
        </w:trPr>
        <w:tc>
          <w:tcPr>
            <w:tcW w:w="1135" w:type="dxa"/>
            <w:vMerge/>
            <w:tcBorders>
              <w:top w:val="nil"/>
              <w:left w:val="single" w:sz="4" w:space="0" w:color="auto"/>
              <w:bottom w:val="single" w:sz="4" w:space="0" w:color="000000"/>
              <w:right w:val="single" w:sz="4" w:space="0" w:color="auto"/>
            </w:tcBorders>
            <w:vAlign w:val="center"/>
          </w:tcPr>
          <w:p w:rsidR="0022093C" w:rsidRDefault="0022093C">
            <w:pPr>
              <w:widowControl/>
              <w:spacing w:line="320" w:lineRule="exact"/>
              <w:jc w:val="left"/>
              <w:rPr>
                <w:rFonts w:asciiTheme="majorEastAsia" w:eastAsiaTheme="majorEastAsia" w:hAnsiTheme="majorEastAsia" w:cstheme="majorEastAsia"/>
                <w:color w:val="000000"/>
                <w:kern w:val="0"/>
                <w:szCs w:val="21"/>
              </w:rPr>
            </w:pPr>
          </w:p>
        </w:tc>
        <w:tc>
          <w:tcPr>
            <w:tcW w:w="2147" w:type="dxa"/>
            <w:gridSpan w:val="2"/>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ind w:firstLineChars="300" w:firstLine="630"/>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其他资金</w:t>
            </w:r>
          </w:p>
        </w:tc>
        <w:tc>
          <w:tcPr>
            <w:tcW w:w="1330"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0</w:t>
            </w:r>
          </w:p>
        </w:tc>
        <w:tc>
          <w:tcPr>
            <w:tcW w:w="1266"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0</w:t>
            </w:r>
          </w:p>
        </w:tc>
        <w:tc>
          <w:tcPr>
            <w:tcW w:w="1161"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0</w:t>
            </w:r>
          </w:p>
        </w:tc>
        <w:tc>
          <w:tcPr>
            <w:tcW w:w="828"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259" w:type="dxa"/>
            <w:tcBorders>
              <w:top w:val="nil"/>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22093C">
        <w:trPr>
          <w:trHeight w:val="340"/>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年度总</w:t>
            </w:r>
          </w:p>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体目标</w:t>
            </w:r>
          </w:p>
        </w:tc>
        <w:tc>
          <w:tcPr>
            <w:tcW w:w="4743" w:type="dxa"/>
            <w:gridSpan w:val="4"/>
            <w:tcBorders>
              <w:top w:val="single" w:sz="4" w:space="0" w:color="auto"/>
              <w:left w:val="nil"/>
              <w:bottom w:val="single" w:sz="4" w:space="0" w:color="auto"/>
              <w:right w:val="single" w:sz="4" w:space="0" w:color="000000"/>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预期目标</w:t>
            </w:r>
          </w:p>
        </w:tc>
        <w:tc>
          <w:tcPr>
            <w:tcW w:w="4121" w:type="dxa"/>
            <w:gridSpan w:val="4"/>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实际完成情况　</w:t>
            </w:r>
          </w:p>
        </w:tc>
      </w:tr>
      <w:tr w:rsidR="0022093C">
        <w:trPr>
          <w:trHeight w:val="1714"/>
        </w:trPr>
        <w:tc>
          <w:tcPr>
            <w:tcW w:w="1135" w:type="dxa"/>
            <w:vMerge/>
            <w:tcBorders>
              <w:top w:val="nil"/>
              <w:left w:val="single" w:sz="4" w:space="0" w:color="auto"/>
              <w:bottom w:val="single" w:sz="4" w:space="0" w:color="auto"/>
              <w:right w:val="single" w:sz="4" w:space="0" w:color="auto"/>
            </w:tcBorders>
            <w:vAlign w:val="center"/>
          </w:tcPr>
          <w:p w:rsidR="0022093C" w:rsidRDefault="0022093C">
            <w:pPr>
              <w:widowControl/>
              <w:spacing w:line="320" w:lineRule="exact"/>
              <w:jc w:val="left"/>
              <w:rPr>
                <w:rFonts w:asciiTheme="majorEastAsia" w:eastAsiaTheme="majorEastAsia" w:hAnsiTheme="majorEastAsia" w:cstheme="majorEastAsia"/>
                <w:color w:val="000000"/>
                <w:kern w:val="0"/>
                <w:szCs w:val="21"/>
              </w:rPr>
            </w:pPr>
          </w:p>
        </w:tc>
        <w:tc>
          <w:tcPr>
            <w:tcW w:w="4743" w:type="dxa"/>
            <w:gridSpan w:val="4"/>
            <w:tcBorders>
              <w:top w:val="single" w:sz="4" w:space="0" w:color="auto"/>
              <w:left w:val="nil"/>
              <w:bottom w:val="single" w:sz="4" w:space="0" w:color="auto"/>
              <w:right w:val="single" w:sz="4" w:space="0" w:color="000000"/>
            </w:tcBorders>
            <w:shd w:val="clear" w:color="auto" w:fill="auto"/>
            <w:vAlign w:val="center"/>
          </w:tcPr>
          <w:p w:rsidR="0022093C" w:rsidRDefault="006247C0">
            <w:pPr>
              <w:widowControl/>
              <w:numPr>
                <w:ilvl w:val="0"/>
                <w:numId w:val="7"/>
              </w:numPr>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促进商贸服务业和社区商业发展促进城乡市场发展；</w:t>
            </w:r>
          </w:p>
          <w:p w:rsidR="0022093C" w:rsidRDefault="006247C0">
            <w:pPr>
              <w:widowControl/>
              <w:numPr>
                <w:ilvl w:val="0"/>
                <w:numId w:val="7"/>
              </w:numPr>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加强招商引资、承接产业转移、对外投资和对外经济合作的政策措施和实施办法指导流通企业改革。</w:t>
            </w:r>
          </w:p>
        </w:tc>
        <w:tc>
          <w:tcPr>
            <w:tcW w:w="4121" w:type="dxa"/>
            <w:gridSpan w:val="4"/>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numPr>
                <w:ilvl w:val="0"/>
                <w:numId w:val="8"/>
              </w:numPr>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全区实现社会消费品零售总额增幅</w:t>
            </w:r>
            <w:r>
              <w:rPr>
                <w:rFonts w:asciiTheme="majorEastAsia" w:eastAsiaTheme="majorEastAsia" w:hAnsiTheme="majorEastAsia" w:cstheme="majorEastAsia" w:hint="eastAsia"/>
                <w:color w:val="000000"/>
                <w:kern w:val="0"/>
                <w:szCs w:val="21"/>
              </w:rPr>
              <w:t>9.8%</w:t>
            </w:r>
            <w:r>
              <w:rPr>
                <w:rFonts w:asciiTheme="majorEastAsia" w:eastAsiaTheme="majorEastAsia" w:hAnsiTheme="majorEastAsia" w:cstheme="majorEastAsia" w:hint="eastAsia"/>
                <w:color w:val="000000"/>
                <w:kern w:val="0"/>
                <w:szCs w:val="21"/>
              </w:rPr>
              <w:t>，与去年同比增长</w:t>
            </w:r>
            <w:r>
              <w:rPr>
                <w:rFonts w:asciiTheme="majorEastAsia" w:eastAsiaTheme="majorEastAsia" w:hAnsiTheme="majorEastAsia" w:cstheme="majorEastAsia" w:hint="eastAsia"/>
                <w:color w:val="000000"/>
                <w:kern w:val="0"/>
                <w:szCs w:val="21"/>
              </w:rPr>
              <w:t>0.3%</w:t>
            </w:r>
            <w:r>
              <w:rPr>
                <w:rFonts w:asciiTheme="majorEastAsia" w:eastAsiaTheme="majorEastAsia" w:hAnsiTheme="majorEastAsia" w:cstheme="majorEastAsia" w:hint="eastAsia"/>
                <w:color w:val="000000"/>
                <w:kern w:val="0"/>
                <w:szCs w:val="21"/>
              </w:rPr>
              <w:t>，占全市贡献值</w:t>
            </w:r>
            <w:r>
              <w:rPr>
                <w:rFonts w:asciiTheme="majorEastAsia" w:eastAsiaTheme="majorEastAsia" w:hAnsiTheme="majorEastAsia" w:cstheme="majorEastAsia" w:hint="eastAsia"/>
                <w:color w:val="000000"/>
                <w:kern w:val="0"/>
                <w:szCs w:val="21"/>
              </w:rPr>
              <w:t>33%</w:t>
            </w:r>
            <w:r>
              <w:rPr>
                <w:rFonts w:asciiTheme="majorEastAsia" w:eastAsiaTheme="majorEastAsia" w:hAnsiTheme="majorEastAsia" w:cstheme="majorEastAsia" w:hint="eastAsia"/>
                <w:color w:val="000000"/>
                <w:kern w:val="0"/>
                <w:szCs w:val="21"/>
              </w:rPr>
              <w:t>，限上企业零售总额占全市</w:t>
            </w:r>
            <w:r>
              <w:rPr>
                <w:rFonts w:asciiTheme="majorEastAsia" w:eastAsiaTheme="majorEastAsia" w:hAnsiTheme="majorEastAsia" w:cstheme="majorEastAsia" w:hint="eastAsia"/>
                <w:color w:val="000000"/>
                <w:kern w:val="0"/>
                <w:szCs w:val="21"/>
              </w:rPr>
              <w:t>80%</w:t>
            </w:r>
            <w:r>
              <w:rPr>
                <w:rFonts w:asciiTheme="majorEastAsia" w:eastAsiaTheme="majorEastAsia" w:hAnsiTheme="majorEastAsia" w:cstheme="majorEastAsia" w:hint="eastAsia"/>
                <w:color w:val="000000"/>
                <w:kern w:val="0"/>
                <w:szCs w:val="21"/>
              </w:rPr>
              <w:t>左右；</w:t>
            </w:r>
          </w:p>
          <w:p w:rsidR="0022093C" w:rsidRDefault="006247C0">
            <w:pPr>
              <w:widowControl/>
              <w:numPr>
                <w:ilvl w:val="0"/>
                <w:numId w:val="8"/>
              </w:numPr>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招商引资省外到位资金</w:t>
            </w:r>
            <w:r>
              <w:rPr>
                <w:rFonts w:asciiTheme="majorEastAsia" w:eastAsiaTheme="majorEastAsia" w:hAnsiTheme="majorEastAsia" w:cstheme="majorEastAsia" w:hint="eastAsia"/>
                <w:color w:val="000000"/>
                <w:kern w:val="0"/>
                <w:szCs w:val="21"/>
              </w:rPr>
              <w:t>25.8</w:t>
            </w:r>
            <w:r>
              <w:rPr>
                <w:rFonts w:asciiTheme="majorEastAsia" w:eastAsiaTheme="majorEastAsia" w:hAnsiTheme="majorEastAsia" w:cstheme="majorEastAsia" w:hint="eastAsia"/>
                <w:color w:val="000000"/>
                <w:kern w:val="0"/>
                <w:szCs w:val="21"/>
              </w:rPr>
              <w:t>亿元，完成年计划的</w:t>
            </w:r>
            <w:r>
              <w:rPr>
                <w:rFonts w:asciiTheme="majorEastAsia" w:eastAsiaTheme="majorEastAsia" w:hAnsiTheme="majorEastAsia" w:cstheme="majorEastAsia" w:hint="eastAsia"/>
                <w:color w:val="000000"/>
                <w:kern w:val="0"/>
                <w:szCs w:val="21"/>
              </w:rPr>
              <w:t>80.6 %</w:t>
            </w:r>
            <w:r>
              <w:rPr>
                <w:rFonts w:asciiTheme="majorEastAsia" w:eastAsiaTheme="majorEastAsia" w:hAnsiTheme="majorEastAsia" w:cstheme="majorEastAsia" w:hint="eastAsia"/>
                <w:color w:val="000000"/>
                <w:kern w:val="0"/>
                <w:szCs w:val="21"/>
              </w:rPr>
              <w:t>，全市排名靠前</w:t>
            </w:r>
            <w:r>
              <w:rPr>
                <w:rFonts w:asciiTheme="majorEastAsia" w:eastAsiaTheme="majorEastAsia" w:hAnsiTheme="majorEastAsia" w:cstheme="majorEastAsia" w:hint="eastAsia"/>
                <w:color w:val="000000"/>
                <w:kern w:val="0"/>
                <w:szCs w:val="21"/>
              </w:rPr>
              <w:t>。</w:t>
            </w:r>
          </w:p>
          <w:p w:rsidR="0022093C" w:rsidRDefault="0022093C">
            <w:pPr>
              <w:widowControl/>
              <w:spacing w:line="320" w:lineRule="exact"/>
              <w:jc w:val="left"/>
              <w:rPr>
                <w:rFonts w:asciiTheme="majorEastAsia" w:eastAsiaTheme="majorEastAsia" w:hAnsiTheme="majorEastAsia" w:cstheme="majorEastAsia"/>
                <w:color w:val="000000"/>
                <w:kern w:val="0"/>
                <w:szCs w:val="21"/>
              </w:rPr>
            </w:pPr>
          </w:p>
        </w:tc>
      </w:tr>
      <w:tr w:rsidR="0022093C" w:rsidTr="00C37286">
        <w:trPr>
          <w:trHeight w:val="868"/>
        </w:trPr>
        <w:tc>
          <w:tcPr>
            <w:tcW w:w="1135" w:type="dxa"/>
            <w:vMerge w:val="restart"/>
            <w:tcBorders>
              <w:top w:val="single" w:sz="4" w:space="0" w:color="auto"/>
              <w:left w:val="single" w:sz="4" w:space="0" w:color="auto"/>
              <w:right w:val="single" w:sz="4" w:space="0" w:color="auto"/>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绩</w:t>
            </w:r>
          </w:p>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效</w:t>
            </w:r>
          </w:p>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指</w:t>
            </w:r>
          </w:p>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一级指标</w:t>
            </w:r>
          </w:p>
        </w:tc>
        <w:tc>
          <w:tcPr>
            <w:tcW w:w="1155" w:type="dxa"/>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二级指标</w:t>
            </w:r>
          </w:p>
        </w:tc>
        <w:tc>
          <w:tcPr>
            <w:tcW w:w="1330" w:type="dxa"/>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三级指标</w:t>
            </w:r>
          </w:p>
        </w:tc>
        <w:tc>
          <w:tcPr>
            <w:tcW w:w="1266" w:type="dxa"/>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年度</w:t>
            </w:r>
          </w:p>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指标值</w:t>
            </w:r>
          </w:p>
        </w:tc>
        <w:tc>
          <w:tcPr>
            <w:tcW w:w="1161" w:type="dxa"/>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实际</w:t>
            </w:r>
          </w:p>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得分</w:t>
            </w:r>
          </w:p>
        </w:tc>
        <w:tc>
          <w:tcPr>
            <w:tcW w:w="1259" w:type="dxa"/>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偏差原因</w:t>
            </w:r>
          </w:p>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分析及</w:t>
            </w:r>
          </w:p>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改进措施</w:t>
            </w:r>
          </w:p>
        </w:tc>
      </w:tr>
      <w:tr w:rsidR="0022093C" w:rsidTr="00C37286">
        <w:trPr>
          <w:trHeight w:val="340"/>
        </w:trPr>
        <w:tc>
          <w:tcPr>
            <w:tcW w:w="1135" w:type="dxa"/>
            <w:vMerge/>
            <w:tcBorders>
              <w:left w:val="single" w:sz="4" w:space="0" w:color="auto"/>
              <w:right w:val="single" w:sz="4" w:space="0" w:color="auto"/>
            </w:tcBorders>
            <w:shd w:val="clear" w:color="auto" w:fill="auto"/>
            <w:vAlign w:val="center"/>
          </w:tcPr>
          <w:p w:rsidR="0022093C" w:rsidRDefault="0022093C">
            <w:pPr>
              <w:spacing w:line="320" w:lineRule="exact"/>
              <w:jc w:val="center"/>
              <w:rPr>
                <w:rFonts w:asciiTheme="majorEastAsia" w:eastAsiaTheme="majorEastAsia" w:hAnsiTheme="majorEastAsia" w:cstheme="majorEastAsia"/>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产出</w:t>
            </w:r>
          </w:p>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指标</w:t>
            </w:r>
          </w:p>
          <w:p w:rsidR="0022093C" w:rsidRDefault="0022093C">
            <w:pPr>
              <w:widowControl/>
              <w:spacing w:line="320" w:lineRule="exact"/>
              <w:jc w:val="center"/>
              <w:rPr>
                <w:rFonts w:asciiTheme="majorEastAsia" w:eastAsiaTheme="majorEastAsia" w:hAnsiTheme="majorEastAsia" w:cstheme="majorEastAsia"/>
                <w:color w:val="000000"/>
                <w:kern w:val="0"/>
                <w:szCs w:val="21"/>
              </w:rPr>
            </w:pPr>
          </w:p>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(50</w:t>
            </w:r>
            <w:r>
              <w:rPr>
                <w:rFonts w:asciiTheme="majorEastAsia" w:eastAsiaTheme="majorEastAsia" w:hAnsiTheme="majorEastAsia" w:cstheme="majorEastAsia" w:hint="eastAsia"/>
                <w:color w:val="000000"/>
                <w:kern w:val="0"/>
                <w:szCs w:val="21"/>
              </w:rPr>
              <w:t>分</w:t>
            </w:r>
            <w:r>
              <w:rPr>
                <w:rFonts w:asciiTheme="majorEastAsia" w:eastAsiaTheme="majorEastAsia" w:hAnsiTheme="majorEastAsia" w:cstheme="majorEastAsia" w:hint="eastAsia"/>
                <w:color w:val="000000"/>
                <w:kern w:val="0"/>
                <w:szCs w:val="21"/>
              </w:rPr>
              <w:t>)</w:t>
            </w:r>
          </w:p>
        </w:tc>
        <w:tc>
          <w:tcPr>
            <w:tcW w:w="1155" w:type="dxa"/>
            <w:vMerge w:val="restart"/>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数量指标</w:t>
            </w:r>
          </w:p>
        </w:tc>
        <w:tc>
          <w:tcPr>
            <w:tcW w:w="1330" w:type="dxa"/>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产业招商</w:t>
            </w:r>
            <w:r>
              <w:rPr>
                <w:rFonts w:asciiTheme="majorEastAsia" w:eastAsiaTheme="majorEastAsia" w:hAnsiTheme="majorEastAsia" w:cstheme="majorEastAsia" w:hint="eastAsia"/>
                <w:color w:val="000000"/>
                <w:kern w:val="0"/>
                <w:szCs w:val="21"/>
              </w:rPr>
              <w:t>、</w:t>
            </w:r>
          </w:p>
        </w:tc>
        <w:tc>
          <w:tcPr>
            <w:tcW w:w="1266" w:type="dxa"/>
            <w:tcBorders>
              <w:top w:val="single" w:sz="4" w:space="0" w:color="auto"/>
              <w:left w:val="nil"/>
              <w:bottom w:val="single" w:sz="4" w:space="0" w:color="auto"/>
              <w:right w:val="single" w:sz="4" w:space="0" w:color="auto"/>
            </w:tcBorders>
            <w:shd w:val="clear" w:color="auto" w:fill="auto"/>
            <w:vAlign w:val="center"/>
          </w:tcPr>
          <w:p w:rsidR="0022093C" w:rsidRDefault="006247C0"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招商</w:t>
            </w:r>
            <w:r>
              <w:rPr>
                <w:rFonts w:asciiTheme="majorEastAsia" w:eastAsiaTheme="majorEastAsia" w:hAnsiTheme="majorEastAsia" w:cstheme="majorEastAsia" w:hint="eastAsia"/>
                <w:color w:val="000000"/>
                <w:kern w:val="0"/>
                <w:szCs w:val="21"/>
              </w:rPr>
              <w:t>10</w:t>
            </w:r>
            <w:r>
              <w:rPr>
                <w:rFonts w:asciiTheme="majorEastAsia" w:eastAsiaTheme="majorEastAsia" w:hAnsiTheme="majorEastAsia" w:cstheme="majorEastAsia" w:hint="eastAsia"/>
                <w:color w:val="000000"/>
                <w:kern w:val="0"/>
                <w:szCs w:val="21"/>
              </w:rPr>
              <w:t>次</w:t>
            </w:r>
          </w:p>
        </w:tc>
        <w:tc>
          <w:tcPr>
            <w:tcW w:w="1161" w:type="dxa"/>
            <w:tcBorders>
              <w:top w:val="single" w:sz="4" w:space="0" w:color="auto"/>
              <w:left w:val="nil"/>
              <w:bottom w:val="single" w:sz="4" w:space="0" w:color="auto"/>
              <w:right w:val="single" w:sz="4" w:space="0" w:color="auto"/>
            </w:tcBorders>
            <w:shd w:val="clear" w:color="auto" w:fill="auto"/>
            <w:vAlign w:val="center"/>
          </w:tcPr>
          <w:p w:rsidR="0022093C" w:rsidRDefault="006247C0"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招商</w:t>
            </w:r>
            <w:r>
              <w:rPr>
                <w:rFonts w:asciiTheme="majorEastAsia" w:eastAsiaTheme="majorEastAsia" w:hAnsiTheme="majorEastAsia" w:cstheme="majorEastAsia" w:hint="eastAsia"/>
                <w:color w:val="000000"/>
                <w:kern w:val="0"/>
                <w:szCs w:val="21"/>
              </w:rPr>
              <w:t>20</w:t>
            </w:r>
            <w:r>
              <w:rPr>
                <w:rFonts w:asciiTheme="majorEastAsia" w:eastAsiaTheme="majorEastAsia" w:hAnsiTheme="majorEastAsia" w:cstheme="majorEastAsia" w:hint="eastAsia"/>
                <w:color w:val="000000"/>
                <w:kern w:val="0"/>
                <w:szCs w:val="21"/>
              </w:rPr>
              <w:t>次，签约项目</w:t>
            </w:r>
            <w:r>
              <w:rPr>
                <w:rFonts w:asciiTheme="majorEastAsia" w:eastAsiaTheme="majorEastAsia" w:hAnsiTheme="majorEastAsia" w:cstheme="majorEastAsia" w:hint="eastAsia"/>
                <w:color w:val="000000"/>
                <w:kern w:val="0"/>
                <w:szCs w:val="21"/>
              </w:rPr>
              <w:t>10</w:t>
            </w:r>
            <w:r>
              <w:rPr>
                <w:rFonts w:asciiTheme="majorEastAsia" w:eastAsiaTheme="majorEastAsia" w:hAnsiTheme="majorEastAsia" w:cstheme="majorEastAsia" w:hint="eastAsia"/>
                <w:color w:val="000000"/>
                <w:kern w:val="0"/>
                <w:szCs w:val="21"/>
              </w:rPr>
              <w:t>个</w:t>
            </w:r>
          </w:p>
        </w:tc>
        <w:tc>
          <w:tcPr>
            <w:tcW w:w="828" w:type="dxa"/>
            <w:vMerge w:val="restart"/>
            <w:tcBorders>
              <w:top w:val="single" w:sz="4" w:space="0" w:color="auto"/>
              <w:left w:val="nil"/>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20</w:t>
            </w:r>
          </w:p>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vMerge w:val="restart"/>
            <w:tcBorders>
              <w:top w:val="single" w:sz="4" w:space="0" w:color="auto"/>
              <w:left w:val="nil"/>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20</w:t>
            </w:r>
            <w:r>
              <w:rPr>
                <w:rFonts w:asciiTheme="majorEastAsia" w:eastAsiaTheme="majorEastAsia" w:hAnsiTheme="majorEastAsia" w:cstheme="majorEastAsia" w:hint="eastAsia"/>
                <w:color w:val="000000"/>
                <w:kern w:val="0"/>
                <w:szCs w:val="21"/>
              </w:rPr>
              <w:t xml:space="preserve">　</w:t>
            </w:r>
          </w:p>
        </w:tc>
        <w:tc>
          <w:tcPr>
            <w:tcW w:w="1259" w:type="dxa"/>
            <w:vMerge w:val="restart"/>
            <w:tcBorders>
              <w:top w:val="single" w:sz="4" w:space="0" w:color="auto"/>
              <w:left w:val="nil"/>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22093C" w:rsidTr="00C37286">
        <w:trPr>
          <w:trHeight w:val="340"/>
        </w:trPr>
        <w:tc>
          <w:tcPr>
            <w:tcW w:w="1135" w:type="dxa"/>
            <w:vMerge/>
            <w:tcBorders>
              <w:left w:val="single" w:sz="4" w:space="0" w:color="auto"/>
              <w:right w:val="single" w:sz="4" w:space="0" w:color="auto"/>
            </w:tcBorders>
            <w:shd w:val="clear" w:color="auto" w:fill="auto"/>
            <w:vAlign w:val="center"/>
          </w:tcPr>
          <w:p w:rsidR="0022093C" w:rsidRDefault="0022093C">
            <w:pPr>
              <w:spacing w:line="320" w:lineRule="exact"/>
              <w:jc w:val="center"/>
              <w:rPr>
                <w:rFonts w:asciiTheme="majorEastAsia" w:eastAsiaTheme="majorEastAsia" w:hAnsiTheme="majorEastAsia" w:cs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2093C" w:rsidRDefault="0022093C">
            <w:pPr>
              <w:spacing w:line="320" w:lineRule="exact"/>
              <w:jc w:val="left"/>
              <w:rPr>
                <w:rFonts w:asciiTheme="majorEastAsia" w:eastAsiaTheme="majorEastAsia" w:hAnsiTheme="majorEastAsia" w:cstheme="majorEastAsia"/>
                <w:color w:val="000000"/>
                <w:kern w:val="0"/>
                <w:szCs w:val="21"/>
              </w:rPr>
            </w:pPr>
          </w:p>
        </w:tc>
        <w:tc>
          <w:tcPr>
            <w:tcW w:w="1155" w:type="dxa"/>
            <w:vMerge/>
            <w:tcBorders>
              <w:top w:val="single" w:sz="4" w:space="0" w:color="auto"/>
              <w:left w:val="nil"/>
              <w:bottom w:val="single" w:sz="4" w:space="0" w:color="auto"/>
              <w:right w:val="single" w:sz="4" w:space="0" w:color="auto"/>
            </w:tcBorders>
            <w:shd w:val="clear" w:color="auto" w:fill="auto"/>
            <w:vAlign w:val="center"/>
          </w:tcPr>
          <w:p w:rsidR="0022093C" w:rsidRDefault="0022093C">
            <w:pPr>
              <w:widowControl/>
              <w:spacing w:line="320" w:lineRule="exact"/>
              <w:jc w:val="center"/>
              <w:rPr>
                <w:rFonts w:asciiTheme="majorEastAsia" w:eastAsiaTheme="majorEastAsia" w:hAnsiTheme="majorEastAsia" w:cstheme="majorEastAsia"/>
                <w:color w:val="000000"/>
                <w:kern w:val="0"/>
                <w:szCs w:val="21"/>
              </w:rPr>
            </w:pPr>
          </w:p>
        </w:tc>
        <w:tc>
          <w:tcPr>
            <w:tcW w:w="1330" w:type="dxa"/>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稳消费、保增长</w:t>
            </w:r>
          </w:p>
        </w:tc>
        <w:tc>
          <w:tcPr>
            <w:tcW w:w="1266" w:type="dxa"/>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提高社会消费品零售总额增长值</w:t>
            </w:r>
          </w:p>
        </w:tc>
        <w:tc>
          <w:tcPr>
            <w:tcW w:w="1161" w:type="dxa"/>
            <w:tcBorders>
              <w:top w:val="single" w:sz="4" w:space="0" w:color="auto"/>
              <w:left w:val="nil"/>
              <w:bottom w:val="single" w:sz="4" w:space="0" w:color="auto"/>
              <w:right w:val="single" w:sz="4" w:space="0" w:color="auto"/>
            </w:tcBorders>
            <w:shd w:val="clear" w:color="auto" w:fill="auto"/>
            <w:vAlign w:val="center"/>
          </w:tcPr>
          <w:p w:rsidR="0022093C" w:rsidRDefault="006247C0"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增长</w:t>
            </w:r>
            <w:r>
              <w:rPr>
                <w:rFonts w:asciiTheme="majorEastAsia" w:eastAsiaTheme="majorEastAsia" w:hAnsiTheme="majorEastAsia" w:cstheme="majorEastAsia" w:hint="eastAsia"/>
                <w:color w:val="000000"/>
                <w:kern w:val="0"/>
                <w:szCs w:val="21"/>
              </w:rPr>
              <w:t>0.3%</w:t>
            </w:r>
            <w:r>
              <w:rPr>
                <w:rFonts w:asciiTheme="majorEastAsia" w:eastAsiaTheme="majorEastAsia" w:hAnsiTheme="majorEastAsia" w:cstheme="majorEastAsia" w:hint="eastAsia"/>
                <w:color w:val="000000"/>
                <w:kern w:val="0"/>
                <w:szCs w:val="21"/>
              </w:rPr>
              <w:t>。</w:t>
            </w:r>
          </w:p>
        </w:tc>
        <w:tc>
          <w:tcPr>
            <w:tcW w:w="828" w:type="dxa"/>
            <w:vMerge/>
            <w:tcBorders>
              <w:left w:val="nil"/>
              <w:bottom w:val="single" w:sz="4" w:space="0" w:color="auto"/>
              <w:right w:val="single" w:sz="4" w:space="0" w:color="auto"/>
            </w:tcBorders>
            <w:shd w:val="clear" w:color="auto" w:fill="auto"/>
            <w:vAlign w:val="center"/>
          </w:tcPr>
          <w:p w:rsidR="0022093C" w:rsidRDefault="0022093C">
            <w:pPr>
              <w:widowControl/>
              <w:spacing w:line="320" w:lineRule="exact"/>
              <w:jc w:val="left"/>
              <w:rPr>
                <w:rFonts w:asciiTheme="majorEastAsia" w:eastAsiaTheme="majorEastAsia" w:hAnsiTheme="majorEastAsia" w:cstheme="majorEastAsia"/>
                <w:color w:val="000000"/>
                <w:kern w:val="0"/>
                <w:szCs w:val="21"/>
              </w:rPr>
            </w:pPr>
          </w:p>
        </w:tc>
        <w:tc>
          <w:tcPr>
            <w:tcW w:w="873" w:type="dxa"/>
            <w:vMerge/>
            <w:tcBorders>
              <w:left w:val="nil"/>
              <w:bottom w:val="single" w:sz="4" w:space="0" w:color="auto"/>
              <w:right w:val="single" w:sz="4" w:space="0" w:color="auto"/>
            </w:tcBorders>
            <w:shd w:val="clear" w:color="auto" w:fill="auto"/>
            <w:vAlign w:val="center"/>
          </w:tcPr>
          <w:p w:rsidR="0022093C" w:rsidRDefault="0022093C">
            <w:pPr>
              <w:widowControl/>
              <w:spacing w:line="320" w:lineRule="exact"/>
              <w:jc w:val="left"/>
              <w:rPr>
                <w:rFonts w:asciiTheme="majorEastAsia" w:eastAsiaTheme="majorEastAsia" w:hAnsiTheme="majorEastAsia" w:cstheme="majorEastAsia"/>
                <w:color w:val="000000"/>
                <w:kern w:val="0"/>
                <w:szCs w:val="21"/>
              </w:rPr>
            </w:pPr>
          </w:p>
        </w:tc>
        <w:tc>
          <w:tcPr>
            <w:tcW w:w="1259" w:type="dxa"/>
            <w:vMerge/>
            <w:tcBorders>
              <w:left w:val="nil"/>
              <w:bottom w:val="single" w:sz="4" w:space="0" w:color="auto"/>
              <w:right w:val="single" w:sz="4" w:space="0" w:color="auto"/>
            </w:tcBorders>
            <w:shd w:val="clear" w:color="auto" w:fill="auto"/>
            <w:vAlign w:val="center"/>
          </w:tcPr>
          <w:p w:rsidR="0022093C" w:rsidRDefault="0022093C">
            <w:pPr>
              <w:widowControl/>
              <w:spacing w:line="320" w:lineRule="exact"/>
              <w:jc w:val="left"/>
              <w:rPr>
                <w:rFonts w:asciiTheme="majorEastAsia" w:eastAsiaTheme="majorEastAsia" w:hAnsiTheme="majorEastAsia" w:cstheme="majorEastAsia"/>
                <w:color w:val="000000"/>
                <w:kern w:val="0"/>
                <w:szCs w:val="21"/>
              </w:rPr>
            </w:pPr>
          </w:p>
        </w:tc>
      </w:tr>
      <w:tr w:rsidR="0022093C" w:rsidTr="00C37286">
        <w:trPr>
          <w:trHeight w:val="340"/>
        </w:trPr>
        <w:tc>
          <w:tcPr>
            <w:tcW w:w="1135" w:type="dxa"/>
            <w:vMerge/>
            <w:tcBorders>
              <w:left w:val="single" w:sz="4" w:space="0" w:color="auto"/>
              <w:right w:val="single" w:sz="4" w:space="0" w:color="auto"/>
            </w:tcBorders>
            <w:shd w:val="clear" w:color="auto" w:fill="auto"/>
            <w:vAlign w:val="center"/>
          </w:tcPr>
          <w:p w:rsidR="0022093C" w:rsidRDefault="0022093C">
            <w:pPr>
              <w:spacing w:line="320" w:lineRule="exact"/>
              <w:jc w:val="center"/>
              <w:rPr>
                <w:rFonts w:asciiTheme="majorEastAsia" w:eastAsiaTheme="majorEastAsia" w:hAnsiTheme="majorEastAsia" w:cs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2093C" w:rsidRDefault="0022093C">
            <w:pPr>
              <w:spacing w:line="320" w:lineRule="exact"/>
              <w:jc w:val="left"/>
              <w:rPr>
                <w:rFonts w:asciiTheme="majorEastAsia" w:eastAsiaTheme="majorEastAsia" w:hAnsiTheme="majorEastAsia" w:cstheme="majorEastAsia"/>
                <w:color w:val="000000"/>
                <w:kern w:val="0"/>
                <w:szCs w:val="21"/>
              </w:rPr>
            </w:pPr>
          </w:p>
        </w:tc>
        <w:tc>
          <w:tcPr>
            <w:tcW w:w="1155" w:type="dxa"/>
            <w:vMerge w:val="restart"/>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质量指标</w:t>
            </w:r>
          </w:p>
        </w:tc>
        <w:tc>
          <w:tcPr>
            <w:tcW w:w="1330" w:type="dxa"/>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招商引资省外到位资金</w:t>
            </w:r>
          </w:p>
        </w:tc>
        <w:tc>
          <w:tcPr>
            <w:tcW w:w="1266" w:type="dxa"/>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20</w:t>
            </w:r>
            <w:r>
              <w:rPr>
                <w:rFonts w:asciiTheme="majorEastAsia" w:eastAsiaTheme="majorEastAsia" w:hAnsiTheme="majorEastAsia" w:cstheme="majorEastAsia" w:hint="eastAsia"/>
                <w:color w:val="000000"/>
                <w:kern w:val="0"/>
                <w:szCs w:val="21"/>
              </w:rPr>
              <w:t>亿元</w:t>
            </w:r>
          </w:p>
        </w:tc>
        <w:tc>
          <w:tcPr>
            <w:tcW w:w="1161" w:type="dxa"/>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25.8</w:t>
            </w:r>
            <w:r>
              <w:rPr>
                <w:rFonts w:asciiTheme="majorEastAsia" w:eastAsiaTheme="majorEastAsia" w:hAnsiTheme="majorEastAsia" w:cstheme="majorEastAsia" w:hint="eastAsia"/>
                <w:color w:val="000000"/>
                <w:kern w:val="0"/>
                <w:szCs w:val="21"/>
              </w:rPr>
              <w:t>亿元</w:t>
            </w:r>
          </w:p>
        </w:tc>
        <w:tc>
          <w:tcPr>
            <w:tcW w:w="828" w:type="dxa"/>
            <w:vMerge w:val="restart"/>
            <w:tcBorders>
              <w:top w:val="single" w:sz="4" w:space="0" w:color="auto"/>
              <w:left w:val="nil"/>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20</w:t>
            </w:r>
            <w:r>
              <w:rPr>
                <w:rFonts w:asciiTheme="majorEastAsia" w:eastAsiaTheme="majorEastAsia" w:hAnsiTheme="majorEastAsia" w:cstheme="majorEastAsia" w:hint="eastAsia"/>
                <w:color w:val="000000"/>
                <w:kern w:val="0"/>
                <w:szCs w:val="21"/>
              </w:rPr>
              <w:t xml:space="preserve">　</w:t>
            </w:r>
          </w:p>
        </w:tc>
        <w:tc>
          <w:tcPr>
            <w:tcW w:w="873" w:type="dxa"/>
            <w:vMerge w:val="restart"/>
            <w:tcBorders>
              <w:top w:val="single" w:sz="4" w:space="0" w:color="auto"/>
              <w:left w:val="nil"/>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r>
              <w:rPr>
                <w:rFonts w:asciiTheme="majorEastAsia" w:eastAsiaTheme="majorEastAsia" w:hAnsiTheme="majorEastAsia" w:cstheme="majorEastAsia" w:hint="eastAsia"/>
                <w:color w:val="000000"/>
                <w:kern w:val="0"/>
                <w:szCs w:val="21"/>
              </w:rPr>
              <w:t>20</w:t>
            </w:r>
          </w:p>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259" w:type="dxa"/>
            <w:vMerge w:val="restart"/>
            <w:tcBorders>
              <w:top w:val="single" w:sz="4" w:space="0" w:color="auto"/>
              <w:left w:val="nil"/>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22093C" w:rsidTr="00C37286">
        <w:trPr>
          <w:trHeight w:val="340"/>
        </w:trPr>
        <w:tc>
          <w:tcPr>
            <w:tcW w:w="1135" w:type="dxa"/>
            <w:vMerge/>
            <w:tcBorders>
              <w:left w:val="single" w:sz="4" w:space="0" w:color="auto"/>
              <w:right w:val="single" w:sz="4" w:space="0" w:color="auto"/>
            </w:tcBorders>
            <w:shd w:val="clear" w:color="auto" w:fill="auto"/>
            <w:vAlign w:val="center"/>
          </w:tcPr>
          <w:p w:rsidR="0022093C" w:rsidRDefault="0022093C">
            <w:pPr>
              <w:spacing w:line="320" w:lineRule="exact"/>
              <w:jc w:val="center"/>
              <w:rPr>
                <w:rFonts w:asciiTheme="majorEastAsia" w:eastAsiaTheme="majorEastAsia" w:hAnsiTheme="majorEastAsia" w:cs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2093C" w:rsidRDefault="0022093C">
            <w:pPr>
              <w:spacing w:line="320" w:lineRule="exact"/>
              <w:jc w:val="left"/>
              <w:rPr>
                <w:rFonts w:asciiTheme="majorEastAsia" w:eastAsiaTheme="majorEastAsia" w:hAnsiTheme="majorEastAsia" w:cstheme="majorEastAsia"/>
                <w:color w:val="000000"/>
                <w:kern w:val="0"/>
                <w:szCs w:val="21"/>
              </w:rPr>
            </w:pPr>
          </w:p>
        </w:tc>
        <w:tc>
          <w:tcPr>
            <w:tcW w:w="1155" w:type="dxa"/>
            <w:vMerge/>
            <w:tcBorders>
              <w:top w:val="single" w:sz="4" w:space="0" w:color="auto"/>
              <w:left w:val="nil"/>
              <w:bottom w:val="single" w:sz="4" w:space="0" w:color="auto"/>
              <w:right w:val="single" w:sz="4" w:space="0" w:color="auto"/>
            </w:tcBorders>
            <w:shd w:val="clear" w:color="auto" w:fill="auto"/>
            <w:vAlign w:val="center"/>
          </w:tcPr>
          <w:p w:rsidR="0022093C" w:rsidRDefault="0022093C">
            <w:pPr>
              <w:widowControl/>
              <w:spacing w:line="320" w:lineRule="exact"/>
              <w:jc w:val="center"/>
              <w:rPr>
                <w:rFonts w:asciiTheme="majorEastAsia" w:eastAsiaTheme="majorEastAsia" w:hAnsiTheme="majorEastAsia" w:cstheme="majorEastAsia"/>
                <w:color w:val="000000"/>
                <w:kern w:val="0"/>
                <w:szCs w:val="21"/>
              </w:rPr>
            </w:pPr>
          </w:p>
        </w:tc>
        <w:tc>
          <w:tcPr>
            <w:tcW w:w="1330" w:type="dxa"/>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社会消费品零售额增长</w:t>
            </w:r>
          </w:p>
        </w:tc>
        <w:tc>
          <w:tcPr>
            <w:tcW w:w="1266" w:type="dxa"/>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增幅</w:t>
            </w:r>
            <w:r>
              <w:rPr>
                <w:rFonts w:asciiTheme="majorEastAsia" w:eastAsiaTheme="majorEastAsia" w:hAnsiTheme="majorEastAsia" w:cstheme="majorEastAsia" w:hint="eastAsia"/>
                <w:color w:val="000000"/>
                <w:kern w:val="0"/>
                <w:szCs w:val="21"/>
              </w:rPr>
              <w:t>8%</w:t>
            </w:r>
          </w:p>
        </w:tc>
        <w:tc>
          <w:tcPr>
            <w:tcW w:w="1161" w:type="dxa"/>
            <w:tcBorders>
              <w:top w:val="single" w:sz="4" w:space="0" w:color="auto"/>
              <w:left w:val="nil"/>
              <w:bottom w:val="single" w:sz="4" w:space="0" w:color="auto"/>
              <w:right w:val="single" w:sz="4" w:space="0" w:color="auto"/>
            </w:tcBorders>
            <w:shd w:val="clear" w:color="auto" w:fill="auto"/>
            <w:vAlign w:val="center"/>
          </w:tcPr>
          <w:p w:rsidR="0022093C" w:rsidRDefault="006247C0">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9.8%</w:t>
            </w:r>
            <w:r>
              <w:rPr>
                <w:rFonts w:asciiTheme="majorEastAsia" w:eastAsiaTheme="majorEastAsia" w:hAnsiTheme="majorEastAsia" w:cstheme="majorEastAsia" w:hint="eastAsia"/>
                <w:color w:val="000000"/>
                <w:kern w:val="0"/>
                <w:szCs w:val="21"/>
              </w:rPr>
              <w:t xml:space="preserve">　</w:t>
            </w:r>
          </w:p>
        </w:tc>
        <w:tc>
          <w:tcPr>
            <w:tcW w:w="828" w:type="dxa"/>
            <w:vMerge/>
            <w:tcBorders>
              <w:left w:val="nil"/>
              <w:bottom w:val="single" w:sz="4" w:space="0" w:color="auto"/>
              <w:right w:val="single" w:sz="4" w:space="0" w:color="auto"/>
            </w:tcBorders>
            <w:shd w:val="clear" w:color="auto" w:fill="auto"/>
            <w:vAlign w:val="center"/>
          </w:tcPr>
          <w:p w:rsidR="0022093C" w:rsidRDefault="0022093C">
            <w:pPr>
              <w:widowControl/>
              <w:spacing w:line="320" w:lineRule="exact"/>
              <w:jc w:val="left"/>
              <w:rPr>
                <w:rFonts w:asciiTheme="majorEastAsia" w:eastAsiaTheme="majorEastAsia" w:hAnsiTheme="majorEastAsia" w:cstheme="majorEastAsia"/>
                <w:color w:val="000000"/>
                <w:kern w:val="0"/>
                <w:szCs w:val="21"/>
              </w:rPr>
            </w:pPr>
          </w:p>
        </w:tc>
        <w:tc>
          <w:tcPr>
            <w:tcW w:w="873" w:type="dxa"/>
            <w:vMerge/>
            <w:tcBorders>
              <w:left w:val="nil"/>
              <w:bottom w:val="single" w:sz="4" w:space="0" w:color="auto"/>
              <w:right w:val="single" w:sz="4" w:space="0" w:color="auto"/>
            </w:tcBorders>
            <w:shd w:val="clear" w:color="auto" w:fill="auto"/>
            <w:vAlign w:val="center"/>
          </w:tcPr>
          <w:p w:rsidR="0022093C" w:rsidRDefault="0022093C">
            <w:pPr>
              <w:widowControl/>
              <w:spacing w:line="320" w:lineRule="exact"/>
              <w:jc w:val="left"/>
              <w:rPr>
                <w:rFonts w:asciiTheme="majorEastAsia" w:eastAsiaTheme="majorEastAsia" w:hAnsiTheme="majorEastAsia" w:cstheme="majorEastAsia"/>
                <w:color w:val="000000"/>
                <w:kern w:val="0"/>
                <w:szCs w:val="21"/>
              </w:rPr>
            </w:pPr>
          </w:p>
        </w:tc>
        <w:tc>
          <w:tcPr>
            <w:tcW w:w="1259" w:type="dxa"/>
            <w:vMerge/>
            <w:tcBorders>
              <w:left w:val="nil"/>
              <w:bottom w:val="single" w:sz="4" w:space="0" w:color="auto"/>
              <w:right w:val="single" w:sz="4" w:space="0" w:color="auto"/>
            </w:tcBorders>
            <w:shd w:val="clear" w:color="auto" w:fill="auto"/>
            <w:vAlign w:val="center"/>
          </w:tcPr>
          <w:p w:rsidR="0022093C" w:rsidRDefault="0022093C">
            <w:pPr>
              <w:widowControl/>
              <w:spacing w:line="320" w:lineRule="exact"/>
              <w:jc w:val="left"/>
              <w:rPr>
                <w:rFonts w:asciiTheme="majorEastAsia" w:eastAsiaTheme="majorEastAsia" w:hAnsiTheme="majorEastAsia" w:cstheme="majorEastAsia"/>
                <w:color w:val="000000"/>
                <w:kern w:val="0"/>
                <w:szCs w:val="21"/>
              </w:rPr>
            </w:pPr>
          </w:p>
        </w:tc>
      </w:tr>
      <w:tr w:rsidR="00C37286" w:rsidTr="00C37286">
        <w:trPr>
          <w:trHeight w:val="340"/>
        </w:trPr>
        <w:tc>
          <w:tcPr>
            <w:tcW w:w="1135" w:type="dxa"/>
            <w:vMerge/>
            <w:tcBorders>
              <w:left w:val="single" w:sz="4" w:space="0" w:color="auto"/>
              <w:right w:val="single" w:sz="4" w:space="0" w:color="auto"/>
            </w:tcBorders>
            <w:shd w:val="clear" w:color="auto" w:fill="auto"/>
            <w:vAlign w:val="center"/>
          </w:tcPr>
          <w:p w:rsidR="00C37286" w:rsidRDefault="00C37286" w:rsidP="00C37286">
            <w:pPr>
              <w:spacing w:line="320" w:lineRule="exact"/>
              <w:jc w:val="center"/>
              <w:rPr>
                <w:rFonts w:asciiTheme="majorEastAsia" w:eastAsiaTheme="majorEastAsia" w:hAnsiTheme="majorEastAsia" w:cs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spacing w:line="320" w:lineRule="exact"/>
              <w:jc w:val="left"/>
              <w:rPr>
                <w:rFonts w:asciiTheme="majorEastAsia" w:eastAsiaTheme="majorEastAsia" w:hAnsiTheme="majorEastAsia" w:cstheme="majorEastAsia"/>
                <w:color w:val="000000"/>
                <w:kern w:val="0"/>
                <w:szCs w:val="21"/>
              </w:rPr>
            </w:pPr>
          </w:p>
        </w:tc>
        <w:tc>
          <w:tcPr>
            <w:tcW w:w="1155" w:type="dxa"/>
            <w:vMerge w:val="restart"/>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时效指标</w:t>
            </w:r>
          </w:p>
        </w:tc>
        <w:tc>
          <w:tcPr>
            <w:tcW w:w="1330" w:type="dxa"/>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开展招商引资工作</w:t>
            </w:r>
          </w:p>
        </w:tc>
        <w:tc>
          <w:tcPr>
            <w:tcW w:w="1266" w:type="dxa"/>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全年</w:t>
            </w:r>
          </w:p>
        </w:tc>
        <w:tc>
          <w:tcPr>
            <w:tcW w:w="1161" w:type="dxa"/>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全年</w:t>
            </w:r>
          </w:p>
        </w:tc>
        <w:tc>
          <w:tcPr>
            <w:tcW w:w="828" w:type="dxa"/>
            <w:vMerge w:val="restart"/>
            <w:tcBorders>
              <w:top w:val="single" w:sz="4" w:space="0" w:color="auto"/>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vMerge w:val="restart"/>
            <w:tcBorders>
              <w:top w:val="single" w:sz="4" w:space="0" w:color="auto"/>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259" w:type="dxa"/>
            <w:vMerge w:val="restart"/>
            <w:tcBorders>
              <w:top w:val="single" w:sz="4" w:space="0" w:color="auto"/>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C37286" w:rsidTr="00C37286">
        <w:trPr>
          <w:trHeight w:val="340"/>
        </w:trPr>
        <w:tc>
          <w:tcPr>
            <w:tcW w:w="1135" w:type="dxa"/>
            <w:vMerge/>
            <w:tcBorders>
              <w:left w:val="single" w:sz="4" w:space="0" w:color="auto"/>
              <w:right w:val="single" w:sz="4" w:space="0" w:color="auto"/>
            </w:tcBorders>
            <w:shd w:val="clear" w:color="auto" w:fill="auto"/>
            <w:vAlign w:val="center"/>
          </w:tcPr>
          <w:p w:rsidR="00C37286" w:rsidRDefault="00C37286" w:rsidP="00C37286">
            <w:pPr>
              <w:spacing w:line="320" w:lineRule="exact"/>
              <w:jc w:val="center"/>
              <w:rPr>
                <w:rFonts w:asciiTheme="majorEastAsia" w:eastAsiaTheme="majorEastAsia" w:hAnsiTheme="majorEastAsia" w:cs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spacing w:line="320" w:lineRule="exact"/>
              <w:jc w:val="left"/>
              <w:rPr>
                <w:rFonts w:asciiTheme="majorEastAsia" w:eastAsiaTheme="majorEastAsia" w:hAnsiTheme="majorEastAsia" w:cstheme="majorEastAsia"/>
                <w:color w:val="000000"/>
                <w:kern w:val="0"/>
                <w:szCs w:val="21"/>
              </w:rPr>
            </w:pPr>
          </w:p>
        </w:tc>
        <w:tc>
          <w:tcPr>
            <w:tcW w:w="1155" w:type="dxa"/>
            <w:vMerge/>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p>
        </w:tc>
        <w:tc>
          <w:tcPr>
            <w:tcW w:w="1330" w:type="dxa"/>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商贸服务各项指标</w:t>
            </w:r>
          </w:p>
        </w:tc>
        <w:tc>
          <w:tcPr>
            <w:tcW w:w="1266" w:type="dxa"/>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全年</w:t>
            </w:r>
          </w:p>
        </w:tc>
        <w:tc>
          <w:tcPr>
            <w:tcW w:w="1161" w:type="dxa"/>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全年</w:t>
            </w:r>
          </w:p>
        </w:tc>
        <w:tc>
          <w:tcPr>
            <w:tcW w:w="828" w:type="dxa"/>
            <w:vMerge/>
            <w:tcBorders>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c>
          <w:tcPr>
            <w:tcW w:w="873" w:type="dxa"/>
            <w:vMerge/>
            <w:tcBorders>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c>
          <w:tcPr>
            <w:tcW w:w="1259" w:type="dxa"/>
            <w:vMerge/>
            <w:tcBorders>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r>
      <w:tr w:rsidR="00C37286" w:rsidTr="00C37286">
        <w:trPr>
          <w:trHeight w:val="340"/>
        </w:trPr>
        <w:tc>
          <w:tcPr>
            <w:tcW w:w="1135" w:type="dxa"/>
            <w:vMerge/>
            <w:tcBorders>
              <w:left w:val="single" w:sz="4" w:space="0" w:color="auto"/>
              <w:right w:val="single" w:sz="4" w:space="0" w:color="auto"/>
            </w:tcBorders>
            <w:shd w:val="clear" w:color="auto" w:fill="auto"/>
            <w:vAlign w:val="center"/>
          </w:tcPr>
          <w:p w:rsidR="00C37286" w:rsidRDefault="00C37286" w:rsidP="00C37286">
            <w:pPr>
              <w:spacing w:line="320" w:lineRule="exact"/>
              <w:jc w:val="center"/>
              <w:rPr>
                <w:rFonts w:asciiTheme="majorEastAsia" w:eastAsiaTheme="majorEastAsia" w:hAnsiTheme="majorEastAsia" w:cs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spacing w:line="320" w:lineRule="exact"/>
              <w:jc w:val="left"/>
              <w:rPr>
                <w:rFonts w:asciiTheme="majorEastAsia" w:eastAsiaTheme="majorEastAsia" w:hAnsiTheme="majorEastAsia" w:cstheme="majorEastAsia"/>
                <w:color w:val="000000"/>
                <w:kern w:val="0"/>
                <w:szCs w:val="21"/>
              </w:rPr>
            </w:pPr>
          </w:p>
        </w:tc>
        <w:tc>
          <w:tcPr>
            <w:tcW w:w="1155" w:type="dxa"/>
            <w:vMerge w:val="restart"/>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成本指标</w:t>
            </w:r>
          </w:p>
        </w:tc>
        <w:tc>
          <w:tcPr>
            <w:tcW w:w="1330" w:type="dxa"/>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完成招商引资到位资金</w:t>
            </w:r>
          </w:p>
        </w:tc>
        <w:tc>
          <w:tcPr>
            <w:tcW w:w="1266" w:type="dxa"/>
            <w:vMerge w:val="restart"/>
            <w:tcBorders>
              <w:top w:val="single" w:sz="4" w:space="0" w:color="auto"/>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712.5</w:t>
            </w:r>
          </w:p>
        </w:tc>
        <w:tc>
          <w:tcPr>
            <w:tcW w:w="1161" w:type="dxa"/>
            <w:vMerge w:val="restart"/>
            <w:tcBorders>
              <w:top w:val="single" w:sz="4" w:space="0" w:color="auto"/>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311.44</w:t>
            </w:r>
          </w:p>
        </w:tc>
        <w:tc>
          <w:tcPr>
            <w:tcW w:w="828" w:type="dxa"/>
            <w:vMerge w:val="restart"/>
            <w:tcBorders>
              <w:top w:val="single" w:sz="4" w:space="0" w:color="auto"/>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vMerge w:val="restart"/>
            <w:tcBorders>
              <w:top w:val="single" w:sz="4" w:space="0" w:color="auto"/>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6</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259" w:type="dxa"/>
            <w:vMerge w:val="restart"/>
            <w:tcBorders>
              <w:top w:val="single" w:sz="4" w:space="0" w:color="auto"/>
              <w:left w:val="nil"/>
              <w:right w:val="single" w:sz="4" w:space="0" w:color="auto"/>
            </w:tcBorders>
            <w:shd w:val="clear" w:color="auto" w:fill="auto"/>
            <w:vAlign w:val="center"/>
          </w:tcPr>
          <w:p w:rsidR="00C37286" w:rsidRDefault="00C37286" w:rsidP="00C37286">
            <w:pPr>
              <w:widowControl/>
              <w:tabs>
                <w:tab w:val="center" w:pos="535"/>
              </w:tabs>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机构改革业务减少</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C37286" w:rsidTr="00C37286">
        <w:trPr>
          <w:trHeight w:val="340"/>
        </w:trPr>
        <w:tc>
          <w:tcPr>
            <w:tcW w:w="1135" w:type="dxa"/>
            <w:vMerge/>
            <w:tcBorders>
              <w:left w:val="single" w:sz="4" w:space="0" w:color="auto"/>
              <w:right w:val="single" w:sz="4" w:space="0" w:color="auto"/>
            </w:tcBorders>
            <w:shd w:val="clear" w:color="auto" w:fill="auto"/>
            <w:vAlign w:val="center"/>
          </w:tcPr>
          <w:p w:rsidR="00C37286" w:rsidRDefault="00C37286" w:rsidP="00C37286">
            <w:pPr>
              <w:spacing w:line="320" w:lineRule="exact"/>
              <w:jc w:val="center"/>
              <w:rPr>
                <w:rFonts w:asciiTheme="majorEastAsia" w:eastAsiaTheme="majorEastAsia" w:hAnsiTheme="majorEastAsia" w:cs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c>
          <w:tcPr>
            <w:tcW w:w="1155" w:type="dxa"/>
            <w:vMerge/>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c>
          <w:tcPr>
            <w:tcW w:w="1330" w:type="dxa"/>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新增“四上”企业数量</w:t>
            </w:r>
          </w:p>
        </w:tc>
        <w:tc>
          <w:tcPr>
            <w:tcW w:w="1266" w:type="dxa"/>
            <w:vMerge/>
            <w:tcBorders>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c>
          <w:tcPr>
            <w:tcW w:w="1161" w:type="dxa"/>
            <w:vMerge/>
            <w:tcBorders>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c>
          <w:tcPr>
            <w:tcW w:w="828" w:type="dxa"/>
            <w:vMerge/>
            <w:tcBorders>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c>
          <w:tcPr>
            <w:tcW w:w="873" w:type="dxa"/>
            <w:vMerge/>
            <w:tcBorders>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c>
          <w:tcPr>
            <w:tcW w:w="1259" w:type="dxa"/>
            <w:vMerge/>
            <w:tcBorders>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r>
      <w:tr w:rsidR="00C37286" w:rsidTr="00C37286">
        <w:trPr>
          <w:trHeight w:val="340"/>
        </w:trPr>
        <w:tc>
          <w:tcPr>
            <w:tcW w:w="1135" w:type="dxa"/>
            <w:vMerge/>
            <w:tcBorders>
              <w:left w:val="single" w:sz="4" w:space="0" w:color="auto"/>
              <w:right w:val="single" w:sz="4" w:space="0" w:color="auto"/>
            </w:tcBorders>
            <w:shd w:val="clear" w:color="auto" w:fill="auto"/>
            <w:vAlign w:val="center"/>
          </w:tcPr>
          <w:p w:rsidR="00C37286" w:rsidRDefault="00C37286" w:rsidP="00C37286">
            <w:pPr>
              <w:spacing w:line="320" w:lineRule="exact"/>
              <w:jc w:val="center"/>
              <w:rPr>
                <w:rFonts w:asciiTheme="majorEastAsia" w:eastAsiaTheme="majorEastAsia" w:hAnsiTheme="majorEastAsia" w:cstheme="majorEastAsia"/>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效益</w:t>
            </w:r>
          </w:p>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指标</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（30分）</w:t>
            </w:r>
          </w:p>
          <w:p w:rsidR="00C37286" w:rsidRDefault="00C37286" w:rsidP="00C37286">
            <w:pPr>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155" w:type="dxa"/>
            <w:vMerge w:val="restart"/>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经济效</w:t>
            </w:r>
          </w:p>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益指标</w:t>
            </w:r>
          </w:p>
        </w:tc>
        <w:tc>
          <w:tcPr>
            <w:tcW w:w="1330" w:type="dxa"/>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完成招商引资到位资金</w:t>
            </w:r>
          </w:p>
        </w:tc>
        <w:tc>
          <w:tcPr>
            <w:tcW w:w="1266" w:type="dxa"/>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20亿</w:t>
            </w:r>
          </w:p>
        </w:tc>
        <w:tc>
          <w:tcPr>
            <w:tcW w:w="1161" w:type="dxa"/>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25.8亿元</w:t>
            </w:r>
          </w:p>
        </w:tc>
        <w:tc>
          <w:tcPr>
            <w:tcW w:w="828" w:type="dxa"/>
            <w:vMerge w:val="restart"/>
            <w:tcBorders>
              <w:top w:val="single" w:sz="4" w:space="0" w:color="auto"/>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vMerge w:val="restart"/>
            <w:tcBorders>
              <w:top w:val="single" w:sz="4" w:space="0" w:color="auto"/>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259" w:type="dxa"/>
            <w:vMerge w:val="restart"/>
            <w:tcBorders>
              <w:top w:val="single" w:sz="4" w:space="0" w:color="auto"/>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C37286" w:rsidTr="00C37286">
        <w:trPr>
          <w:trHeight w:val="340"/>
        </w:trPr>
        <w:tc>
          <w:tcPr>
            <w:tcW w:w="1135" w:type="dxa"/>
            <w:vMerge/>
            <w:tcBorders>
              <w:left w:val="single" w:sz="4" w:space="0" w:color="auto"/>
              <w:right w:val="single" w:sz="4" w:space="0" w:color="auto"/>
            </w:tcBorders>
            <w:shd w:val="clear" w:color="auto" w:fill="auto"/>
            <w:vAlign w:val="center"/>
          </w:tcPr>
          <w:p w:rsidR="00C37286" w:rsidRDefault="00C37286" w:rsidP="00C37286">
            <w:pPr>
              <w:spacing w:line="320" w:lineRule="exact"/>
              <w:jc w:val="center"/>
              <w:rPr>
                <w:rFonts w:asciiTheme="majorEastAsia" w:eastAsiaTheme="majorEastAsia" w:hAnsiTheme="majorEastAsia" w:cstheme="majorEastAsia"/>
                <w:color w:val="000000"/>
                <w:kern w:val="0"/>
                <w:szCs w:val="21"/>
              </w:rPr>
            </w:pPr>
          </w:p>
        </w:tc>
        <w:tc>
          <w:tcPr>
            <w:tcW w:w="992" w:type="dxa"/>
            <w:vMerge/>
            <w:tcBorders>
              <w:left w:val="nil"/>
              <w:right w:val="single" w:sz="4" w:space="0" w:color="auto"/>
            </w:tcBorders>
            <w:shd w:val="clear" w:color="auto" w:fill="auto"/>
            <w:vAlign w:val="center"/>
          </w:tcPr>
          <w:p w:rsidR="00C37286" w:rsidRDefault="00C37286" w:rsidP="00C37286">
            <w:pPr>
              <w:spacing w:line="320" w:lineRule="exact"/>
              <w:jc w:val="left"/>
              <w:rPr>
                <w:rFonts w:asciiTheme="majorEastAsia" w:eastAsiaTheme="majorEastAsia" w:hAnsiTheme="majorEastAsia" w:cstheme="majorEastAsia"/>
                <w:color w:val="000000"/>
                <w:kern w:val="0"/>
                <w:szCs w:val="21"/>
              </w:rPr>
            </w:pPr>
          </w:p>
        </w:tc>
        <w:tc>
          <w:tcPr>
            <w:tcW w:w="1155" w:type="dxa"/>
            <w:vMerge/>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p>
        </w:tc>
        <w:tc>
          <w:tcPr>
            <w:tcW w:w="1330" w:type="dxa"/>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社会零售额速增</w:t>
            </w:r>
          </w:p>
        </w:tc>
        <w:tc>
          <w:tcPr>
            <w:tcW w:w="1266" w:type="dxa"/>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增幅8%</w:t>
            </w:r>
          </w:p>
        </w:tc>
        <w:tc>
          <w:tcPr>
            <w:tcW w:w="1161" w:type="dxa"/>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增幅9.8%</w:t>
            </w:r>
          </w:p>
        </w:tc>
        <w:tc>
          <w:tcPr>
            <w:tcW w:w="828" w:type="dxa"/>
            <w:vMerge/>
            <w:tcBorders>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c>
          <w:tcPr>
            <w:tcW w:w="873" w:type="dxa"/>
            <w:vMerge/>
            <w:tcBorders>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c>
          <w:tcPr>
            <w:tcW w:w="1259" w:type="dxa"/>
            <w:vMerge/>
            <w:tcBorders>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r>
      <w:tr w:rsidR="00C37286" w:rsidTr="00C37286">
        <w:trPr>
          <w:trHeight w:val="1667"/>
        </w:trPr>
        <w:tc>
          <w:tcPr>
            <w:tcW w:w="1135" w:type="dxa"/>
            <w:vMerge/>
            <w:tcBorders>
              <w:left w:val="single" w:sz="4" w:space="0" w:color="auto"/>
              <w:right w:val="single" w:sz="4" w:space="0" w:color="auto"/>
            </w:tcBorders>
            <w:shd w:val="clear" w:color="auto" w:fill="auto"/>
            <w:vAlign w:val="center"/>
          </w:tcPr>
          <w:p w:rsidR="00C37286" w:rsidRDefault="00C37286" w:rsidP="00C37286">
            <w:pPr>
              <w:spacing w:line="320" w:lineRule="exact"/>
              <w:jc w:val="center"/>
              <w:rPr>
                <w:rFonts w:asciiTheme="majorEastAsia" w:eastAsiaTheme="majorEastAsia" w:hAnsiTheme="majorEastAsia" w:cstheme="majorEastAsia"/>
                <w:color w:val="000000"/>
                <w:kern w:val="0"/>
                <w:szCs w:val="21"/>
              </w:rPr>
            </w:pPr>
          </w:p>
        </w:tc>
        <w:tc>
          <w:tcPr>
            <w:tcW w:w="992" w:type="dxa"/>
            <w:vMerge/>
            <w:tcBorders>
              <w:left w:val="nil"/>
              <w:right w:val="single" w:sz="4" w:space="0" w:color="auto"/>
            </w:tcBorders>
            <w:shd w:val="clear" w:color="auto" w:fill="auto"/>
            <w:vAlign w:val="center"/>
          </w:tcPr>
          <w:p w:rsidR="00C37286" w:rsidRDefault="00C37286" w:rsidP="00C37286">
            <w:pPr>
              <w:spacing w:line="320" w:lineRule="exact"/>
              <w:jc w:val="left"/>
              <w:rPr>
                <w:rFonts w:asciiTheme="majorEastAsia" w:eastAsiaTheme="majorEastAsia" w:hAnsiTheme="majorEastAsia" w:cstheme="majorEastAsia"/>
                <w:color w:val="000000"/>
                <w:kern w:val="0"/>
                <w:szCs w:val="21"/>
              </w:rPr>
            </w:pPr>
          </w:p>
        </w:tc>
        <w:tc>
          <w:tcPr>
            <w:tcW w:w="1155" w:type="dxa"/>
            <w:vMerge w:val="restart"/>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社会效</w:t>
            </w:r>
          </w:p>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益指标</w:t>
            </w:r>
          </w:p>
        </w:tc>
        <w:tc>
          <w:tcPr>
            <w:tcW w:w="1330" w:type="dxa"/>
            <w:tcBorders>
              <w:top w:val="single" w:sz="4" w:space="0" w:color="auto"/>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部门履行职责对社会发展所带来的直接或间接影响</w:t>
            </w:r>
          </w:p>
        </w:tc>
        <w:tc>
          <w:tcPr>
            <w:tcW w:w="1266" w:type="dxa"/>
            <w:tcBorders>
              <w:top w:val="single" w:sz="4" w:space="0" w:color="auto"/>
              <w:left w:val="nil"/>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良好</w:t>
            </w:r>
          </w:p>
        </w:tc>
        <w:tc>
          <w:tcPr>
            <w:tcW w:w="1161" w:type="dxa"/>
            <w:tcBorders>
              <w:top w:val="single" w:sz="4" w:space="0" w:color="auto"/>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良好</w:t>
            </w:r>
          </w:p>
        </w:tc>
        <w:tc>
          <w:tcPr>
            <w:tcW w:w="828" w:type="dxa"/>
            <w:vMerge w:val="restart"/>
            <w:tcBorders>
              <w:top w:val="single" w:sz="4" w:space="0" w:color="auto"/>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vMerge w:val="restart"/>
            <w:tcBorders>
              <w:top w:val="single" w:sz="4" w:space="0" w:color="auto"/>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259" w:type="dxa"/>
            <w:vMerge w:val="restart"/>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C37286" w:rsidTr="00C37286">
        <w:trPr>
          <w:trHeight w:val="1988"/>
        </w:trPr>
        <w:tc>
          <w:tcPr>
            <w:tcW w:w="1135" w:type="dxa"/>
            <w:vMerge/>
            <w:tcBorders>
              <w:left w:val="single" w:sz="4" w:space="0" w:color="auto"/>
              <w:right w:val="single" w:sz="4" w:space="0" w:color="auto"/>
            </w:tcBorders>
            <w:shd w:val="clear" w:color="auto" w:fill="auto"/>
            <w:vAlign w:val="center"/>
          </w:tcPr>
          <w:p w:rsidR="00C37286" w:rsidRDefault="00C37286" w:rsidP="00C37286">
            <w:pPr>
              <w:spacing w:line="320" w:lineRule="exact"/>
              <w:jc w:val="center"/>
              <w:rPr>
                <w:rFonts w:asciiTheme="majorEastAsia" w:eastAsiaTheme="majorEastAsia" w:hAnsiTheme="majorEastAsia" w:cstheme="majorEastAsia"/>
                <w:color w:val="000000"/>
                <w:kern w:val="0"/>
                <w:szCs w:val="21"/>
              </w:rPr>
            </w:pPr>
          </w:p>
        </w:tc>
        <w:tc>
          <w:tcPr>
            <w:tcW w:w="992" w:type="dxa"/>
            <w:vMerge/>
            <w:tcBorders>
              <w:left w:val="nil"/>
              <w:right w:val="single" w:sz="4" w:space="0" w:color="auto"/>
            </w:tcBorders>
            <w:shd w:val="clear" w:color="auto" w:fill="auto"/>
            <w:vAlign w:val="center"/>
          </w:tcPr>
          <w:p w:rsidR="00C37286" w:rsidRDefault="00C37286" w:rsidP="00C37286">
            <w:pPr>
              <w:spacing w:line="320" w:lineRule="exact"/>
              <w:jc w:val="left"/>
              <w:rPr>
                <w:rFonts w:asciiTheme="majorEastAsia" w:eastAsiaTheme="majorEastAsia" w:hAnsiTheme="majorEastAsia" w:cstheme="majorEastAsia"/>
                <w:color w:val="000000"/>
                <w:kern w:val="0"/>
                <w:szCs w:val="21"/>
              </w:rPr>
            </w:pPr>
          </w:p>
        </w:tc>
        <w:tc>
          <w:tcPr>
            <w:tcW w:w="115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生态效</w:t>
            </w:r>
          </w:p>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益指标</w:t>
            </w:r>
          </w:p>
        </w:tc>
        <w:tc>
          <w:tcPr>
            <w:tcW w:w="1330" w:type="dxa"/>
            <w:tcBorders>
              <w:top w:val="single" w:sz="4" w:space="0" w:color="auto"/>
              <w:left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部门履行职责对社会发展所带来的直接或间接影响</w:t>
            </w:r>
          </w:p>
        </w:tc>
        <w:tc>
          <w:tcPr>
            <w:tcW w:w="1266" w:type="dxa"/>
            <w:tcBorders>
              <w:top w:val="single" w:sz="4" w:space="0" w:color="auto"/>
              <w:left w:val="single" w:sz="4" w:space="0" w:color="auto"/>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良好</w:t>
            </w:r>
          </w:p>
        </w:tc>
        <w:tc>
          <w:tcPr>
            <w:tcW w:w="1161" w:type="dxa"/>
            <w:tcBorders>
              <w:top w:val="single" w:sz="4" w:space="0" w:color="auto"/>
              <w:left w:val="single" w:sz="4" w:space="0" w:color="auto"/>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良好</w:t>
            </w:r>
          </w:p>
        </w:tc>
        <w:tc>
          <w:tcPr>
            <w:tcW w:w="828" w:type="dxa"/>
            <w:vMerge w:val="restart"/>
            <w:tcBorders>
              <w:top w:val="single" w:sz="4" w:space="0" w:color="auto"/>
              <w:left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5</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vMerge w:val="restart"/>
            <w:tcBorders>
              <w:top w:val="single" w:sz="4" w:space="0" w:color="auto"/>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5</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259" w:type="dxa"/>
            <w:vMerge w:val="restart"/>
            <w:tcBorders>
              <w:top w:val="single" w:sz="4" w:space="0" w:color="auto"/>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C37286" w:rsidTr="00C37286">
        <w:trPr>
          <w:trHeight w:val="340"/>
        </w:trPr>
        <w:tc>
          <w:tcPr>
            <w:tcW w:w="1135" w:type="dxa"/>
            <w:vMerge/>
            <w:tcBorders>
              <w:left w:val="single" w:sz="4" w:space="0" w:color="auto"/>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p>
        </w:tc>
        <w:tc>
          <w:tcPr>
            <w:tcW w:w="992" w:type="dxa"/>
            <w:vMerge/>
            <w:tcBorders>
              <w:left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c>
          <w:tcPr>
            <w:tcW w:w="1155" w:type="dxa"/>
            <w:vMerge w:val="restart"/>
            <w:tcBorders>
              <w:top w:val="single" w:sz="4" w:space="0" w:color="auto"/>
              <w:left w:val="single" w:sz="4" w:space="0" w:color="auto"/>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可持续影响指标</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消费</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稳定增长</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稳定增长</w:t>
            </w:r>
          </w:p>
        </w:tc>
        <w:tc>
          <w:tcPr>
            <w:tcW w:w="828" w:type="dxa"/>
            <w:vMerge w:val="restart"/>
            <w:tcBorders>
              <w:top w:val="single" w:sz="4" w:space="0" w:color="auto"/>
              <w:left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5</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vMerge w:val="restart"/>
            <w:tcBorders>
              <w:top w:val="single" w:sz="4" w:space="0" w:color="auto"/>
              <w:left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5</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259" w:type="dxa"/>
            <w:vMerge w:val="restart"/>
            <w:tcBorders>
              <w:top w:val="single" w:sz="4" w:space="0" w:color="auto"/>
              <w:left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C37286" w:rsidTr="00C37286">
        <w:trPr>
          <w:trHeight w:val="340"/>
        </w:trPr>
        <w:tc>
          <w:tcPr>
            <w:tcW w:w="1135" w:type="dxa"/>
            <w:vMerge/>
            <w:tcBorders>
              <w:left w:val="single" w:sz="4" w:space="0" w:color="auto"/>
              <w:right w:val="single" w:sz="4" w:space="0" w:color="auto"/>
            </w:tcBorders>
            <w:shd w:val="clear" w:color="auto" w:fill="auto"/>
            <w:vAlign w:val="center"/>
          </w:tcPr>
          <w:p w:rsidR="00C37286" w:rsidRDefault="00C37286" w:rsidP="00C37286">
            <w:pPr>
              <w:spacing w:line="320" w:lineRule="exact"/>
              <w:jc w:val="left"/>
              <w:rPr>
                <w:rFonts w:asciiTheme="majorEastAsia" w:eastAsiaTheme="majorEastAsia" w:hAnsiTheme="majorEastAsia" w:cstheme="majorEastAsia"/>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c>
          <w:tcPr>
            <w:tcW w:w="1155" w:type="dxa"/>
            <w:vMerge/>
            <w:tcBorders>
              <w:left w:val="single" w:sz="4" w:space="0" w:color="auto"/>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c>
          <w:tcPr>
            <w:tcW w:w="1330" w:type="dxa"/>
            <w:tcBorders>
              <w:top w:val="nil"/>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引进项目增加、项目建设顺利</w:t>
            </w:r>
          </w:p>
        </w:tc>
        <w:tc>
          <w:tcPr>
            <w:tcW w:w="1266" w:type="dxa"/>
            <w:tcBorders>
              <w:top w:val="nil"/>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良好</w:t>
            </w:r>
          </w:p>
        </w:tc>
        <w:tc>
          <w:tcPr>
            <w:tcW w:w="1161" w:type="dxa"/>
            <w:tcBorders>
              <w:top w:val="nil"/>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良好</w:t>
            </w:r>
          </w:p>
        </w:tc>
        <w:tc>
          <w:tcPr>
            <w:tcW w:w="828" w:type="dxa"/>
            <w:vMerge/>
            <w:tcBorders>
              <w:left w:val="single" w:sz="4" w:space="0" w:color="auto"/>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c>
          <w:tcPr>
            <w:tcW w:w="873" w:type="dxa"/>
            <w:vMerge/>
            <w:tcBorders>
              <w:left w:val="single" w:sz="4" w:space="0" w:color="auto"/>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c>
          <w:tcPr>
            <w:tcW w:w="1259" w:type="dxa"/>
            <w:vMerge/>
            <w:tcBorders>
              <w:left w:val="single" w:sz="4" w:space="0" w:color="auto"/>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p>
        </w:tc>
      </w:tr>
      <w:tr w:rsidR="00C37286" w:rsidTr="00C37286">
        <w:trPr>
          <w:trHeight w:val="960"/>
        </w:trPr>
        <w:tc>
          <w:tcPr>
            <w:tcW w:w="1135" w:type="dxa"/>
            <w:vMerge/>
            <w:tcBorders>
              <w:left w:val="single" w:sz="4" w:space="0" w:color="auto"/>
              <w:right w:val="single" w:sz="4" w:space="0" w:color="auto"/>
            </w:tcBorders>
            <w:shd w:val="clear" w:color="auto" w:fill="auto"/>
            <w:vAlign w:val="center"/>
          </w:tcPr>
          <w:p w:rsidR="00C37286" w:rsidRDefault="00C37286" w:rsidP="00C37286">
            <w:pPr>
              <w:spacing w:line="320" w:lineRule="exact"/>
              <w:jc w:val="left"/>
              <w:rPr>
                <w:rFonts w:asciiTheme="majorEastAsia" w:eastAsiaTheme="majorEastAsia" w:hAnsiTheme="majorEastAsia" w:cstheme="majorEastAsia"/>
                <w:color w:val="000000"/>
                <w:kern w:val="0"/>
                <w:szCs w:val="21"/>
              </w:rPr>
            </w:pPr>
          </w:p>
        </w:tc>
        <w:tc>
          <w:tcPr>
            <w:tcW w:w="992" w:type="dxa"/>
            <w:tcBorders>
              <w:top w:val="nil"/>
              <w:left w:val="nil"/>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满意度</w:t>
            </w:r>
          </w:p>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指标</w:t>
            </w:r>
          </w:p>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（10分）</w:t>
            </w:r>
          </w:p>
        </w:tc>
        <w:tc>
          <w:tcPr>
            <w:tcW w:w="1155" w:type="dxa"/>
            <w:tcBorders>
              <w:top w:val="nil"/>
              <w:left w:val="nil"/>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服务对象满意度指标</w:t>
            </w:r>
          </w:p>
        </w:tc>
        <w:tc>
          <w:tcPr>
            <w:tcW w:w="1330" w:type="dxa"/>
            <w:tcBorders>
              <w:top w:val="nil"/>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提高全区满意度和认可度</w:t>
            </w:r>
          </w:p>
        </w:tc>
        <w:tc>
          <w:tcPr>
            <w:tcW w:w="1266" w:type="dxa"/>
            <w:tcBorders>
              <w:top w:val="nil"/>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98%</w:t>
            </w:r>
          </w:p>
        </w:tc>
        <w:tc>
          <w:tcPr>
            <w:tcW w:w="1161" w:type="dxa"/>
            <w:tcBorders>
              <w:top w:val="nil"/>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99%</w:t>
            </w:r>
          </w:p>
        </w:tc>
        <w:tc>
          <w:tcPr>
            <w:tcW w:w="828" w:type="dxa"/>
            <w:tcBorders>
              <w:top w:val="nil"/>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873" w:type="dxa"/>
            <w:tcBorders>
              <w:top w:val="nil"/>
              <w:left w:val="nil"/>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10</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c>
          <w:tcPr>
            <w:tcW w:w="1259" w:type="dxa"/>
            <w:tcBorders>
              <w:top w:val="nil"/>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r w:rsidR="00C37286" w:rsidTr="00C37286">
        <w:trPr>
          <w:trHeight w:val="340"/>
        </w:trPr>
        <w:tc>
          <w:tcPr>
            <w:tcW w:w="7039"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96</w:t>
            </w:r>
            <w:bookmarkStart w:id="0" w:name="_GoBack"/>
            <w:bookmarkEnd w:id="0"/>
          </w:p>
        </w:tc>
        <w:tc>
          <w:tcPr>
            <w:tcW w:w="1259" w:type="dxa"/>
            <w:tcBorders>
              <w:top w:val="nil"/>
              <w:left w:val="nil"/>
              <w:bottom w:val="single" w:sz="4" w:space="0" w:color="auto"/>
              <w:right w:val="single" w:sz="4" w:space="0" w:color="auto"/>
            </w:tcBorders>
            <w:shd w:val="clear" w:color="auto" w:fill="auto"/>
            <w:vAlign w:val="center"/>
          </w:tcPr>
          <w:p w:rsidR="00C37286" w:rsidRDefault="00C37286" w:rsidP="00C37286">
            <w:pPr>
              <w:widowControl/>
              <w:spacing w:line="320" w:lineRule="exact"/>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 xml:space="preserve">　</w:t>
            </w:r>
          </w:p>
        </w:tc>
      </w:tr>
    </w:tbl>
    <w:p w:rsidR="0022093C" w:rsidRDefault="006247C0" w:rsidP="00C37286">
      <w:pPr>
        <w:spacing w:beforeLines="50" w:line="320" w:lineRule="exact"/>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填表人：赵怡亭</w:t>
      </w:r>
      <w:r>
        <w:rPr>
          <w:rFonts w:asciiTheme="majorEastAsia" w:eastAsiaTheme="majorEastAsia" w:hAnsiTheme="majorEastAsia" w:cstheme="majorEastAsia" w:hint="eastAsia"/>
          <w:sz w:val="24"/>
        </w:rPr>
        <w:t xml:space="preserve">         </w:t>
      </w:r>
      <w:r>
        <w:rPr>
          <w:rFonts w:asciiTheme="majorEastAsia" w:eastAsiaTheme="majorEastAsia" w:hAnsiTheme="majorEastAsia" w:cstheme="majorEastAsia" w:hint="eastAsia"/>
          <w:sz w:val="24"/>
        </w:rPr>
        <w:t>填报日期：</w:t>
      </w:r>
      <w:r>
        <w:rPr>
          <w:rFonts w:asciiTheme="majorEastAsia" w:eastAsiaTheme="majorEastAsia" w:hAnsiTheme="majorEastAsia" w:cstheme="majorEastAsia" w:hint="eastAsia"/>
          <w:sz w:val="24"/>
        </w:rPr>
        <w:t xml:space="preserve">2020.9.15           </w:t>
      </w:r>
      <w:r>
        <w:rPr>
          <w:rFonts w:asciiTheme="majorEastAsia" w:eastAsiaTheme="majorEastAsia" w:hAnsiTheme="majorEastAsia" w:cstheme="majorEastAsia" w:hint="eastAsia"/>
          <w:sz w:val="24"/>
        </w:rPr>
        <w:t>联系电话：</w:t>
      </w:r>
      <w:r>
        <w:rPr>
          <w:rFonts w:asciiTheme="majorEastAsia" w:eastAsiaTheme="majorEastAsia" w:hAnsiTheme="majorEastAsia" w:cstheme="majorEastAsia" w:hint="eastAsia"/>
          <w:sz w:val="24"/>
        </w:rPr>
        <w:t xml:space="preserve">18007458649       </w:t>
      </w:r>
      <w:r>
        <w:rPr>
          <w:rFonts w:asciiTheme="majorEastAsia" w:eastAsiaTheme="majorEastAsia" w:hAnsiTheme="majorEastAsia" w:cstheme="majorEastAsia" w:hint="eastAsia"/>
          <w:sz w:val="24"/>
        </w:rPr>
        <w:t>单位负责人签字：刘本胜</w:t>
      </w:r>
    </w:p>
    <w:p w:rsidR="00C37286" w:rsidRDefault="00C37286" w:rsidP="00C37286">
      <w:pPr>
        <w:spacing w:afterLines="100" w:line="600" w:lineRule="exact"/>
        <w:rPr>
          <w:rFonts w:asciiTheme="majorEastAsia" w:eastAsiaTheme="majorEastAsia" w:hAnsiTheme="majorEastAsia" w:cstheme="majorEastAsia" w:hint="eastAsia"/>
          <w:sz w:val="32"/>
          <w:szCs w:val="32"/>
        </w:rPr>
      </w:pPr>
    </w:p>
    <w:p w:rsidR="00C37286" w:rsidRDefault="00C37286" w:rsidP="00C37286">
      <w:pPr>
        <w:spacing w:afterLines="100" w:line="600" w:lineRule="exact"/>
        <w:rPr>
          <w:rFonts w:asciiTheme="majorEastAsia" w:eastAsiaTheme="majorEastAsia" w:hAnsiTheme="majorEastAsia" w:cstheme="majorEastAsia" w:hint="eastAsia"/>
          <w:sz w:val="32"/>
          <w:szCs w:val="32"/>
        </w:rPr>
      </w:pPr>
    </w:p>
    <w:p w:rsidR="00C37286" w:rsidRDefault="00C37286" w:rsidP="00C37286">
      <w:pPr>
        <w:spacing w:afterLines="100" w:line="600" w:lineRule="exact"/>
        <w:rPr>
          <w:rFonts w:asciiTheme="majorEastAsia" w:eastAsiaTheme="majorEastAsia" w:hAnsiTheme="majorEastAsia" w:cstheme="majorEastAsia" w:hint="eastAsia"/>
          <w:sz w:val="32"/>
          <w:szCs w:val="32"/>
        </w:rPr>
      </w:pPr>
    </w:p>
    <w:p w:rsidR="00C37286" w:rsidRDefault="00C37286" w:rsidP="00C37286">
      <w:pPr>
        <w:spacing w:afterLines="100" w:line="600" w:lineRule="exact"/>
        <w:rPr>
          <w:rFonts w:asciiTheme="majorEastAsia" w:eastAsiaTheme="majorEastAsia" w:hAnsiTheme="majorEastAsia" w:cstheme="majorEastAsia" w:hint="eastAsia"/>
          <w:sz w:val="32"/>
          <w:szCs w:val="32"/>
        </w:rPr>
      </w:pPr>
    </w:p>
    <w:p w:rsidR="00C37286" w:rsidRDefault="00C37286" w:rsidP="00C37286">
      <w:pPr>
        <w:spacing w:afterLines="100" w:line="600" w:lineRule="exact"/>
        <w:rPr>
          <w:rFonts w:asciiTheme="majorEastAsia" w:eastAsiaTheme="majorEastAsia" w:hAnsiTheme="majorEastAsia" w:cstheme="majorEastAsia" w:hint="eastAsia"/>
          <w:sz w:val="32"/>
          <w:szCs w:val="32"/>
        </w:rPr>
      </w:pPr>
    </w:p>
    <w:p w:rsidR="00C37286" w:rsidRDefault="00C37286" w:rsidP="00C37286">
      <w:pPr>
        <w:spacing w:afterLines="100" w:line="600" w:lineRule="exact"/>
        <w:rPr>
          <w:rFonts w:asciiTheme="majorEastAsia" w:eastAsiaTheme="majorEastAsia" w:hAnsiTheme="majorEastAsia" w:cstheme="majorEastAsia" w:hint="eastAsia"/>
          <w:sz w:val="32"/>
          <w:szCs w:val="32"/>
        </w:rPr>
      </w:pPr>
    </w:p>
    <w:p w:rsidR="0022093C" w:rsidRDefault="006247C0" w:rsidP="00C37286">
      <w:pPr>
        <w:spacing w:afterLines="100" w:line="600" w:lineRule="exact"/>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lastRenderedPageBreak/>
        <w:t>附件</w:t>
      </w:r>
      <w:r>
        <w:rPr>
          <w:rFonts w:asciiTheme="majorEastAsia" w:eastAsiaTheme="majorEastAsia" w:hAnsiTheme="majorEastAsia" w:cstheme="majorEastAsia" w:hint="eastAsia"/>
          <w:sz w:val="32"/>
          <w:szCs w:val="32"/>
        </w:rPr>
        <w:t>5-1</w:t>
      </w:r>
    </w:p>
    <w:p w:rsidR="0022093C" w:rsidRDefault="006247C0">
      <w:pPr>
        <w:spacing w:line="600" w:lineRule="exact"/>
        <w:jc w:val="cente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预算支出绩效评价报告</w:t>
      </w:r>
    </w:p>
    <w:p w:rsidR="0022093C" w:rsidRDefault="006247C0">
      <w:pPr>
        <w:spacing w:line="600" w:lineRule="exact"/>
        <w:jc w:val="center"/>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（鹤城区商务局）</w:t>
      </w:r>
    </w:p>
    <w:p w:rsidR="0022093C" w:rsidRDefault="0022093C">
      <w:pPr>
        <w:spacing w:line="360" w:lineRule="exact"/>
        <w:rPr>
          <w:rFonts w:asciiTheme="majorEastAsia" w:eastAsiaTheme="majorEastAsia" w:hAnsiTheme="majorEastAsia" w:cstheme="majorEastAsia"/>
          <w:kern w:val="0"/>
          <w:sz w:val="32"/>
          <w:szCs w:val="32"/>
        </w:rPr>
      </w:pPr>
    </w:p>
    <w:p w:rsidR="0022093C" w:rsidRDefault="006247C0">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一、预算支出基本情况</w:t>
      </w:r>
    </w:p>
    <w:p w:rsidR="0022093C" w:rsidRDefault="006247C0">
      <w:pPr>
        <w:spacing w:line="600" w:lineRule="exact"/>
        <w:ind w:firstLineChars="200" w:firstLine="643"/>
        <w:rPr>
          <w:rFonts w:asciiTheme="majorEastAsia" w:eastAsiaTheme="majorEastAsia" w:hAnsiTheme="majorEastAsia" w:cstheme="majorEastAsia"/>
          <w:b/>
          <w:sz w:val="32"/>
          <w:szCs w:val="32"/>
        </w:rPr>
      </w:pPr>
      <w:r>
        <w:rPr>
          <w:rFonts w:asciiTheme="majorEastAsia" w:eastAsiaTheme="majorEastAsia" w:hAnsiTheme="majorEastAsia" w:cstheme="majorEastAsia" w:hint="eastAsia"/>
          <w:b/>
          <w:sz w:val="32"/>
          <w:szCs w:val="32"/>
        </w:rPr>
        <w:t>（一）预算支出概况。</w:t>
      </w:r>
    </w:p>
    <w:p w:rsidR="0022093C" w:rsidRDefault="006247C0">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bCs/>
          <w:sz w:val="32"/>
          <w:szCs w:val="32"/>
        </w:rPr>
        <w:t>为</w:t>
      </w:r>
      <w:r>
        <w:rPr>
          <w:rFonts w:asciiTheme="majorEastAsia" w:eastAsiaTheme="majorEastAsia" w:hAnsiTheme="majorEastAsia" w:cstheme="majorEastAsia" w:hint="eastAsia"/>
          <w:sz w:val="32"/>
          <w:szCs w:val="32"/>
        </w:rPr>
        <w:t>制定我区国内外贸易、招商引资、承接产业转移、对外投资和对外经济合作的政策措施和实施办法指导流通企业改革，促进商贸服务业和社区商业发展促进城乡市场发展、承担组织实施重要消费品市场调控和重要生产资料（成品油）流通管理的责任、承担会展业促进与管理有关工作、负责商贸行业安全生产监督管理等</w:t>
      </w:r>
      <w:r>
        <w:rPr>
          <w:rFonts w:ascii="仿宋" w:eastAsia="仿宋" w:hAnsi="仿宋" w:cs="仿宋" w:hint="eastAsia"/>
          <w:sz w:val="32"/>
          <w:szCs w:val="32"/>
        </w:rPr>
        <w:t>各项工作所需的费用支出</w:t>
      </w:r>
      <w:r>
        <w:rPr>
          <w:rFonts w:asciiTheme="majorEastAsia" w:eastAsiaTheme="majorEastAsia" w:hAnsiTheme="majorEastAsia" w:cstheme="majorEastAsia" w:hint="eastAsia"/>
          <w:sz w:val="32"/>
          <w:szCs w:val="32"/>
        </w:rPr>
        <w:t>。</w:t>
      </w:r>
    </w:p>
    <w:p w:rsidR="0022093C" w:rsidRDefault="006247C0">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区商务局项目预算资金总计</w:t>
      </w:r>
      <w:r>
        <w:rPr>
          <w:rFonts w:asciiTheme="majorEastAsia" w:eastAsiaTheme="majorEastAsia" w:hAnsiTheme="majorEastAsia" w:cstheme="majorEastAsia" w:hint="eastAsia"/>
          <w:sz w:val="32"/>
          <w:szCs w:val="32"/>
        </w:rPr>
        <w:t>712.5</w:t>
      </w:r>
      <w:r>
        <w:rPr>
          <w:rFonts w:asciiTheme="majorEastAsia" w:eastAsiaTheme="majorEastAsia" w:hAnsiTheme="majorEastAsia" w:cstheme="majorEastAsia" w:hint="eastAsia"/>
          <w:sz w:val="32"/>
          <w:szCs w:val="32"/>
        </w:rPr>
        <w:t>万元，其中：专项业务费</w:t>
      </w:r>
      <w:r>
        <w:rPr>
          <w:rFonts w:asciiTheme="majorEastAsia" w:eastAsiaTheme="majorEastAsia" w:hAnsiTheme="majorEastAsia" w:cstheme="majorEastAsia" w:hint="eastAsia"/>
          <w:sz w:val="32"/>
          <w:szCs w:val="32"/>
        </w:rPr>
        <w:t>712.5</w:t>
      </w:r>
      <w:r>
        <w:rPr>
          <w:rFonts w:asciiTheme="majorEastAsia" w:eastAsiaTheme="majorEastAsia" w:hAnsiTheme="majorEastAsia" w:cstheme="majorEastAsia" w:hint="eastAsia"/>
          <w:sz w:val="32"/>
          <w:szCs w:val="32"/>
        </w:rPr>
        <w:t>万元。</w:t>
      </w:r>
    </w:p>
    <w:p w:rsidR="0022093C" w:rsidRDefault="006247C0">
      <w:pPr>
        <w:spacing w:line="600" w:lineRule="exact"/>
        <w:ind w:firstLineChars="200" w:firstLine="643"/>
        <w:rPr>
          <w:rFonts w:asciiTheme="majorEastAsia" w:eastAsiaTheme="majorEastAsia" w:hAnsiTheme="majorEastAsia" w:cstheme="majorEastAsia"/>
          <w:sz w:val="32"/>
          <w:szCs w:val="32"/>
        </w:rPr>
      </w:pPr>
      <w:r>
        <w:rPr>
          <w:rFonts w:asciiTheme="majorEastAsia" w:eastAsiaTheme="majorEastAsia" w:hAnsiTheme="majorEastAsia" w:cstheme="majorEastAsia" w:hint="eastAsia"/>
          <w:b/>
          <w:sz w:val="32"/>
          <w:szCs w:val="32"/>
        </w:rPr>
        <w:t>（二）预算资金使用管理情况。</w:t>
      </w:r>
      <w:r>
        <w:rPr>
          <w:rFonts w:asciiTheme="majorEastAsia" w:eastAsiaTheme="majorEastAsia" w:hAnsiTheme="majorEastAsia" w:cstheme="majorEastAsia" w:hint="eastAsia"/>
          <w:sz w:val="32"/>
          <w:szCs w:val="32"/>
        </w:rPr>
        <w:t>针对工作需要成立了项目领导小组，项目资金都是通过每年预算进行审批；项目资金使用财务管理制度健全、管理规范</w:t>
      </w:r>
      <w:r>
        <w:rPr>
          <w:rFonts w:asciiTheme="majorEastAsia" w:eastAsiaTheme="majorEastAsia" w:hAnsiTheme="majorEastAsia" w:cstheme="majorEastAsia" w:hint="eastAsia"/>
          <w:sz w:val="32"/>
          <w:szCs w:val="32"/>
        </w:rPr>
        <w:t>，严格执行了财务管理制度。财务处理及时、会计核算规范；资金使用严格执行相关法律法规及项目管理相关制度，保证了专款专用。</w:t>
      </w:r>
    </w:p>
    <w:p w:rsidR="0022093C" w:rsidRDefault="006247C0">
      <w:pPr>
        <w:spacing w:line="600" w:lineRule="exact"/>
        <w:ind w:firstLineChars="200" w:firstLine="643"/>
        <w:rPr>
          <w:rFonts w:asciiTheme="majorEastAsia" w:eastAsiaTheme="majorEastAsia" w:hAnsiTheme="majorEastAsia" w:cstheme="majorEastAsia"/>
          <w:sz w:val="32"/>
          <w:szCs w:val="32"/>
        </w:rPr>
      </w:pPr>
      <w:r>
        <w:rPr>
          <w:rFonts w:asciiTheme="majorEastAsia" w:eastAsiaTheme="majorEastAsia" w:hAnsiTheme="majorEastAsia" w:cstheme="majorEastAsia" w:hint="eastAsia"/>
          <w:b/>
          <w:sz w:val="32"/>
          <w:szCs w:val="32"/>
        </w:rPr>
        <w:t>（三）预算支出绩效目标完成程度。</w:t>
      </w:r>
      <w:r>
        <w:rPr>
          <w:rFonts w:asciiTheme="majorEastAsia" w:eastAsiaTheme="majorEastAsia" w:hAnsiTheme="majorEastAsia" w:cstheme="majorEastAsia" w:hint="eastAsia"/>
          <w:sz w:val="32"/>
          <w:szCs w:val="32"/>
        </w:rPr>
        <w:t>鹤城区商务局在鹤城区委、区政府的正确领导和市发改委支持指导下，围绕商贸发展大局和区委、区政府决策部署，积极谋产业、抓项目、推投资、促发展、惠民生，较好地完成全年各项目标任务。</w:t>
      </w:r>
    </w:p>
    <w:p w:rsidR="0022093C" w:rsidRPr="00C37286" w:rsidRDefault="006247C0" w:rsidP="00C37286">
      <w:pPr>
        <w:pStyle w:val="a6"/>
        <w:numPr>
          <w:ilvl w:val="0"/>
          <w:numId w:val="11"/>
        </w:numPr>
        <w:spacing w:line="600" w:lineRule="exact"/>
        <w:ind w:firstLineChars="0"/>
        <w:rPr>
          <w:rFonts w:asciiTheme="majorEastAsia" w:eastAsiaTheme="majorEastAsia" w:hAnsiTheme="majorEastAsia" w:cstheme="majorEastAsia"/>
          <w:sz w:val="32"/>
          <w:szCs w:val="32"/>
        </w:rPr>
      </w:pPr>
      <w:r w:rsidRPr="00C37286">
        <w:rPr>
          <w:rFonts w:asciiTheme="majorEastAsia" w:eastAsiaTheme="majorEastAsia" w:hAnsiTheme="majorEastAsia" w:cstheme="majorEastAsia" w:hint="eastAsia"/>
          <w:sz w:val="32"/>
          <w:szCs w:val="32"/>
        </w:rPr>
        <w:lastRenderedPageBreak/>
        <w:t>绩效评价工作情况</w:t>
      </w:r>
    </w:p>
    <w:p w:rsidR="0022093C" w:rsidRDefault="006247C0">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制定我区国内外贸易、招商引资、承接产业转移、对外投资和对外经济合作的政策措施和实施办法指导流通企业改革，促进商贸服务业和社区商业发展促进城乡市场发展、承担组织实施重</w:t>
      </w:r>
      <w:r>
        <w:rPr>
          <w:rFonts w:asciiTheme="majorEastAsia" w:eastAsiaTheme="majorEastAsia" w:hAnsiTheme="majorEastAsia" w:cstheme="majorEastAsia" w:hint="eastAsia"/>
          <w:sz w:val="32"/>
          <w:szCs w:val="32"/>
        </w:rPr>
        <w:t>要消费品市场调控和重要生产资料（成品油）流通管理的责任、承担会展业促进与管理有关工作、负责商贸行业安全生产监督管理等工作。</w:t>
      </w:r>
    </w:p>
    <w:p w:rsidR="0022093C" w:rsidRPr="00C37286" w:rsidRDefault="006247C0" w:rsidP="00C37286">
      <w:pPr>
        <w:pStyle w:val="a6"/>
        <w:numPr>
          <w:ilvl w:val="0"/>
          <w:numId w:val="11"/>
        </w:numPr>
        <w:spacing w:line="600" w:lineRule="exact"/>
        <w:ind w:firstLineChars="0"/>
        <w:rPr>
          <w:rFonts w:asciiTheme="majorEastAsia" w:eastAsiaTheme="majorEastAsia" w:hAnsiTheme="majorEastAsia" w:cstheme="majorEastAsia"/>
          <w:sz w:val="32"/>
          <w:szCs w:val="32"/>
        </w:rPr>
      </w:pPr>
      <w:r w:rsidRPr="00C37286">
        <w:rPr>
          <w:rFonts w:asciiTheme="majorEastAsia" w:eastAsiaTheme="majorEastAsia" w:hAnsiTheme="majorEastAsia" w:cstheme="majorEastAsia" w:hint="eastAsia"/>
          <w:sz w:val="32"/>
          <w:szCs w:val="32"/>
        </w:rPr>
        <w:t>预算支出主要绩效及评价结论</w:t>
      </w:r>
    </w:p>
    <w:p w:rsidR="0022093C" w:rsidRDefault="006247C0">
      <w:pPr>
        <w:spacing w:line="560" w:lineRule="exact"/>
        <w:rPr>
          <w:rFonts w:asciiTheme="majorEastAsia" w:eastAsiaTheme="majorEastAsia" w:hAnsiTheme="majorEastAsia" w:cstheme="majorEastAsia"/>
          <w:bCs/>
          <w:sz w:val="32"/>
          <w:szCs w:val="32"/>
        </w:rPr>
      </w:pPr>
      <w:r>
        <w:rPr>
          <w:rFonts w:asciiTheme="majorEastAsia" w:eastAsiaTheme="majorEastAsia" w:hAnsiTheme="majorEastAsia" w:cstheme="majorEastAsia" w:hint="eastAsia"/>
          <w:b/>
          <w:bCs/>
          <w:sz w:val="32"/>
          <w:szCs w:val="32"/>
        </w:rPr>
        <w:t xml:space="preserve">   </w:t>
      </w:r>
      <w:r>
        <w:rPr>
          <w:rFonts w:asciiTheme="majorEastAsia" w:eastAsiaTheme="majorEastAsia" w:hAnsiTheme="majorEastAsia" w:cstheme="majorEastAsia" w:hint="eastAsia"/>
          <w:bCs/>
          <w:sz w:val="32"/>
          <w:szCs w:val="32"/>
        </w:rPr>
        <w:t xml:space="preserve"> </w:t>
      </w:r>
      <w:r>
        <w:rPr>
          <w:rFonts w:asciiTheme="majorEastAsia" w:eastAsiaTheme="majorEastAsia" w:hAnsiTheme="majorEastAsia" w:cstheme="majorEastAsia" w:hint="eastAsia"/>
          <w:b/>
          <w:sz w:val="32"/>
          <w:szCs w:val="32"/>
        </w:rPr>
        <w:t>1.</w:t>
      </w:r>
      <w:r>
        <w:rPr>
          <w:rFonts w:asciiTheme="majorEastAsia" w:eastAsiaTheme="majorEastAsia" w:hAnsiTheme="majorEastAsia" w:cstheme="majorEastAsia" w:hint="eastAsia"/>
          <w:b/>
          <w:sz w:val="32"/>
          <w:szCs w:val="32"/>
        </w:rPr>
        <w:t>突出消费升级。</w:t>
      </w:r>
      <w:r>
        <w:rPr>
          <w:rFonts w:asciiTheme="majorEastAsia" w:eastAsiaTheme="majorEastAsia" w:hAnsiTheme="majorEastAsia" w:cstheme="majorEastAsia" w:hint="eastAsia"/>
          <w:bCs/>
          <w:sz w:val="32"/>
          <w:szCs w:val="32"/>
        </w:rPr>
        <w:t>克服成品油和汽车业销售下滑影响限上企业社零贡献等不利因素，突出“稳消费、保增长”专项活动。</w:t>
      </w:r>
      <w:r>
        <w:rPr>
          <w:rFonts w:asciiTheme="majorEastAsia" w:eastAsiaTheme="majorEastAsia" w:hAnsiTheme="majorEastAsia" w:cstheme="majorEastAsia" w:hint="eastAsia"/>
          <w:b/>
          <w:sz w:val="32"/>
          <w:szCs w:val="32"/>
        </w:rPr>
        <w:t>一是推特色消费。</w:t>
      </w:r>
      <w:r>
        <w:rPr>
          <w:rFonts w:asciiTheme="majorEastAsia" w:eastAsiaTheme="majorEastAsia" w:hAnsiTheme="majorEastAsia" w:cstheme="majorEastAsia" w:hint="eastAsia"/>
          <w:bCs/>
          <w:sz w:val="32"/>
          <w:szCs w:val="32"/>
        </w:rPr>
        <w:t>重点组织佳惠农产品（冷链）物流产业园、西部汽车城等特色产业园区开展“爆品促销”、“豪车让利”等营销活动，实现农产品（冷链）产品和宝马、奔驰、凯迪拉克等一线品牌乘用车销售分别增销</w:t>
      </w:r>
      <w:r>
        <w:rPr>
          <w:rFonts w:asciiTheme="majorEastAsia" w:eastAsiaTheme="majorEastAsia" w:hAnsiTheme="majorEastAsia" w:cstheme="majorEastAsia" w:hint="eastAsia"/>
          <w:bCs/>
          <w:sz w:val="32"/>
          <w:szCs w:val="32"/>
        </w:rPr>
        <w:t>4</w:t>
      </w:r>
      <w:r>
        <w:rPr>
          <w:rFonts w:asciiTheme="majorEastAsia" w:eastAsiaTheme="majorEastAsia" w:hAnsiTheme="majorEastAsia" w:cstheme="majorEastAsia" w:hint="eastAsia"/>
          <w:bCs/>
          <w:sz w:val="32"/>
          <w:szCs w:val="32"/>
        </w:rPr>
        <w:t>亿元和</w:t>
      </w:r>
      <w:r>
        <w:rPr>
          <w:rFonts w:asciiTheme="majorEastAsia" w:eastAsiaTheme="majorEastAsia" w:hAnsiTheme="majorEastAsia" w:cstheme="majorEastAsia" w:hint="eastAsia"/>
          <w:bCs/>
          <w:sz w:val="32"/>
          <w:szCs w:val="32"/>
        </w:rPr>
        <w:t>3.5</w:t>
      </w:r>
      <w:r>
        <w:rPr>
          <w:rFonts w:asciiTheme="majorEastAsia" w:eastAsiaTheme="majorEastAsia" w:hAnsiTheme="majorEastAsia" w:cstheme="majorEastAsia" w:hint="eastAsia"/>
          <w:bCs/>
          <w:sz w:val="32"/>
          <w:szCs w:val="32"/>
        </w:rPr>
        <w:t>亿元，实现批发业销售增幅</w:t>
      </w:r>
      <w:r>
        <w:rPr>
          <w:rFonts w:asciiTheme="majorEastAsia" w:eastAsiaTheme="majorEastAsia" w:hAnsiTheme="majorEastAsia" w:cstheme="majorEastAsia" w:hint="eastAsia"/>
          <w:bCs/>
          <w:sz w:val="32"/>
          <w:szCs w:val="32"/>
        </w:rPr>
        <w:t>18%</w:t>
      </w:r>
      <w:r>
        <w:rPr>
          <w:rFonts w:asciiTheme="majorEastAsia" w:eastAsiaTheme="majorEastAsia" w:hAnsiTheme="majorEastAsia" w:cstheme="majorEastAsia" w:hint="eastAsia"/>
          <w:bCs/>
          <w:sz w:val="32"/>
          <w:szCs w:val="32"/>
        </w:rPr>
        <w:t>以上；</w:t>
      </w:r>
      <w:r>
        <w:rPr>
          <w:rFonts w:asciiTheme="majorEastAsia" w:eastAsiaTheme="majorEastAsia" w:hAnsiTheme="majorEastAsia" w:cstheme="majorEastAsia" w:hint="eastAsia"/>
          <w:b/>
          <w:sz w:val="32"/>
          <w:szCs w:val="32"/>
        </w:rPr>
        <w:t>二</w:t>
      </w:r>
      <w:r>
        <w:rPr>
          <w:rFonts w:asciiTheme="majorEastAsia" w:eastAsiaTheme="majorEastAsia" w:hAnsiTheme="majorEastAsia" w:cstheme="majorEastAsia" w:hint="eastAsia"/>
          <w:b/>
          <w:sz w:val="32"/>
          <w:szCs w:val="32"/>
        </w:rPr>
        <w:t>是培优势企业。</w:t>
      </w:r>
      <w:r>
        <w:rPr>
          <w:rFonts w:asciiTheme="majorEastAsia" w:eastAsiaTheme="majorEastAsia" w:hAnsiTheme="majorEastAsia" w:cstheme="majorEastAsia" w:hint="eastAsia"/>
          <w:bCs/>
          <w:sz w:val="32"/>
          <w:szCs w:val="32"/>
        </w:rPr>
        <w:t>2018</w:t>
      </w:r>
      <w:r>
        <w:rPr>
          <w:rFonts w:asciiTheme="majorEastAsia" w:eastAsiaTheme="majorEastAsia" w:hAnsiTheme="majorEastAsia" w:cstheme="majorEastAsia" w:hint="eastAsia"/>
          <w:bCs/>
          <w:sz w:val="32"/>
          <w:szCs w:val="32"/>
        </w:rPr>
        <w:t>年新增的</w:t>
      </w:r>
      <w:r>
        <w:rPr>
          <w:rFonts w:asciiTheme="majorEastAsia" w:eastAsiaTheme="majorEastAsia" w:hAnsiTheme="majorEastAsia" w:cstheme="majorEastAsia" w:hint="eastAsia"/>
          <w:bCs/>
          <w:sz w:val="32"/>
          <w:szCs w:val="32"/>
        </w:rPr>
        <w:t>44</w:t>
      </w:r>
      <w:r>
        <w:rPr>
          <w:rFonts w:asciiTheme="majorEastAsia" w:eastAsiaTheme="majorEastAsia" w:hAnsiTheme="majorEastAsia" w:cstheme="majorEastAsia" w:hint="eastAsia"/>
          <w:bCs/>
          <w:sz w:val="32"/>
          <w:szCs w:val="32"/>
        </w:rPr>
        <w:t>家“四上企业”和服务类限上企业实现社零贡献值</w:t>
      </w:r>
      <w:r>
        <w:rPr>
          <w:rFonts w:asciiTheme="majorEastAsia" w:eastAsiaTheme="majorEastAsia" w:hAnsiTheme="majorEastAsia" w:cstheme="majorEastAsia" w:hint="eastAsia"/>
          <w:bCs/>
          <w:sz w:val="32"/>
          <w:szCs w:val="32"/>
        </w:rPr>
        <w:t>6.4</w:t>
      </w:r>
      <w:r>
        <w:rPr>
          <w:rFonts w:asciiTheme="majorEastAsia" w:eastAsiaTheme="majorEastAsia" w:hAnsiTheme="majorEastAsia" w:cstheme="majorEastAsia" w:hint="eastAsia"/>
          <w:bCs/>
          <w:sz w:val="32"/>
          <w:szCs w:val="32"/>
        </w:rPr>
        <w:t>亿元，实现社零增幅</w:t>
      </w:r>
      <w:r>
        <w:rPr>
          <w:rFonts w:asciiTheme="majorEastAsia" w:eastAsiaTheme="majorEastAsia" w:hAnsiTheme="majorEastAsia" w:cstheme="majorEastAsia" w:hint="eastAsia"/>
          <w:bCs/>
          <w:sz w:val="32"/>
          <w:szCs w:val="32"/>
        </w:rPr>
        <w:t>26%</w:t>
      </w:r>
      <w:r>
        <w:rPr>
          <w:rFonts w:asciiTheme="majorEastAsia" w:eastAsiaTheme="majorEastAsia" w:hAnsiTheme="majorEastAsia" w:cstheme="majorEastAsia" w:hint="eastAsia"/>
          <w:bCs/>
          <w:sz w:val="32"/>
          <w:szCs w:val="32"/>
        </w:rPr>
        <w:t>。</w:t>
      </w:r>
      <w:r>
        <w:rPr>
          <w:rFonts w:asciiTheme="majorEastAsia" w:eastAsiaTheme="majorEastAsia" w:hAnsiTheme="majorEastAsia" w:cstheme="majorEastAsia" w:hint="eastAsia"/>
          <w:bCs/>
          <w:sz w:val="32"/>
          <w:szCs w:val="32"/>
        </w:rPr>
        <w:t>2019</w:t>
      </w:r>
      <w:r>
        <w:rPr>
          <w:rFonts w:asciiTheme="majorEastAsia" w:eastAsiaTheme="majorEastAsia" w:hAnsiTheme="majorEastAsia" w:cstheme="majorEastAsia" w:hint="eastAsia"/>
          <w:bCs/>
          <w:sz w:val="32"/>
          <w:szCs w:val="32"/>
        </w:rPr>
        <w:t>年培育批零餐饮“四上企业”</w:t>
      </w:r>
      <w:r>
        <w:rPr>
          <w:rFonts w:asciiTheme="majorEastAsia" w:eastAsiaTheme="majorEastAsia" w:hAnsiTheme="majorEastAsia" w:cstheme="majorEastAsia" w:hint="eastAsia"/>
          <w:bCs/>
          <w:sz w:val="32"/>
          <w:szCs w:val="32"/>
        </w:rPr>
        <w:t xml:space="preserve"> 15</w:t>
      </w:r>
      <w:r>
        <w:rPr>
          <w:rFonts w:asciiTheme="majorEastAsia" w:eastAsiaTheme="majorEastAsia" w:hAnsiTheme="majorEastAsia" w:cstheme="majorEastAsia" w:hint="eastAsia"/>
          <w:bCs/>
          <w:sz w:val="32"/>
          <w:szCs w:val="32"/>
        </w:rPr>
        <w:t>家，培育服务类限上企业</w:t>
      </w:r>
      <w:r>
        <w:rPr>
          <w:rFonts w:asciiTheme="majorEastAsia" w:eastAsiaTheme="majorEastAsia" w:hAnsiTheme="majorEastAsia" w:cstheme="majorEastAsia" w:hint="eastAsia"/>
          <w:bCs/>
          <w:sz w:val="32"/>
          <w:szCs w:val="32"/>
        </w:rPr>
        <w:t>9</w:t>
      </w:r>
      <w:r>
        <w:rPr>
          <w:rFonts w:asciiTheme="majorEastAsia" w:eastAsiaTheme="majorEastAsia" w:hAnsiTheme="majorEastAsia" w:cstheme="majorEastAsia" w:hint="eastAsia"/>
          <w:bCs/>
          <w:sz w:val="32"/>
          <w:szCs w:val="32"/>
        </w:rPr>
        <w:t>家，为明年社零增长夯实了基础。</w:t>
      </w:r>
      <w:r>
        <w:rPr>
          <w:rFonts w:asciiTheme="majorEastAsia" w:eastAsiaTheme="majorEastAsia" w:hAnsiTheme="majorEastAsia" w:cstheme="majorEastAsia" w:hint="eastAsia"/>
          <w:b/>
          <w:sz w:val="32"/>
          <w:szCs w:val="32"/>
        </w:rPr>
        <w:t>三是抑价格波动。</w:t>
      </w:r>
      <w:r>
        <w:rPr>
          <w:rFonts w:asciiTheme="majorEastAsia" w:eastAsiaTheme="majorEastAsia" w:hAnsiTheme="majorEastAsia" w:cstheme="majorEastAsia" w:hint="eastAsia"/>
          <w:bCs/>
          <w:sz w:val="32"/>
          <w:szCs w:val="32"/>
        </w:rPr>
        <w:t>针对肉类、蔬菜、水果等生活消费品季节性价格波动，组织</w:t>
      </w:r>
      <w:r>
        <w:rPr>
          <w:rFonts w:asciiTheme="majorEastAsia" w:eastAsiaTheme="majorEastAsia" w:hAnsiTheme="majorEastAsia" w:cstheme="majorEastAsia" w:hint="eastAsia"/>
          <w:bCs/>
          <w:sz w:val="32"/>
          <w:szCs w:val="32"/>
        </w:rPr>
        <w:t>170</w:t>
      </w:r>
      <w:r>
        <w:rPr>
          <w:rFonts w:asciiTheme="majorEastAsia" w:eastAsiaTheme="majorEastAsia" w:hAnsiTheme="majorEastAsia" w:cstheme="majorEastAsia" w:hint="eastAsia"/>
          <w:bCs/>
          <w:sz w:val="32"/>
          <w:szCs w:val="32"/>
        </w:rPr>
        <w:t>余家商户开展“产地联采分销”、“口岸进口直销”等降本增效活动，消化</w:t>
      </w:r>
      <w:r>
        <w:rPr>
          <w:rFonts w:asciiTheme="majorEastAsia" w:eastAsiaTheme="majorEastAsia" w:hAnsiTheme="majorEastAsia" w:cstheme="majorEastAsia" w:hint="eastAsia"/>
          <w:bCs/>
          <w:sz w:val="32"/>
          <w:szCs w:val="32"/>
        </w:rPr>
        <w:t>CPI</w:t>
      </w:r>
      <w:r>
        <w:rPr>
          <w:rFonts w:asciiTheme="majorEastAsia" w:eastAsiaTheme="majorEastAsia" w:hAnsiTheme="majorEastAsia" w:cstheme="majorEastAsia" w:hint="eastAsia"/>
          <w:bCs/>
          <w:sz w:val="32"/>
          <w:szCs w:val="32"/>
        </w:rPr>
        <w:t>增长约</w:t>
      </w:r>
      <w:r>
        <w:rPr>
          <w:rFonts w:asciiTheme="majorEastAsia" w:eastAsiaTheme="majorEastAsia" w:hAnsiTheme="majorEastAsia" w:cstheme="majorEastAsia" w:hint="eastAsia"/>
          <w:bCs/>
          <w:sz w:val="32"/>
          <w:szCs w:val="32"/>
        </w:rPr>
        <w:t>1.5</w:t>
      </w:r>
      <w:r>
        <w:rPr>
          <w:rFonts w:asciiTheme="majorEastAsia" w:eastAsiaTheme="majorEastAsia" w:hAnsiTheme="majorEastAsia" w:cstheme="majorEastAsia" w:hint="eastAsia"/>
          <w:bCs/>
          <w:sz w:val="32"/>
          <w:szCs w:val="32"/>
        </w:rPr>
        <w:t>个百分点。</w:t>
      </w:r>
    </w:p>
    <w:p w:rsidR="0022093C" w:rsidRDefault="006247C0">
      <w:pPr>
        <w:spacing w:line="560" w:lineRule="exact"/>
        <w:ind w:firstLineChars="200" w:firstLine="643"/>
        <w:rPr>
          <w:rFonts w:asciiTheme="majorEastAsia" w:eastAsiaTheme="majorEastAsia" w:hAnsiTheme="majorEastAsia" w:cstheme="majorEastAsia"/>
          <w:sz w:val="32"/>
          <w:szCs w:val="32"/>
        </w:rPr>
      </w:pPr>
      <w:r>
        <w:rPr>
          <w:rFonts w:asciiTheme="majorEastAsia" w:eastAsiaTheme="majorEastAsia" w:hAnsiTheme="majorEastAsia" w:cstheme="majorEastAsia" w:hint="eastAsia"/>
          <w:b/>
          <w:sz w:val="32"/>
          <w:szCs w:val="32"/>
        </w:rPr>
        <w:t>2.</w:t>
      </w:r>
      <w:r>
        <w:rPr>
          <w:rFonts w:asciiTheme="majorEastAsia" w:eastAsiaTheme="majorEastAsia" w:hAnsiTheme="majorEastAsia" w:cstheme="majorEastAsia" w:hint="eastAsia"/>
          <w:b/>
          <w:sz w:val="32"/>
          <w:szCs w:val="32"/>
        </w:rPr>
        <w:t>突出产业招商。</w:t>
      </w:r>
      <w:r>
        <w:rPr>
          <w:rFonts w:asciiTheme="majorEastAsia" w:eastAsiaTheme="majorEastAsia" w:hAnsiTheme="majorEastAsia" w:cstheme="majorEastAsia" w:hint="eastAsia"/>
          <w:sz w:val="32"/>
          <w:szCs w:val="32"/>
        </w:rPr>
        <w:t>围绕承接产业转移推进转型发展，产业招商取得较大突破，成功集中签约嘉晟长江精工、大唐华</w:t>
      </w:r>
      <w:r>
        <w:rPr>
          <w:rFonts w:asciiTheme="majorEastAsia" w:eastAsiaTheme="majorEastAsia" w:hAnsiTheme="majorEastAsia" w:cstheme="majorEastAsia" w:hint="eastAsia"/>
          <w:sz w:val="32"/>
          <w:szCs w:val="32"/>
        </w:rPr>
        <w:lastRenderedPageBreak/>
        <w:t>银风电场项目、湖南建工舞源商业综合体</w:t>
      </w:r>
      <w:r>
        <w:rPr>
          <w:rFonts w:asciiTheme="majorEastAsia" w:eastAsiaTheme="majorEastAsia" w:hAnsiTheme="majorEastAsia" w:cstheme="majorEastAsia" w:hint="eastAsia"/>
          <w:sz w:val="32"/>
          <w:szCs w:val="32"/>
        </w:rPr>
        <w:t>、金生文旅等</w:t>
      </w:r>
      <w:r>
        <w:rPr>
          <w:rFonts w:asciiTheme="majorEastAsia" w:eastAsiaTheme="majorEastAsia" w:hAnsiTheme="majorEastAsia" w:cstheme="majorEastAsia" w:hint="eastAsia"/>
          <w:sz w:val="32"/>
          <w:szCs w:val="32"/>
        </w:rPr>
        <w:t>10</w:t>
      </w:r>
      <w:r>
        <w:rPr>
          <w:rFonts w:asciiTheme="majorEastAsia" w:eastAsiaTheme="majorEastAsia" w:hAnsiTheme="majorEastAsia" w:cstheme="majorEastAsia" w:hint="eastAsia"/>
          <w:sz w:val="32"/>
          <w:szCs w:val="32"/>
        </w:rPr>
        <w:t>余个过亿元的产业项目，其中引进</w:t>
      </w:r>
      <w:r>
        <w:rPr>
          <w:rFonts w:asciiTheme="majorEastAsia" w:eastAsiaTheme="majorEastAsia" w:hAnsiTheme="majorEastAsia" w:cstheme="majorEastAsia" w:hint="eastAsia"/>
          <w:sz w:val="32"/>
          <w:szCs w:val="32"/>
        </w:rPr>
        <w:t xml:space="preserve"> </w:t>
      </w:r>
      <w:r>
        <w:rPr>
          <w:rFonts w:asciiTheme="majorEastAsia" w:eastAsiaTheme="majorEastAsia" w:hAnsiTheme="majorEastAsia" w:cstheme="majorEastAsia" w:hint="eastAsia"/>
          <w:sz w:val="32"/>
          <w:szCs w:val="32"/>
        </w:rPr>
        <w:t>“</w:t>
      </w:r>
      <w:r>
        <w:rPr>
          <w:rFonts w:asciiTheme="majorEastAsia" w:eastAsiaTheme="majorEastAsia" w:hAnsiTheme="majorEastAsia" w:cstheme="majorEastAsia" w:hint="eastAsia"/>
          <w:sz w:val="32"/>
          <w:szCs w:val="32"/>
        </w:rPr>
        <w:t>500</w:t>
      </w:r>
      <w:r>
        <w:rPr>
          <w:rFonts w:asciiTheme="majorEastAsia" w:eastAsiaTheme="majorEastAsia" w:hAnsiTheme="majorEastAsia" w:cstheme="majorEastAsia" w:hint="eastAsia"/>
          <w:sz w:val="32"/>
          <w:szCs w:val="32"/>
        </w:rPr>
        <w:t>强”企业</w:t>
      </w:r>
      <w:r>
        <w:rPr>
          <w:rFonts w:asciiTheme="majorEastAsia" w:eastAsiaTheme="majorEastAsia" w:hAnsiTheme="majorEastAsia" w:cstheme="majorEastAsia" w:hint="eastAsia"/>
          <w:sz w:val="32"/>
          <w:szCs w:val="32"/>
        </w:rPr>
        <w:t>3</w:t>
      </w:r>
      <w:r>
        <w:rPr>
          <w:rFonts w:asciiTheme="majorEastAsia" w:eastAsiaTheme="majorEastAsia" w:hAnsiTheme="majorEastAsia" w:cstheme="majorEastAsia" w:hint="eastAsia"/>
          <w:sz w:val="32"/>
          <w:szCs w:val="32"/>
        </w:rPr>
        <w:t>个（世界</w:t>
      </w:r>
      <w:r>
        <w:rPr>
          <w:rFonts w:asciiTheme="majorEastAsia" w:eastAsiaTheme="majorEastAsia" w:hAnsiTheme="majorEastAsia" w:cstheme="majorEastAsia" w:hint="eastAsia"/>
          <w:sz w:val="32"/>
          <w:szCs w:val="32"/>
        </w:rPr>
        <w:t>500</w:t>
      </w:r>
      <w:r>
        <w:rPr>
          <w:rFonts w:asciiTheme="majorEastAsia" w:eastAsiaTheme="majorEastAsia" w:hAnsiTheme="majorEastAsia" w:cstheme="majorEastAsia" w:hint="eastAsia"/>
          <w:sz w:val="32"/>
          <w:szCs w:val="32"/>
        </w:rPr>
        <w:t>强大唐华银集团、中国</w:t>
      </w:r>
      <w:r>
        <w:rPr>
          <w:rFonts w:asciiTheme="majorEastAsia" w:eastAsiaTheme="majorEastAsia" w:hAnsiTheme="majorEastAsia" w:cstheme="majorEastAsia" w:hint="eastAsia"/>
          <w:sz w:val="32"/>
          <w:szCs w:val="32"/>
        </w:rPr>
        <w:t>500</w:t>
      </w:r>
      <w:r>
        <w:rPr>
          <w:rFonts w:asciiTheme="majorEastAsia" w:eastAsiaTheme="majorEastAsia" w:hAnsiTheme="majorEastAsia" w:cstheme="majorEastAsia" w:hint="eastAsia"/>
          <w:sz w:val="32"/>
          <w:szCs w:val="32"/>
        </w:rPr>
        <w:t>强长江精工集团、中国</w:t>
      </w:r>
      <w:r>
        <w:rPr>
          <w:rFonts w:asciiTheme="majorEastAsia" w:eastAsiaTheme="majorEastAsia" w:hAnsiTheme="majorEastAsia" w:cstheme="majorEastAsia" w:hint="eastAsia"/>
          <w:sz w:val="32"/>
          <w:szCs w:val="32"/>
        </w:rPr>
        <w:t>500</w:t>
      </w:r>
      <w:r>
        <w:rPr>
          <w:rFonts w:asciiTheme="majorEastAsia" w:eastAsiaTheme="majorEastAsia" w:hAnsiTheme="majorEastAsia" w:cstheme="majorEastAsia" w:hint="eastAsia"/>
          <w:sz w:val="32"/>
          <w:szCs w:val="32"/>
        </w:rPr>
        <w:t>强湖南建工集团），正在与中冶东北建设、广州铜锣湾、杭州颐高集团等知名企业积极洽谈，有望近期签约。</w:t>
      </w:r>
    </w:p>
    <w:p w:rsidR="0022093C" w:rsidRDefault="006247C0">
      <w:pPr>
        <w:spacing w:line="540" w:lineRule="exact"/>
        <w:ind w:firstLine="645"/>
        <w:rPr>
          <w:rFonts w:asciiTheme="majorEastAsia" w:eastAsiaTheme="majorEastAsia" w:hAnsiTheme="majorEastAsia" w:cstheme="majorEastAsia"/>
          <w:sz w:val="32"/>
          <w:szCs w:val="32"/>
        </w:rPr>
      </w:pPr>
      <w:r>
        <w:rPr>
          <w:rFonts w:asciiTheme="majorEastAsia" w:eastAsiaTheme="majorEastAsia" w:hAnsiTheme="majorEastAsia" w:cstheme="majorEastAsia" w:hint="eastAsia"/>
          <w:b/>
          <w:sz w:val="32"/>
          <w:szCs w:val="32"/>
        </w:rPr>
        <w:t>3.</w:t>
      </w:r>
      <w:r>
        <w:rPr>
          <w:rFonts w:asciiTheme="majorEastAsia" w:eastAsiaTheme="majorEastAsia" w:hAnsiTheme="majorEastAsia" w:cstheme="majorEastAsia" w:hint="eastAsia"/>
          <w:b/>
          <w:sz w:val="32"/>
          <w:szCs w:val="32"/>
        </w:rPr>
        <w:t>突出项目支撑。</w:t>
      </w:r>
      <w:r>
        <w:rPr>
          <w:rFonts w:asciiTheme="majorEastAsia" w:eastAsiaTheme="majorEastAsia" w:hAnsiTheme="majorEastAsia" w:cstheme="majorEastAsia" w:hint="eastAsia"/>
          <w:sz w:val="32"/>
          <w:szCs w:val="32"/>
        </w:rPr>
        <w:t>商贸物流重点投资建设项目来势较好，飞达新世纪广场已完成主体建设，诚信御园</w:t>
      </w:r>
      <w:r>
        <w:rPr>
          <w:rFonts w:asciiTheme="majorEastAsia" w:eastAsiaTheme="majorEastAsia" w:hAnsiTheme="majorEastAsia" w:cstheme="majorEastAsia" w:hint="eastAsia"/>
          <w:sz w:val="32"/>
          <w:szCs w:val="32"/>
        </w:rPr>
        <w:t>(</w:t>
      </w:r>
      <w:r>
        <w:rPr>
          <w:rFonts w:asciiTheme="majorEastAsia" w:eastAsiaTheme="majorEastAsia" w:hAnsiTheme="majorEastAsia" w:cstheme="majorEastAsia" w:hint="eastAsia"/>
          <w:sz w:val="32"/>
          <w:szCs w:val="32"/>
        </w:rPr>
        <w:t>城市综合体）和步步高中环广场正在加紧施工</w:t>
      </w:r>
      <w:r>
        <w:rPr>
          <w:rFonts w:asciiTheme="majorEastAsia" w:eastAsiaTheme="majorEastAsia" w:hAnsiTheme="majorEastAsia" w:cstheme="majorEastAsia" w:hint="eastAsia"/>
          <w:sz w:val="32"/>
          <w:szCs w:val="32"/>
        </w:rPr>
        <w:t>,</w:t>
      </w:r>
      <w:r>
        <w:rPr>
          <w:rFonts w:asciiTheme="majorEastAsia" w:eastAsiaTheme="majorEastAsia" w:hAnsiTheme="majorEastAsia" w:cstheme="majorEastAsia" w:hint="eastAsia"/>
          <w:sz w:val="32"/>
          <w:szCs w:val="32"/>
        </w:rPr>
        <w:t>佳惠农产品（冷链）物流产业园二期年底前将完成建设营业，乐智城商业综合体基本完成征地拆迁工作，万达商业广场年度前将正式营业，盛世华都五星级酒店建设顺利</w:t>
      </w:r>
      <w:r>
        <w:rPr>
          <w:rFonts w:asciiTheme="majorEastAsia" w:eastAsiaTheme="majorEastAsia" w:hAnsiTheme="majorEastAsia" w:cstheme="majorEastAsia" w:hint="eastAsia"/>
          <w:sz w:val="32"/>
          <w:szCs w:val="32"/>
        </w:rPr>
        <w:t>推进，预计将超额完成</w:t>
      </w:r>
      <w:r>
        <w:rPr>
          <w:rFonts w:asciiTheme="majorEastAsia" w:eastAsiaTheme="majorEastAsia" w:hAnsiTheme="majorEastAsia" w:cstheme="majorEastAsia" w:hint="eastAsia"/>
          <w:sz w:val="32"/>
          <w:szCs w:val="32"/>
        </w:rPr>
        <w:t>19.5</w:t>
      </w:r>
      <w:r>
        <w:rPr>
          <w:rFonts w:asciiTheme="majorEastAsia" w:eastAsiaTheme="majorEastAsia" w:hAnsiTheme="majorEastAsia" w:cstheme="majorEastAsia" w:hint="eastAsia"/>
          <w:sz w:val="32"/>
          <w:szCs w:val="32"/>
        </w:rPr>
        <w:t>亿元的年度投资任务。</w:t>
      </w:r>
    </w:p>
    <w:p w:rsidR="0022093C" w:rsidRDefault="006247C0">
      <w:pPr>
        <w:spacing w:line="540" w:lineRule="exact"/>
        <w:ind w:firstLine="645"/>
        <w:rPr>
          <w:rFonts w:asciiTheme="majorEastAsia" w:eastAsiaTheme="majorEastAsia" w:hAnsiTheme="majorEastAsia" w:cstheme="majorEastAsia" w:hint="eastAsia"/>
          <w:sz w:val="32"/>
          <w:szCs w:val="32"/>
        </w:rPr>
      </w:pPr>
      <w:r>
        <w:rPr>
          <w:rFonts w:asciiTheme="majorEastAsia" w:eastAsiaTheme="majorEastAsia" w:hAnsiTheme="majorEastAsia" w:cstheme="majorEastAsia" w:hint="eastAsia"/>
          <w:b/>
          <w:sz w:val="32"/>
          <w:szCs w:val="32"/>
        </w:rPr>
        <w:t>4.</w:t>
      </w:r>
      <w:r>
        <w:rPr>
          <w:rFonts w:asciiTheme="majorEastAsia" w:eastAsiaTheme="majorEastAsia" w:hAnsiTheme="majorEastAsia" w:cstheme="majorEastAsia" w:hint="eastAsia"/>
          <w:b/>
          <w:sz w:val="32"/>
          <w:szCs w:val="32"/>
        </w:rPr>
        <w:t>突出质量效益。</w:t>
      </w:r>
      <w:r>
        <w:rPr>
          <w:rFonts w:asciiTheme="majorEastAsia" w:eastAsiaTheme="majorEastAsia" w:hAnsiTheme="majorEastAsia" w:cstheme="majorEastAsia" w:hint="eastAsia"/>
          <w:sz w:val="32"/>
          <w:szCs w:val="32"/>
        </w:rPr>
        <w:t>瞄准开辟物流通道，加大培育进出口平台和外贸企业力度，湖南惠农物流有限公司通过“农业产业化全国重点龙头企业”省级评审，成为全省</w:t>
      </w:r>
      <w:r>
        <w:rPr>
          <w:rFonts w:asciiTheme="majorEastAsia" w:eastAsiaTheme="majorEastAsia" w:hAnsiTheme="majorEastAsia" w:cstheme="majorEastAsia" w:hint="eastAsia"/>
          <w:sz w:val="32"/>
          <w:szCs w:val="32"/>
        </w:rPr>
        <w:t>13</w:t>
      </w:r>
      <w:r>
        <w:rPr>
          <w:rFonts w:asciiTheme="majorEastAsia" w:eastAsiaTheme="majorEastAsia" w:hAnsiTheme="majorEastAsia" w:cstheme="majorEastAsia" w:hint="eastAsia"/>
          <w:sz w:val="32"/>
          <w:szCs w:val="32"/>
        </w:rPr>
        <w:t>个新增龙头企业之一，有望通过部级审批；开通怀化</w:t>
      </w:r>
      <w:r>
        <w:rPr>
          <w:rFonts w:asciiTheme="majorEastAsia" w:eastAsiaTheme="majorEastAsia" w:hAnsiTheme="majorEastAsia" w:cstheme="majorEastAsia" w:hint="eastAsia"/>
          <w:sz w:val="32"/>
          <w:szCs w:val="32"/>
        </w:rPr>
        <w:t>---</w:t>
      </w:r>
      <w:r>
        <w:rPr>
          <w:rFonts w:asciiTheme="majorEastAsia" w:eastAsiaTheme="majorEastAsia" w:hAnsiTheme="majorEastAsia" w:cstheme="majorEastAsia" w:hint="eastAsia"/>
          <w:sz w:val="32"/>
          <w:szCs w:val="32"/>
        </w:rPr>
        <w:t>明斯克、怀化</w:t>
      </w:r>
      <w:r>
        <w:rPr>
          <w:rFonts w:asciiTheme="majorEastAsia" w:eastAsiaTheme="majorEastAsia" w:hAnsiTheme="majorEastAsia" w:cstheme="majorEastAsia" w:hint="eastAsia"/>
          <w:sz w:val="32"/>
          <w:szCs w:val="32"/>
        </w:rPr>
        <w:t>---</w:t>
      </w:r>
      <w:r>
        <w:rPr>
          <w:rFonts w:asciiTheme="majorEastAsia" w:eastAsiaTheme="majorEastAsia" w:hAnsiTheme="majorEastAsia" w:cstheme="majorEastAsia" w:hint="eastAsia"/>
          <w:sz w:val="32"/>
          <w:szCs w:val="32"/>
        </w:rPr>
        <w:t>德黑兰货运班列，打通连接欧洲和西亚两条国际物流大通道。新增怀化铁路口岸、侗乡农业等出口外向型企业</w:t>
      </w:r>
      <w:r>
        <w:rPr>
          <w:rFonts w:asciiTheme="majorEastAsia" w:eastAsiaTheme="majorEastAsia" w:hAnsiTheme="majorEastAsia" w:cstheme="majorEastAsia" w:hint="eastAsia"/>
          <w:sz w:val="32"/>
          <w:szCs w:val="32"/>
        </w:rPr>
        <w:t>10</w:t>
      </w:r>
      <w:r>
        <w:rPr>
          <w:rFonts w:asciiTheme="majorEastAsia" w:eastAsiaTheme="majorEastAsia" w:hAnsiTheme="majorEastAsia" w:cstheme="majorEastAsia" w:hint="eastAsia"/>
          <w:sz w:val="32"/>
          <w:szCs w:val="32"/>
        </w:rPr>
        <w:t>家，怀化轩琪物流有限公司分别与泰国、越南等东南亚国家企业签定农产品贸易合同；“佳惠云”与“阿里云”、“亚马逊云”和“京东云”实现资源共享，“佳惠云</w:t>
      </w:r>
      <w:r>
        <w:rPr>
          <w:rFonts w:asciiTheme="majorEastAsia" w:eastAsiaTheme="majorEastAsia" w:hAnsiTheme="majorEastAsia" w:cstheme="majorEastAsia" w:hint="eastAsia"/>
          <w:sz w:val="32"/>
          <w:szCs w:val="32"/>
        </w:rPr>
        <w:t>”新支付流量位居全省前三，推动“总部经济”向我区集聚初显雏形，将有效支撑和服务我区产业及物流园区向</w:t>
      </w:r>
      <w:r>
        <w:rPr>
          <w:rFonts w:asciiTheme="majorEastAsia" w:eastAsiaTheme="majorEastAsia" w:hAnsiTheme="majorEastAsia" w:cstheme="majorEastAsia" w:hint="eastAsia"/>
          <w:sz w:val="32"/>
          <w:szCs w:val="32"/>
        </w:rPr>
        <w:t xml:space="preserve"> </w:t>
      </w:r>
      <w:r>
        <w:rPr>
          <w:rFonts w:asciiTheme="majorEastAsia" w:eastAsiaTheme="majorEastAsia" w:hAnsiTheme="majorEastAsia" w:cstheme="majorEastAsia" w:hint="eastAsia"/>
          <w:sz w:val="32"/>
          <w:szCs w:val="32"/>
        </w:rPr>
        <w:t>“国际化、智能化”发展。</w:t>
      </w:r>
    </w:p>
    <w:p w:rsidR="00C37286" w:rsidRDefault="00C37286">
      <w:pPr>
        <w:spacing w:line="540" w:lineRule="exact"/>
        <w:ind w:firstLine="645"/>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经单位自评：预算支出绩效评价得分97分。</w:t>
      </w:r>
    </w:p>
    <w:p w:rsidR="0022093C" w:rsidRDefault="006247C0">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lastRenderedPageBreak/>
        <w:t>四、绩效评价指标分析</w:t>
      </w:r>
    </w:p>
    <w:p w:rsidR="0022093C" w:rsidRDefault="006247C0">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全区实现社会消费品零售总额增幅</w:t>
      </w:r>
      <w:r>
        <w:rPr>
          <w:rFonts w:asciiTheme="majorEastAsia" w:eastAsiaTheme="majorEastAsia" w:hAnsiTheme="majorEastAsia" w:cstheme="majorEastAsia" w:hint="eastAsia"/>
          <w:sz w:val="32"/>
          <w:szCs w:val="32"/>
        </w:rPr>
        <w:t>9.8%</w:t>
      </w:r>
      <w:r>
        <w:rPr>
          <w:rFonts w:asciiTheme="majorEastAsia" w:eastAsiaTheme="majorEastAsia" w:hAnsiTheme="majorEastAsia" w:cstheme="majorEastAsia" w:hint="eastAsia"/>
          <w:sz w:val="32"/>
          <w:szCs w:val="32"/>
        </w:rPr>
        <w:t>，与去年同比增长</w:t>
      </w:r>
      <w:r>
        <w:rPr>
          <w:rFonts w:asciiTheme="majorEastAsia" w:eastAsiaTheme="majorEastAsia" w:hAnsiTheme="majorEastAsia" w:cstheme="majorEastAsia" w:hint="eastAsia"/>
          <w:sz w:val="32"/>
          <w:szCs w:val="32"/>
        </w:rPr>
        <w:t>0.3%</w:t>
      </w:r>
      <w:r>
        <w:rPr>
          <w:rFonts w:asciiTheme="majorEastAsia" w:eastAsiaTheme="majorEastAsia" w:hAnsiTheme="majorEastAsia" w:cstheme="majorEastAsia" w:hint="eastAsia"/>
          <w:sz w:val="32"/>
          <w:szCs w:val="32"/>
        </w:rPr>
        <w:t>，占全市贡献值</w:t>
      </w:r>
      <w:r>
        <w:rPr>
          <w:rFonts w:asciiTheme="majorEastAsia" w:eastAsiaTheme="majorEastAsia" w:hAnsiTheme="majorEastAsia" w:cstheme="majorEastAsia" w:hint="eastAsia"/>
          <w:sz w:val="32"/>
          <w:szCs w:val="32"/>
        </w:rPr>
        <w:t>33%</w:t>
      </w:r>
      <w:r>
        <w:rPr>
          <w:rFonts w:asciiTheme="majorEastAsia" w:eastAsiaTheme="majorEastAsia" w:hAnsiTheme="majorEastAsia" w:cstheme="majorEastAsia" w:hint="eastAsia"/>
          <w:sz w:val="32"/>
          <w:szCs w:val="32"/>
        </w:rPr>
        <w:t>，限上企业零售总额占全市</w:t>
      </w:r>
      <w:r>
        <w:rPr>
          <w:rFonts w:asciiTheme="majorEastAsia" w:eastAsiaTheme="majorEastAsia" w:hAnsiTheme="majorEastAsia" w:cstheme="majorEastAsia" w:hint="eastAsia"/>
          <w:sz w:val="32"/>
          <w:szCs w:val="32"/>
        </w:rPr>
        <w:t>80%</w:t>
      </w:r>
      <w:r>
        <w:rPr>
          <w:rFonts w:asciiTheme="majorEastAsia" w:eastAsiaTheme="majorEastAsia" w:hAnsiTheme="majorEastAsia" w:cstheme="majorEastAsia" w:hint="eastAsia"/>
          <w:sz w:val="32"/>
          <w:szCs w:val="32"/>
        </w:rPr>
        <w:t>左右；招商引资省外到位资金</w:t>
      </w:r>
      <w:r>
        <w:rPr>
          <w:rFonts w:asciiTheme="majorEastAsia" w:eastAsiaTheme="majorEastAsia" w:hAnsiTheme="majorEastAsia" w:cstheme="majorEastAsia" w:hint="eastAsia"/>
          <w:sz w:val="32"/>
          <w:szCs w:val="32"/>
        </w:rPr>
        <w:t>25.8</w:t>
      </w:r>
      <w:r>
        <w:rPr>
          <w:rFonts w:asciiTheme="majorEastAsia" w:eastAsiaTheme="majorEastAsia" w:hAnsiTheme="majorEastAsia" w:cstheme="majorEastAsia" w:hint="eastAsia"/>
          <w:sz w:val="32"/>
          <w:szCs w:val="32"/>
        </w:rPr>
        <w:t>亿元，完成年计划的</w:t>
      </w:r>
      <w:r>
        <w:rPr>
          <w:rFonts w:asciiTheme="majorEastAsia" w:eastAsiaTheme="majorEastAsia" w:hAnsiTheme="majorEastAsia" w:cstheme="majorEastAsia" w:hint="eastAsia"/>
          <w:sz w:val="32"/>
          <w:szCs w:val="32"/>
        </w:rPr>
        <w:t>80.6 %</w:t>
      </w:r>
      <w:r>
        <w:rPr>
          <w:rFonts w:asciiTheme="majorEastAsia" w:eastAsiaTheme="majorEastAsia" w:hAnsiTheme="majorEastAsia" w:cstheme="majorEastAsia" w:hint="eastAsia"/>
          <w:sz w:val="32"/>
          <w:szCs w:val="32"/>
        </w:rPr>
        <w:t>，全市排名靠前；实现对外劳务合作</w:t>
      </w:r>
      <w:r>
        <w:rPr>
          <w:rFonts w:asciiTheme="majorEastAsia" w:eastAsiaTheme="majorEastAsia" w:hAnsiTheme="majorEastAsia" w:cstheme="majorEastAsia" w:hint="eastAsia"/>
          <w:sz w:val="32"/>
          <w:szCs w:val="32"/>
        </w:rPr>
        <w:t>281</w:t>
      </w:r>
      <w:r>
        <w:rPr>
          <w:rFonts w:asciiTheme="majorEastAsia" w:eastAsiaTheme="majorEastAsia" w:hAnsiTheme="majorEastAsia" w:cstheme="majorEastAsia" w:hint="eastAsia"/>
          <w:sz w:val="32"/>
          <w:szCs w:val="32"/>
        </w:rPr>
        <w:t>万美元，同比增加</w:t>
      </w:r>
      <w:r>
        <w:rPr>
          <w:rFonts w:asciiTheme="majorEastAsia" w:eastAsiaTheme="majorEastAsia" w:hAnsiTheme="majorEastAsia" w:cstheme="majorEastAsia" w:hint="eastAsia"/>
          <w:sz w:val="32"/>
          <w:szCs w:val="32"/>
        </w:rPr>
        <w:t>14</w:t>
      </w:r>
      <w:r>
        <w:rPr>
          <w:rFonts w:asciiTheme="majorEastAsia" w:eastAsiaTheme="majorEastAsia" w:hAnsiTheme="majorEastAsia" w:cstheme="majorEastAsia" w:hint="eastAsia"/>
          <w:sz w:val="32"/>
          <w:szCs w:val="32"/>
        </w:rPr>
        <w:t>万美元，完成年计划的</w:t>
      </w:r>
      <w:r>
        <w:rPr>
          <w:rFonts w:asciiTheme="majorEastAsia" w:eastAsiaTheme="majorEastAsia" w:hAnsiTheme="majorEastAsia" w:cstheme="majorEastAsia" w:hint="eastAsia"/>
          <w:sz w:val="32"/>
          <w:szCs w:val="32"/>
        </w:rPr>
        <w:t>91.8%</w:t>
      </w:r>
      <w:r>
        <w:rPr>
          <w:rFonts w:asciiTheme="majorEastAsia" w:eastAsiaTheme="majorEastAsia" w:hAnsiTheme="majorEastAsia" w:cstheme="majorEastAsia" w:hint="eastAsia"/>
          <w:sz w:val="32"/>
          <w:szCs w:val="32"/>
        </w:rPr>
        <w:t>；实际利用外资</w:t>
      </w:r>
      <w:r>
        <w:rPr>
          <w:rFonts w:asciiTheme="majorEastAsia" w:eastAsiaTheme="majorEastAsia" w:hAnsiTheme="majorEastAsia" w:cstheme="majorEastAsia" w:hint="eastAsia"/>
          <w:sz w:val="32"/>
          <w:szCs w:val="32"/>
        </w:rPr>
        <w:t>1528</w:t>
      </w:r>
      <w:r>
        <w:rPr>
          <w:rFonts w:asciiTheme="majorEastAsia" w:eastAsiaTheme="majorEastAsia" w:hAnsiTheme="majorEastAsia" w:cstheme="majorEastAsia" w:hint="eastAsia"/>
          <w:sz w:val="32"/>
          <w:szCs w:val="32"/>
        </w:rPr>
        <w:t>万美元，完成年计划的</w:t>
      </w:r>
      <w:r>
        <w:rPr>
          <w:rFonts w:asciiTheme="majorEastAsia" w:eastAsiaTheme="majorEastAsia" w:hAnsiTheme="majorEastAsia" w:cstheme="majorEastAsia" w:hint="eastAsia"/>
          <w:sz w:val="32"/>
          <w:szCs w:val="32"/>
        </w:rPr>
        <w:t>250.5%</w:t>
      </w:r>
      <w:r>
        <w:rPr>
          <w:rFonts w:asciiTheme="majorEastAsia" w:eastAsiaTheme="majorEastAsia" w:hAnsiTheme="majorEastAsia" w:cstheme="majorEastAsia" w:hint="eastAsia"/>
          <w:sz w:val="32"/>
          <w:szCs w:val="32"/>
        </w:rPr>
        <w:t>；实现外贸进出口</w:t>
      </w:r>
      <w:r>
        <w:rPr>
          <w:rFonts w:asciiTheme="majorEastAsia" w:eastAsiaTheme="majorEastAsia" w:hAnsiTheme="majorEastAsia" w:cstheme="majorEastAsia" w:hint="eastAsia"/>
          <w:sz w:val="32"/>
          <w:szCs w:val="32"/>
        </w:rPr>
        <w:t>605</w:t>
      </w:r>
      <w:r>
        <w:rPr>
          <w:rFonts w:asciiTheme="majorEastAsia" w:eastAsiaTheme="majorEastAsia" w:hAnsiTheme="majorEastAsia" w:cstheme="majorEastAsia" w:hint="eastAsia"/>
          <w:sz w:val="32"/>
          <w:szCs w:val="32"/>
        </w:rPr>
        <w:t>万美元，完成计划的</w:t>
      </w:r>
      <w:r>
        <w:rPr>
          <w:rFonts w:asciiTheme="majorEastAsia" w:eastAsiaTheme="majorEastAsia" w:hAnsiTheme="majorEastAsia" w:cstheme="majorEastAsia" w:hint="eastAsia"/>
          <w:sz w:val="32"/>
          <w:szCs w:val="32"/>
        </w:rPr>
        <w:t>93.</w:t>
      </w:r>
      <w:r>
        <w:rPr>
          <w:rFonts w:asciiTheme="majorEastAsia" w:eastAsiaTheme="majorEastAsia" w:hAnsiTheme="majorEastAsia" w:cstheme="majorEastAsia" w:hint="eastAsia"/>
          <w:sz w:val="32"/>
          <w:szCs w:val="32"/>
        </w:rPr>
        <w:t>1%</w:t>
      </w:r>
      <w:r>
        <w:rPr>
          <w:rFonts w:asciiTheme="majorEastAsia" w:eastAsiaTheme="majorEastAsia" w:hAnsiTheme="majorEastAsia" w:cstheme="majorEastAsia" w:hint="eastAsia"/>
          <w:sz w:val="32"/>
          <w:szCs w:val="32"/>
        </w:rPr>
        <w:t>；商务部门统计的</w:t>
      </w:r>
      <w:r>
        <w:rPr>
          <w:rFonts w:asciiTheme="majorEastAsia" w:eastAsiaTheme="majorEastAsia" w:hAnsiTheme="majorEastAsia" w:cstheme="majorEastAsia" w:hint="eastAsia"/>
          <w:sz w:val="32"/>
          <w:szCs w:val="32"/>
        </w:rPr>
        <w:t>12</w:t>
      </w:r>
      <w:r>
        <w:rPr>
          <w:rFonts w:asciiTheme="majorEastAsia" w:eastAsiaTheme="majorEastAsia" w:hAnsiTheme="majorEastAsia" w:cstheme="majorEastAsia" w:hint="eastAsia"/>
          <w:sz w:val="32"/>
          <w:szCs w:val="32"/>
        </w:rPr>
        <w:t>个商贸物流重点投资项目实际完成投资</w:t>
      </w:r>
      <w:r>
        <w:rPr>
          <w:rFonts w:asciiTheme="majorEastAsia" w:eastAsiaTheme="majorEastAsia" w:hAnsiTheme="majorEastAsia" w:cstheme="majorEastAsia" w:hint="eastAsia"/>
          <w:sz w:val="32"/>
          <w:szCs w:val="32"/>
        </w:rPr>
        <w:t>15.7</w:t>
      </w:r>
      <w:r>
        <w:rPr>
          <w:rFonts w:asciiTheme="majorEastAsia" w:eastAsiaTheme="majorEastAsia" w:hAnsiTheme="majorEastAsia" w:cstheme="majorEastAsia" w:hint="eastAsia"/>
          <w:sz w:val="32"/>
          <w:szCs w:val="32"/>
        </w:rPr>
        <w:t>亿元，完成年计划的</w:t>
      </w:r>
      <w:r>
        <w:rPr>
          <w:rFonts w:asciiTheme="majorEastAsia" w:eastAsiaTheme="majorEastAsia" w:hAnsiTheme="majorEastAsia" w:cstheme="majorEastAsia" w:hint="eastAsia"/>
          <w:sz w:val="32"/>
          <w:szCs w:val="32"/>
        </w:rPr>
        <w:t>80.76%</w:t>
      </w:r>
    </w:p>
    <w:p w:rsidR="0022093C" w:rsidRDefault="006247C0">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五、主要经验及做法、存在的问题及原因分析</w:t>
      </w:r>
    </w:p>
    <w:p w:rsidR="0022093C" w:rsidRDefault="006247C0">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1</w:t>
      </w:r>
      <w:r>
        <w:rPr>
          <w:rFonts w:asciiTheme="majorEastAsia" w:eastAsiaTheme="majorEastAsia" w:hAnsiTheme="majorEastAsia" w:cstheme="majorEastAsia" w:hint="eastAsia"/>
          <w:sz w:val="32"/>
          <w:szCs w:val="32"/>
        </w:rPr>
        <w:t>、</w:t>
      </w:r>
      <w:r>
        <w:rPr>
          <w:rFonts w:asciiTheme="majorEastAsia" w:eastAsiaTheme="majorEastAsia" w:hAnsiTheme="majorEastAsia" w:cstheme="majorEastAsia" w:hint="eastAsia"/>
          <w:sz w:val="32"/>
          <w:szCs w:val="32"/>
        </w:rPr>
        <w:t xml:space="preserve"> </w:t>
      </w:r>
      <w:r>
        <w:rPr>
          <w:rFonts w:asciiTheme="majorEastAsia" w:eastAsiaTheme="majorEastAsia" w:hAnsiTheme="majorEastAsia" w:cstheme="majorEastAsia" w:hint="eastAsia"/>
          <w:sz w:val="32"/>
          <w:szCs w:val="32"/>
        </w:rPr>
        <w:t>预算编制不够完善</w:t>
      </w:r>
      <w:r>
        <w:rPr>
          <w:rFonts w:asciiTheme="majorEastAsia" w:eastAsiaTheme="majorEastAsia" w:hAnsiTheme="majorEastAsia" w:cstheme="majorEastAsia" w:hint="eastAsia"/>
          <w:sz w:val="32"/>
          <w:szCs w:val="32"/>
        </w:rPr>
        <w:t>,</w:t>
      </w:r>
      <w:r>
        <w:rPr>
          <w:rFonts w:asciiTheme="majorEastAsia" w:eastAsiaTheme="majorEastAsia" w:hAnsiTheme="majorEastAsia" w:cstheme="majorEastAsia" w:hint="eastAsia"/>
          <w:sz w:val="32"/>
          <w:szCs w:val="32"/>
        </w:rPr>
        <w:t>年中追加多，决算数与预算数比例不协调。一是项目资金年初预算偏少；二是业务工作的需要，项目资金变动较大。</w:t>
      </w:r>
      <w:r>
        <w:rPr>
          <w:rFonts w:asciiTheme="majorEastAsia" w:eastAsiaTheme="majorEastAsia" w:hAnsiTheme="majorEastAsia" w:cstheme="majorEastAsia" w:hint="eastAsia"/>
          <w:sz w:val="32"/>
          <w:szCs w:val="32"/>
        </w:rPr>
        <w:br/>
        <w:t>     2</w:t>
      </w:r>
      <w:r>
        <w:rPr>
          <w:rFonts w:asciiTheme="majorEastAsia" w:eastAsiaTheme="majorEastAsia" w:hAnsiTheme="majorEastAsia" w:cstheme="majorEastAsia" w:hint="eastAsia"/>
          <w:sz w:val="32"/>
          <w:szCs w:val="32"/>
        </w:rPr>
        <w:t>、机构改革项目资金缺口逐年加大。机构改革除人员增加，支出也逐年增加，特别是业务的增加，而年初项目资金预算却逐年减少，项目资金缺口也逐年加大。</w:t>
      </w:r>
    </w:p>
    <w:p w:rsidR="0022093C" w:rsidRDefault="006247C0">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六、有关建议</w:t>
      </w:r>
    </w:p>
    <w:p w:rsidR="0022093C" w:rsidRDefault="006247C0">
      <w:pPr>
        <w:spacing w:line="600" w:lineRule="exact"/>
        <w:ind w:firstLineChars="200" w:firstLine="640"/>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建议财政对于机构改革的单位在年初预算安排上予以倾斜，减小项目预算资金压缩幅度，这样有利于我单位的工作开展，以便能更好的完成区委、区政府交办的各项工作任务。</w:t>
      </w:r>
      <w:r>
        <w:rPr>
          <w:rFonts w:asciiTheme="majorEastAsia" w:eastAsiaTheme="majorEastAsia" w:hAnsiTheme="majorEastAsia" w:cstheme="majorEastAsia" w:hint="eastAsia"/>
          <w:sz w:val="32"/>
          <w:szCs w:val="32"/>
        </w:rPr>
        <w:t xml:space="preserve">  </w:t>
      </w:r>
    </w:p>
    <w:p w:rsidR="0022093C" w:rsidRDefault="0022093C">
      <w:pPr>
        <w:adjustRightInd w:val="0"/>
        <w:snapToGrid w:val="0"/>
        <w:spacing w:line="600" w:lineRule="exact"/>
        <w:ind w:firstLineChars="200" w:firstLine="420"/>
        <w:rPr>
          <w:rFonts w:asciiTheme="majorEastAsia" w:eastAsiaTheme="majorEastAsia" w:hAnsiTheme="majorEastAsia" w:cstheme="majorEastAsia"/>
        </w:rPr>
      </w:pPr>
    </w:p>
    <w:sectPr w:rsidR="0022093C" w:rsidSect="002209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7C0" w:rsidRDefault="006247C0" w:rsidP="00C37286">
      <w:r>
        <w:separator/>
      </w:r>
    </w:p>
  </w:endnote>
  <w:endnote w:type="continuationSeparator" w:id="1">
    <w:p w:rsidR="006247C0" w:rsidRDefault="006247C0" w:rsidP="00C372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7C0" w:rsidRDefault="006247C0" w:rsidP="00C37286">
      <w:r>
        <w:separator/>
      </w:r>
    </w:p>
  </w:footnote>
  <w:footnote w:type="continuationSeparator" w:id="1">
    <w:p w:rsidR="006247C0" w:rsidRDefault="006247C0" w:rsidP="00C372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749C7F"/>
    <w:multiLevelType w:val="singleLevel"/>
    <w:tmpl w:val="9D749C7F"/>
    <w:lvl w:ilvl="0">
      <w:start w:val="1"/>
      <w:numFmt w:val="decimal"/>
      <w:lvlText w:val="%1."/>
      <w:lvlJc w:val="left"/>
      <w:pPr>
        <w:tabs>
          <w:tab w:val="left" w:pos="312"/>
        </w:tabs>
      </w:pPr>
    </w:lvl>
  </w:abstractNum>
  <w:abstractNum w:abstractNumId="1">
    <w:nsid w:val="0146F96F"/>
    <w:multiLevelType w:val="singleLevel"/>
    <w:tmpl w:val="0146F96F"/>
    <w:lvl w:ilvl="0">
      <w:start w:val="1"/>
      <w:numFmt w:val="decimal"/>
      <w:lvlText w:val="%1."/>
      <w:lvlJc w:val="left"/>
      <w:pPr>
        <w:tabs>
          <w:tab w:val="left" w:pos="312"/>
        </w:tabs>
      </w:pPr>
    </w:lvl>
  </w:abstractNum>
  <w:abstractNum w:abstractNumId="2">
    <w:nsid w:val="020C3D36"/>
    <w:multiLevelType w:val="hybridMultilevel"/>
    <w:tmpl w:val="219EF7E4"/>
    <w:lvl w:ilvl="0" w:tplc="1996F82A">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0273DB3"/>
    <w:multiLevelType w:val="singleLevel"/>
    <w:tmpl w:val="10273DB3"/>
    <w:lvl w:ilvl="0">
      <w:start w:val="1"/>
      <w:numFmt w:val="chineseCounting"/>
      <w:suff w:val="nothing"/>
      <w:lvlText w:val="%1、"/>
      <w:lvlJc w:val="left"/>
      <w:rPr>
        <w:rFonts w:hint="eastAsia"/>
      </w:rPr>
    </w:lvl>
  </w:abstractNum>
  <w:abstractNum w:abstractNumId="4">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5">
    <w:nsid w:val="40E95AD6"/>
    <w:multiLevelType w:val="hybridMultilevel"/>
    <w:tmpl w:val="50F41288"/>
    <w:lvl w:ilvl="0" w:tplc="784A461E">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7">
    <w:nsid w:val="4F8F5461"/>
    <w:multiLevelType w:val="singleLevel"/>
    <w:tmpl w:val="4F8F5461"/>
    <w:lvl w:ilvl="0">
      <w:start w:val="2"/>
      <w:numFmt w:val="chineseCounting"/>
      <w:suff w:val="nothing"/>
      <w:lvlText w:val="（%1）"/>
      <w:lvlJc w:val="left"/>
      <w:rPr>
        <w:rFonts w:hint="eastAsia"/>
      </w:rPr>
    </w:lvl>
  </w:abstractNum>
  <w:abstractNum w:abstractNumId="8">
    <w:nsid w:val="58DDE29A"/>
    <w:multiLevelType w:val="singleLevel"/>
    <w:tmpl w:val="58DDE29A"/>
    <w:lvl w:ilvl="0">
      <w:start w:val="1"/>
      <w:numFmt w:val="chineseCounting"/>
      <w:suff w:val="nothing"/>
      <w:lvlText w:val="%1、"/>
      <w:lvlJc w:val="left"/>
      <w:rPr>
        <w:rFonts w:hint="eastAsia"/>
      </w:rPr>
    </w:lvl>
  </w:abstractNum>
  <w:abstractNum w:abstractNumId="9">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0">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3"/>
  </w:num>
  <w:num w:numId="2">
    <w:abstractNumId w:val="7"/>
  </w:num>
  <w:num w:numId="3">
    <w:abstractNumId w:val="6"/>
  </w:num>
  <w:num w:numId="4">
    <w:abstractNumId w:val="4"/>
  </w:num>
  <w:num w:numId="5">
    <w:abstractNumId w:val="10"/>
  </w:num>
  <w:num w:numId="6">
    <w:abstractNumId w:val="9"/>
  </w:num>
  <w:num w:numId="7">
    <w:abstractNumId w:val="1"/>
  </w:num>
  <w:num w:numId="8">
    <w:abstractNumId w:val="0"/>
  </w:num>
  <w:num w:numId="9">
    <w:abstractNumId w:val="8"/>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014E0"/>
    <w:rsid w:val="0001357D"/>
    <w:rsid w:val="00022046"/>
    <w:rsid w:val="000B0765"/>
    <w:rsid w:val="000B57BC"/>
    <w:rsid w:val="00162440"/>
    <w:rsid w:val="00174EEF"/>
    <w:rsid w:val="001A127E"/>
    <w:rsid w:val="00204F55"/>
    <w:rsid w:val="0022093C"/>
    <w:rsid w:val="002558F7"/>
    <w:rsid w:val="002F5BC5"/>
    <w:rsid w:val="0031755D"/>
    <w:rsid w:val="00324248"/>
    <w:rsid w:val="003711D0"/>
    <w:rsid w:val="00377767"/>
    <w:rsid w:val="00377A33"/>
    <w:rsid w:val="003E5114"/>
    <w:rsid w:val="00426627"/>
    <w:rsid w:val="00534EAC"/>
    <w:rsid w:val="005625DF"/>
    <w:rsid w:val="005833DD"/>
    <w:rsid w:val="00595424"/>
    <w:rsid w:val="00614437"/>
    <w:rsid w:val="006247C0"/>
    <w:rsid w:val="00624B4A"/>
    <w:rsid w:val="006370F0"/>
    <w:rsid w:val="006811E5"/>
    <w:rsid w:val="007B54D9"/>
    <w:rsid w:val="008263B8"/>
    <w:rsid w:val="00887C00"/>
    <w:rsid w:val="008A4834"/>
    <w:rsid w:val="008D7141"/>
    <w:rsid w:val="00980DBB"/>
    <w:rsid w:val="009D4AE4"/>
    <w:rsid w:val="00A045A1"/>
    <w:rsid w:val="00A070E1"/>
    <w:rsid w:val="00A317C9"/>
    <w:rsid w:val="00A34413"/>
    <w:rsid w:val="00A75C37"/>
    <w:rsid w:val="00AA700A"/>
    <w:rsid w:val="00B364CE"/>
    <w:rsid w:val="00B46A1F"/>
    <w:rsid w:val="00BB6107"/>
    <w:rsid w:val="00BD1C3A"/>
    <w:rsid w:val="00C25716"/>
    <w:rsid w:val="00C3391C"/>
    <w:rsid w:val="00C344EC"/>
    <w:rsid w:val="00C37286"/>
    <w:rsid w:val="00C72139"/>
    <w:rsid w:val="00CC4C2C"/>
    <w:rsid w:val="00CD20A2"/>
    <w:rsid w:val="00D10324"/>
    <w:rsid w:val="00DD4416"/>
    <w:rsid w:val="00E127F9"/>
    <w:rsid w:val="00E50869"/>
    <w:rsid w:val="00F37E11"/>
    <w:rsid w:val="00F61D55"/>
    <w:rsid w:val="00FC7FE9"/>
    <w:rsid w:val="020C744D"/>
    <w:rsid w:val="02501EDD"/>
    <w:rsid w:val="02CC26A3"/>
    <w:rsid w:val="02D047F1"/>
    <w:rsid w:val="02ED5D96"/>
    <w:rsid w:val="03BB5502"/>
    <w:rsid w:val="04954A01"/>
    <w:rsid w:val="055027D2"/>
    <w:rsid w:val="058879DE"/>
    <w:rsid w:val="05DE3D1B"/>
    <w:rsid w:val="06930C9F"/>
    <w:rsid w:val="072F0322"/>
    <w:rsid w:val="0739639A"/>
    <w:rsid w:val="076C1CA7"/>
    <w:rsid w:val="078C75BF"/>
    <w:rsid w:val="081B33E9"/>
    <w:rsid w:val="088D3A6E"/>
    <w:rsid w:val="08AC6901"/>
    <w:rsid w:val="0919491A"/>
    <w:rsid w:val="093E5180"/>
    <w:rsid w:val="09763A90"/>
    <w:rsid w:val="098C650A"/>
    <w:rsid w:val="0A2249B7"/>
    <w:rsid w:val="0ACB0F32"/>
    <w:rsid w:val="0B221C4F"/>
    <w:rsid w:val="0B4D464C"/>
    <w:rsid w:val="0BA525E2"/>
    <w:rsid w:val="0BF221AA"/>
    <w:rsid w:val="0C16320D"/>
    <w:rsid w:val="0C574944"/>
    <w:rsid w:val="0CF14047"/>
    <w:rsid w:val="0D6531D3"/>
    <w:rsid w:val="0D76620F"/>
    <w:rsid w:val="0F721803"/>
    <w:rsid w:val="103927D5"/>
    <w:rsid w:val="10822421"/>
    <w:rsid w:val="122A3A68"/>
    <w:rsid w:val="130E036A"/>
    <w:rsid w:val="13B86D1E"/>
    <w:rsid w:val="13CC0BA8"/>
    <w:rsid w:val="14AF0C9A"/>
    <w:rsid w:val="14E5177B"/>
    <w:rsid w:val="160B5C85"/>
    <w:rsid w:val="170D5195"/>
    <w:rsid w:val="174851E4"/>
    <w:rsid w:val="1834624C"/>
    <w:rsid w:val="183B3B93"/>
    <w:rsid w:val="185E42D8"/>
    <w:rsid w:val="18672D57"/>
    <w:rsid w:val="18B62C8F"/>
    <w:rsid w:val="190672CA"/>
    <w:rsid w:val="19616ED7"/>
    <w:rsid w:val="19D71F36"/>
    <w:rsid w:val="1A1A63BF"/>
    <w:rsid w:val="1A3C16E7"/>
    <w:rsid w:val="1A3D1E61"/>
    <w:rsid w:val="1BA746BB"/>
    <w:rsid w:val="1BDD1EF6"/>
    <w:rsid w:val="1C4A60C5"/>
    <w:rsid w:val="1CE50810"/>
    <w:rsid w:val="1CE56E54"/>
    <w:rsid w:val="1E2446FF"/>
    <w:rsid w:val="1EE259C5"/>
    <w:rsid w:val="1EE64ECD"/>
    <w:rsid w:val="1F6E1D50"/>
    <w:rsid w:val="20847EFD"/>
    <w:rsid w:val="20BB1BBE"/>
    <w:rsid w:val="210D28E3"/>
    <w:rsid w:val="21970778"/>
    <w:rsid w:val="22CE769D"/>
    <w:rsid w:val="239B647E"/>
    <w:rsid w:val="23C31C0C"/>
    <w:rsid w:val="23F0695D"/>
    <w:rsid w:val="23F25963"/>
    <w:rsid w:val="24112511"/>
    <w:rsid w:val="242A7BD4"/>
    <w:rsid w:val="25123BE2"/>
    <w:rsid w:val="255B0886"/>
    <w:rsid w:val="25AB5C8C"/>
    <w:rsid w:val="26602B5E"/>
    <w:rsid w:val="267B534F"/>
    <w:rsid w:val="26F874D4"/>
    <w:rsid w:val="27355089"/>
    <w:rsid w:val="274C2EF1"/>
    <w:rsid w:val="27AF522E"/>
    <w:rsid w:val="27D37AB6"/>
    <w:rsid w:val="28526698"/>
    <w:rsid w:val="298A5E20"/>
    <w:rsid w:val="29C2354C"/>
    <w:rsid w:val="29DC1C14"/>
    <w:rsid w:val="2A2C6DFB"/>
    <w:rsid w:val="2A3D3BAF"/>
    <w:rsid w:val="2AFA034D"/>
    <w:rsid w:val="2B051447"/>
    <w:rsid w:val="2B655F8E"/>
    <w:rsid w:val="2BE94052"/>
    <w:rsid w:val="2CCD6C19"/>
    <w:rsid w:val="2D5A4CB9"/>
    <w:rsid w:val="2E814F4E"/>
    <w:rsid w:val="301F6E3B"/>
    <w:rsid w:val="30AD4EC2"/>
    <w:rsid w:val="315D1765"/>
    <w:rsid w:val="31ED7029"/>
    <w:rsid w:val="323E203D"/>
    <w:rsid w:val="327448E5"/>
    <w:rsid w:val="32D42FA1"/>
    <w:rsid w:val="33C0192C"/>
    <w:rsid w:val="347C73FD"/>
    <w:rsid w:val="352100FA"/>
    <w:rsid w:val="35391016"/>
    <w:rsid w:val="357D6441"/>
    <w:rsid w:val="3623340D"/>
    <w:rsid w:val="36883551"/>
    <w:rsid w:val="36E57511"/>
    <w:rsid w:val="37335623"/>
    <w:rsid w:val="37B02BB9"/>
    <w:rsid w:val="38784969"/>
    <w:rsid w:val="38B5512B"/>
    <w:rsid w:val="390B213A"/>
    <w:rsid w:val="39106826"/>
    <w:rsid w:val="39675A71"/>
    <w:rsid w:val="396B1F90"/>
    <w:rsid w:val="3A272C9F"/>
    <w:rsid w:val="3A8B5653"/>
    <w:rsid w:val="3AC67D3B"/>
    <w:rsid w:val="3B2C3DCD"/>
    <w:rsid w:val="3BFD52F9"/>
    <w:rsid w:val="3D4B2451"/>
    <w:rsid w:val="3DB05AC4"/>
    <w:rsid w:val="3DC056F8"/>
    <w:rsid w:val="3DD37670"/>
    <w:rsid w:val="3E5B4E91"/>
    <w:rsid w:val="3F1F3501"/>
    <w:rsid w:val="3F346043"/>
    <w:rsid w:val="3F8C2DA9"/>
    <w:rsid w:val="3FCA107A"/>
    <w:rsid w:val="401F5F83"/>
    <w:rsid w:val="408200A8"/>
    <w:rsid w:val="418E3A01"/>
    <w:rsid w:val="41C125B7"/>
    <w:rsid w:val="42061BCD"/>
    <w:rsid w:val="425919FE"/>
    <w:rsid w:val="42DF7049"/>
    <w:rsid w:val="43B86505"/>
    <w:rsid w:val="43C960BF"/>
    <w:rsid w:val="44195658"/>
    <w:rsid w:val="44C01421"/>
    <w:rsid w:val="4528408E"/>
    <w:rsid w:val="454D3871"/>
    <w:rsid w:val="45EB42CE"/>
    <w:rsid w:val="465612D7"/>
    <w:rsid w:val="46CC339F"/>
    <w:rsid w:val="495A4D5B"/>
    <w:rsid w:val="4989356F"/>
    <w:rsid w:val="499E4E70"/>
    <w:rsid w:val="49AA6390"/>
    <w:rsid w:val="49BC7F59"/>
    <w:rsid w:val="4A123753"/>
    <w:rsid w:val="4A3326F9"/>
    <w:rsid w:val="4BF46E20"/>
    <w:rsid w:val="4C604B78"/>
    <w:rsid w:val="4C971EC8"/>
    <w:rsid w:val="4DFF4CAD"/>
    <w:rsid w:val="4E1249A3"/>
    <w:rsid w:val="4E8E45F4"/>
    <w:rsid w:val="4F553361"/>
    <w:rsid w:val="4F5926BB"/>
    <w:rsid w:val="4F9C58D7"/>
    <w:rsid w:val="50067EE0"/>
    <w:rsid w:val="51187A65"/>
    <w:rsid w:val="514C0593"/>
    <w:rsid w:val="51E43B43"/>
    <w:rsid w:val="526B4152"/>
    <w:rsid w:val="52974CA0"/>
    <w:rsid w:val="52C60D1C"/>
    <w:rsid w:val="53664A33"/>
    <w:rsid w:val="53A05BB0"/>
    <w:rsid w:val="53F92F45"/>
    <w:rsid w:val="545D5EF6"/>
    <w:rsid w:val="5498798D"/>
    <w:rsid w:val="54F6698B"/>
    <w:rsid w:val="552C4F1D"/>
    <w:rsid w:val="55482F9B"/>
    <w:rsid w:val="557E79D9"/>
    <w:rsid w:val="55A40ED2"/>
    <w:rsid w:val="55D94028"/>
    <w:rsid w:val="5678483E"/>
    <w:rsid w:val="56B37988"/>
    <w:rsid w:val="56F65059"/>
    <w:rsid w:val="57C16F3F"/>
    <w:rsid w:val="57C95F6C"/>
    <w:rsid w:val="58072FE3"/>
    <w:rsid w:val="58315D95"/>
    <w:rsid w:val="5974573E"/>
    <w:rsid w:val="59F062C0"/>
    <w:rsid w:val="5A93634A"/>
    <w:rsid w:val="5AD66BA1"/>
    <w:rsid w:val="5AEE6623"/>
    <w:rsid w:val="5B2F584A"/>
    <w:rsid w:val="5B9057D8"/>
    <w:rsid w:val="5C3968B7"/>
    <w:rsid w:val="5C9535D2"/>
    <w:rsid w:val="5CA22958"/>
    <w:rsid w:val="5CDC5938"/>
    <w:rsid w:val="5D022EB4"/>
    <w:rsid w:val="5D334D68"/>
    <w:rsid w:val="5D5E04A4"/>
    <w:rsid w:val="5D8F4A9D"/>
    <w:rsid w:val="5DB85DFA"/>
    <w:rsid w:val="5F1E08DE"/>
    <w:rsid w:val="5FAB240A"/>
    <w:rsid w:val="5FBC5C38"/>
    <w:rsid w:val="60F54963"/>
    <w:rsid w:val="62054ED6"/>
    <w:rsid w:val="624E3061"/>
    <w:rsid w:val="629C30CB"/>
    <w:rsid w:val="62EF3D34"/>
    <w:rsid w:val="63793519"/>
    <w:rsid w:val="6388593B"/>
    <w:rsid w:val="639D6065"/>
    <w:rsid w:val="63A4253E"/>
    <w:rsid w:val="63D77E8F"/>
    <w:rsid w:val="64B5095E"/>
    <w:rsid w:val="64DB1466"/>
    <w:rsid w:val="658F626E"/>
    <w:rsid w:val="659B1209"/>
    <w:rsid w:val="65A86D77"/>
    <w:rsid w:val="66C908EE"/>
    <w:rsid w:val="66CA5945"/>
    <w:rsid w:val="670F6125"/>
    <w:rsid w:val="676C6F7E"/>
    <w:rsid w:val="6789400C"/>
    <w:rsid w:val="68067046"/>
    <w:rsid w:val="683E2624"/>
    <w:rsid w:val="68770B56"/>
    <w:rsid w:val="68DC20A5"/>
    <w:rsid w:val="6A1A1E33"/>
    <w:rsid w:val="6A4D31C2"/>
    <w:rsid w:val="6AB912B2"/>
    <w:rsid w:val="6AB943C8"/>
    <w:rsid w:val="6B4C32A6"/>
    <w:rsid w:val="6B974E71"/>
    <w:rsid w:val="6BA601B0"/>
    <w:rsid w:val="6C4B4697"/>
    <w:rsid w:val="6D752BFD"/>
    <w:rsid w:val="6E041977"/>
    <w:rsid w:val="6E292BC1"/>
    <w:rsid w:val="6E6B4A84"/>
    <w:rsid w:val="6EF42AAC"/>
    <w:rsid w:val="6EF746F9"/>
    <w:rsid w:val="6F076028"/>
    <w:rsid w:val="6F4F493D"/>
    <w:rsid w:val="6FA32CF0"/>
    <w:rsid w:val="6FA65DC7"/>
    <w:rsid w:val="6FC067F0"/>
    <w:rsid w:val="70565BFC"/>
    <w:rsid w:val="707F3307"/>
    <w:rsid w:val="709864DE"/>
    <w:rsid w:val="727B4EBF"/>
    <w:rsid w:val="728473C2"/>
    <w:rsid w:val="73444A8D"/>
    <w:rsid w:val="73514FD2"/>
    <w:rsid w:val="73605977"/>
    <w:rsid w:val="746C0A36"/>
    <w:rsid w:val="747479A9"/>
    <w:rsid w:val="74D664A4"/>
    <w:rsid w:val="74DF77AF"/>
    <w:rsid w:val="74E82782"/>
    <w:rsid w:val="751242FF"/>
    <w:rsid w:val="75847D86"/>
    <w:rsid w:val="75A56B0E"/>
    <w:rsid w:val="77884637"/>
    <w:rsid w:val="79432F6D"/>
    <w:rsid w:val="79974FEC"/>
    <w:rsid w:val="79A97E25"/>
    <w:rsid w:val="79F02A52"/>
    <w:rsid w:val="7A195331"/>
    <w:rsid w:val="7ABD3FB1"/>
    <w:rsid w:val="7AC64881"/>
    <w:rsid w:val="7B1E7679"/>
    <w:rsid w:val="7CF70AB7"/>
    <w:rsid w:val="7DD51BA5"/>
    <w:rsid w:val="7DDB7251"/>
    <w:rsid w:val="7E0E69FA"/>
    <w:rsid w:val="7E8F19FF"/>
    <w:rsid w:val="7F012BAB"/>
    <w:rsid w:val="7F4B471C"/>
    <w:rsid w:val="7F9C5A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93C"/>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22093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22093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qFormat/>
    <w:rsid w:val="0022093C"/>
  </w:style>
  <w:style w:type="character" w:customStyle="1" w:styleId="Char0">
    <w:name w:val="页眉 Char"/>
    <w:basedOn w:val="a0"/>
    <w:link w:val="a4"/>
    <w:uiPriority w:val="99"/>
    <w:semiHidden/>
    <w:qFormat/>
    <w:rsid w:val="0022093C"/>
    <w:rPr>
      <w:sz w:val="18"/>
      <w:szCs w:val="18"/>
    </w:rPr>
  </w:style>
  <w:style w:type="character" w:customStyle="1" w:styleId="Char">
    <w:name w:val="页脚 Char"/>
    <w:basedOn w:val="a0"/>
    <w:link w:val="a3"/>
    <w:uiPriority w:val="99"/>
    <w:semiHidden/>
    <w:qFormat/>
    <w:rsid w:val="0022093C"/>
    <w:rPr>
      <w:sz w:val="18"/>
      <w:szCs w:val="18"/>
    </w:rPr>
  </w:style>
  <w:style w:type="paragraph" w:styleId="a6">
    <w:name w:val="List Paragraph"/>
    <w:basedOn w:val="a"/>
    <w:uiPriority w:val="99"/>
    <w:qFormat/>
    <w:rsid w:val="0022093C"/>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BECC39-B582-4992-B40F-1FFB7B1C7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1818</Words>
  <Characters>10369</Characters>
  <Application>Microsoft Office Word</Application>
  <DocSecurity>0</DocSecurity>
  <Lines>86</Lines>
  <Paragraphs>24</Paragraphs>
  <ScaleCrop>false</ScaleCrop>
  <Company>china</Company>
  <LinksUpToDate>false</LinksUpToDate>
  <CharactersWithSpaces>12163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25</cp:revision>
  <cp:lastPrinted>2020-06-24T02:12:00Z</cp:lastPrinted>
  <dcterms:created xsi:type="dcterms:W3CDTF">2020-06-24T01:59:00Z</dcterms:created>
  <dcterms:modified xsi:type="dcterms:W3CDTF">2020-09-18T09:12:00Z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