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Style w:val="6"/>
        <w:tblW w:w="1058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p>
            <w:pPr>
              <w:spacing w:line="320" w:lineRule="exact"/>
              <w:ind w:right="105" w:rightChars="50"/>
              <w:jc w:val="both"/>
              <w:rPr>
                <w:rFonts w:hint="default" w:ascii="仿宋_GB2312" w:eastAsia="仿宋_GB2312"/>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80</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ascii="仿宋" w:hAnsi="仿宋" w:eastAsia="仿宋"/>
        </w:rPr>
      </w:pPr>
      <w:r>
        <w:rPr>
          <w:rFonts w:hint="eastAsia" w:ascii="仿宋" w:hAnsi="仿宋" w:eastAsia="仿宋"/>
        </w:rPr>
        <w:t>填报单位：</w:t>
      </w:r>
    </w:p>
    <w:tbl>
      <w:tblPr>
        <w:tblStyle w:val="6"/>
        <w:tblW w:w="10314"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66</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72</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2018年决算数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97026</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590000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54854.66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54796</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60000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47076.66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54796</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60000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47076.66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42230</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530000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7778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2515620.31</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1525000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6174437.84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2515620.31</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1525000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6174437.84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1107201.44</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2084560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771251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83647.97</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133560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207771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12652</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145000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6729</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615000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1680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8192045.77</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8192045.77</w:t>
            </w: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eastAsia="方正小标宋_GBK"/>
          <w:sz w:val="32"/>
          <w:szCs w:val="32"/>
        </w:rPr>
      </w:pPr>
      <w:r>
        <w:rPr>
          <w:rFonts w:eastAsia="方正小标宋_GBK"/>
          <w:sz w:val="36"/>
          <w:szCs w:val="36"/>
        </w:rPr>
        <w:t>部门整体支出绩效评价报告</w:t>
      </w:r>
    </w:p>
    <w:p>
      <w:pPr>
        <w:spacing w:line="600" w:lineRule="exact"/>
        <w:jc w:val="center"/>
        <w:rPr>
          <w:rFonts w:eastAsia="楷体_GB2312"/>
          <w:sz w:val="32"/>
          <w:szCs w:val="32"/>
        </w:rPr>
      </w:pPr>
    </w:p>
    <w:p>
      <w:pPr>
        <w:spacing w:line="600" w:lineRule="exact"/>
        <w:jc w:val="center"/>
        <w:rPr>
          <w:rFonts w:eastAsia="方正小标宋_GBK"/>
          <w:sz w:val="32"/>
          <w:szCs w:val="32"/>
        </w:rPr>
      </w:pPr>
    </w:p>
    <w:p>
      <w:pPr>
        <w:pStyle w:val="10"/>
        <w:widowControl/>
        <w:numPr>
          <w:ilvl w:val="0"/>
          <w:numId w:val="1"/>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部门、单位基本情况</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cstheme="minorEastAsia"/>
          <w:sz w:val="32"/>
          <w:szCs w:val="32"/>
          <w:lang w:eastAsia="zh-CN"/>
        </w:rPr>
        <w:t>鹤城</w:t>
      </w:r>
      <w:r>
        <w:rPr>
          <w:rFonts w:hint="eastAsia" w:asciiTheme="minorEastAsia" w:hAnsiTheme="minorEastAsia" w:eastAsiaTheme="minorEastAsia" w:cstheme="minorEastAsia"/>
          <w:sz w:val="32"/>
          <w:szCs w:val="32"/>
        </w:rPr>
        <w:t>区农业农村局负责贯彻落实中央关于“三农”工作的方针政策和决策部署，全面落实省委、市委、区委关于“三农”工作部署要求，在履行职责过程中坚持和加强党对“三农”工作的集中统一领导。主要职责是:</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val="en-US" w:eastAsia="zh-CN"/>
        </w:rPr>
        <w:t>（一）</w:t>
      </w:r>
      <w:r>
        <w:rPr>
          <w:rFonts w:hint="eastAsia" w:asciiTheme="minorEastAsia" w:hAnsiTheme="minorEastAsia" w:eastAsiaTheme="minorEastAsia" w:cstheme="minorEastAsia"/>
          <w:sz w:val="32"/>
          <w:szCs w:val="32"/>
        </w:rPr>
        <w:t>统筹研究和组织实施“三农”工作的发展中长期规划、重大政策。指导农业综合执法。参与涉农的价格、收储、金融保险、进出口等政策制定。</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（二）</w:t>
      </w:r>
      <w:r>
        <w:rPr>
          <w:rFonts w:hint="eastAsia" w:asciiTheme="minorEastAsia" w:hAnsiTheme="minorEastAsia" w:eastAsiaTheme="minorEastAsia" w:cstheme="minorEastAsia"/>
          <w:sz w:val="32"/>
          <w:szCs w:val="32"/>
        </w:rPr>
        <w:t>统筹推动发展农村社会事业、农村公共服务、农村文化、农村基础设施和乡村治理。牵头组织改善农村人居环境。指导农村精神文明和优秀农耕文化建设。指导农业行业安全生产工作。</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（三）</w:t>
      </w:r>
      <w:r>
        <w:rPr>
          <w:rFonts w:hint="eastAsia" w:asciiTheme="minorEastAsia" w:hAnsiTheme="minorEastAsia" w:eastAsiaTheme="minorEastAsia" w:cstheme="minorEastAsia"/>
          <w:sz w:val="32"/>
          <w:szCs w:val="32"/>
        </w:rPr>
        <w:t>研究提出深化农村经济体制改革和巩固完善农村基本经营制度的政策建议。负责农民承包地、农村宅基地改革和管理有关工作。负责农村集体产权制度改革，指导农村集体经济组织发展和集体资产管理工作。指导农民合作经济组织、农业社会化服务体系、新型农业经营主体建设与发展。</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（四）</w:t>
      </w:r>
      <w:r>
        <w:rPr>
          <w:rFonts w:hint="eastAsia" w:asciiTheme="minorEastAsia" w:hAnsiTheme="minorEastAsia" w:eastAsiaTheme="minorEastAsia" w:cstheme="minorEastAsia"/>
          <w:sz w:val="32"/>
          <w:szCs w:val="32"/>
        </w:rPr>
        <w:t>指导乡村特色产业、农产品加工业、休闲农业和乡镇企业发展工作。提出促进大宗农产品流通的建议，培育、保护农业品牌。统计综合农业农村经济信息，监测分析农业农村经济运行。承担农业统计和农业农村信息化有关工作。</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（五）</w:t>
      </w:r>
      <w:r>
        <w:rPr>
          <w:rFonts w:hint="eastAsia" w:asciiTheme="minorEastAsia" w:hAnsiTheme="minorEastAsia" w:eastAsiaTheme="minorEastAsia" w:cstheme="minorEastAsia"/>
          <w:sz w:val="32"/>
          <w:szCs w:val="32"/>
        </w:rPr>
        <w:t>负责种植业、畜牧业、渔业、农垦、农业机械化等农业各产业的监督管理。指导粮食等农产品生产。组织构建现代农业产业体系、生产体系、经营体系，指导农业标准化生产。负责农业行政执法工作，渔政监督管理，推进农业依法行政。</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（六）</w:t>
      </w:r>
      <w:r>
        <w:rPr>
          <w:rFonts w:hint="eastAsia" w:asciiTheme="minorEastAsia" w:hAnsiTheme="minorEastAsia" w:eastAsiaTheme="minorEastAsia" w:cstheme="minorEastAsia"/>
          <w:sz w:val="32"/>
          <w:szCs w:val="32"/>
        </w:rPr>
        <w:t>负责农产品质量安全监督管理。组织开展农产品质量安全监测、追溯、风险评估，统计综合农产品质量安全有关信息。贯彻执行农产品质量安全国家和省级标准，参与制定农产品质量安全地方标准并会同有关部门组织实施。指导农业检验检测体系建设。</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（七）</w:t>
      </w:r>
      <w:r>
        <w:rPr>
          <w:rFonts w:hint="eastAsia" w:asciiTheme="minorEastAsia" w:hAnsiTheme="minorEastAsia" w:eastAsiaTheme="minorEastAsia" w:cstheme="minorEastAsia"/>
          <w:sz w:val="32"/>
          <w:szCs w:val="32"/>
        </w:rPr>
        <w:t>组织农业资源区划工作。指导农用地、渔业水域以及农业生物物种资源的保护与管理，负责水生野生动植物保护、耕地及永久基本农田质量保护工作。指导农产品产地环境管理和农业清洁生产。指导设施农业、生态循环农业、节水农业发展以及农村可再生能源综合开发利用、农业生物质产业发展。牵头管理外来物种。</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（八）</w:t>
      </w:r>
      <w:r>
        <w:rPr>
          <w:rFonts w:hint="eastAsia" w:asciiTheme="minorEastAsia" w:hAnsiTheme="minorEastAsia" w:eastAsiaTheme="minorEastAsia" w:cstheme="minorEastAsia"/>
          <w:sz w:val="32"/>
          <w:szCs w:val="32"/>
        </w:rPr>
        <w:t>负责有关农业生产资料和农业投入品的监督管理。组织农业生产资料市场体系建设。贯彻执行农业生产资料、兽药质量、兽药残留限量和残留检测方法国家标准并监督实施。组织兽医医政、兽药药政药检工作，负责执业兽医行业管理，配合市农业农村局开展畜禽屠宰行业工作。</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（九）</w:t>
      </w:r>
      <w:r>
        <w:rPr>
          <w:rFonts w:hint="eastAsia" w:asciiTheme="minorEastAsia" w:hAnsiTheme="minorEastAsia" w:eastAsiaTheme="minorEastAsia" w:cstheme="minorEastAsia"/>
          <w:sz w:val="32"/>
          <w:szCs w:val="32"/>
        </w:rPr>
        <w:t>负责农业防灾减灾、农作物重大病虫害防控和动植物重大疫病防治工作。指导动植物防疫检疫体系建设，组织、监督区内动植物防疫检疫工作，协助发布并组织扑灭疫情。</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（十）</w:t>
      </w:r>
      <w:r>
        <w:rPr>
          <w:rFonts w:hint="eastAsia" w:asciiTheme="minorEastAsia" w:hAnsiTheme="minorEastAsia" w:eastAsiaTheme="minorEastAsia" w:cstheme="minorEastAsia"/>
          <w:sz w:val="32"/>
          <w:szCs w:val="32"/>
        </w:rPr>
        <w:t>负责农业投资管理。编制农业投资项目建设规划，提出农业投资规模和方向、扶持农业农村发展财政项目的建议，按规定权限审批农业投资项目，负责农业投资项目资金安排和监督管理。</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（十一）</w:t>
      </w:r>
      <w:r>
        <w:rPr>
          <w:rFonts w:hint="eastAsia" w:asciiTheme="minorEastAsia" w:hAnsiTheme="minorEastAsia" w:eastAsiaTheme="minorEastAsia" w:cstheme="minorEastAsia"/>
          <w:sz w:val="32"/>
          <w:szCs w:val="32"/>
        </w:rPr>
        <w:t>推动农业科技体制改革和农业科技创新体系建设。指导农业产业技术体系和农技推广体系建设，组织开展农业领域的高新技术和应用技术研究、科技成果转化和技术推广。负责农业转基因生物安全监督管理和农业植物新品种保护。</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（十二）</w:t>
      </w:r>
      <w:r>
        <w:rPr>
          <w:rFonts w:hint="eastAsia" w:asciiTheme="minorEastAsia" w:hAnsiTheme="minorEastAsia" w:eastAsiaTheme="minorEastAsia" w:cstheme="minorEastAsia"/>
          <w:sz w:val="32"/>
          <w:szCs w:val="32"/>
        </w:rPr>
        <w:t>指导农业农村人才工作。拟订农业农村人才队伍建设规划并组织实施，指导农业教育和农业职业技能开发，指导新型职业农民培育、农业科技人才培养和农村实用人才培训工作。</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（十三）</w:t>
      </w:r>
      <w:r>
        <w:rPr>
          <w:rFonts w:hint="eastAsia" w:asciiTheme="minorEastAsia" w:hAnsiTheme="minorEastAsia" w:eastAsiaTheme="minorEastAsia" w:cstheme="minorEastAsia"/>
          <w:sz w:val="32"/>
          <w:szCs w:val="32"/>
        </w:rPr>
        <w:t>组织参与农业对外合作工作。承办有关农业涉外事务，组织开展农业贸易促进和有关对外交流合作，具体执行有关农业援外项目。</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（十四）</w:t>
      </w:r>
      <w:r>
        <w:rPr>
          <w:rFonts w:hint="eastAsia" w:asciiTheme="minorEastAsia" w:hAnsiTheme="minorEastAsia" w:eastAsiaTheme="minorEastAsia" w:cstheme="minorEastAsia"/>
          <w:sz w:val="32"/>
          <w:szCs w:val="32"/>
        </w:rPr>
        <w:t>贯彻执行上级有关农业综合开发的方针政策，提出农田建设项目需求建议，承担耕地质量管理相关工作，参与开展永久基本农田保护。承担农业综合开发项目、农田整治项目、农田水利建设项目管理工作。</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（十五）</w:t>
      </w:r>
      <w:r>
        <w:rPr>
          <w:rFonts w:hint="eastAsia" w:asciiTheme="minorEastAsia" w:hAnsiTheme="minorEastAsia" w:eastAsiaTheme="minorEastAsia" w:cstheme="minorEastAsia"/>
          <w:sz w:val="32"/>
          <w:szCs w:val="32"/>
        </w:rPr>
        <w:t>完成区委、区政府和区委农村工作领导小组交办的其他任务。</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（十六）</w:t>
      </w:r>
      <w:r>
        <w:rPr>
          <w:rFonts w:hint="eastAsia" w:asciiTheme="minorEastAsia" w:hAnsiTheme="minorEastAsia" w:eastAsiaTheme="minorEastAsia" w:cstheme="minorEastAsia"/>
          <w:sz w:val="32"/>
          <w:szCs w:val="32"/>
        </w:rPr>
        <w:t>职能转变。</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val="en-US" w:eastAsia="zh-CN"/>
        </w:rPr>
        <w:t>1、</w:t>
      </w:r>
      <w:r>
        <w:rPr>
          <w:rFonts w:hint="eastAsia" w:asciiTheme="minorEastAsia" w:hAnsiTheme="minorEastAsia" w:eastAsiaTheme="minorEastAsia" w:cstheme="minorEastAsia"/>
          <w:sz w:val="32"/>
          <w:szCs w:val="32"/>
        </w:rPr>
        <w:t>统筹实施乡村振兴战略，深化农业供给侧结构性改革，提升农业发展质量，扎实推进美丽乡村建设，推动农业全面升级、农村全面进步、农民全面发展，加快实现农业农村现代化。</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val="en-US" w:eastAsia="zh-CN"/>
        </w:rPr>
        <w:t>2、</w:t>
      </w:r>
      <w:r>
        <w:rPr>
          <w:rFonts w:hint="eastAsia" w:asciiTheme="minorEastAsia" w:hAnsiTheme="minorEastAsia" w:eastAsiaTheme="minorEastAsia" w:cstheme="minorEastAsia"/>
          <w:sz w:val="32"/>
          <w:szCs w:val="32"/>
        </w:rPr>
        <w:t>加强农产品质量安全和相关农业生产资料、农业投入品的监督管理，坚持最严谨的标准、最严格的监管、最严厉的处罚、最严肃的问责，严防、严管、严控质量安全风险，让人民群众吃得放心、安心。</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val="en-US" w:eastAsia="zh-CN"/>
        </w:rPr>
        <w:t>3、</w:t>
      </w:r>
      <w:r>
        <w:rPr>
          <w:rFonts w:hint="eastAsia" w:asciiTheme="minorEastAsia" w:hAnsiTheme="minorEastAsia" w:eastAsiaTheme="minorEastAsia" w:cstheme="minorEastAsia"/>
          <w:sz w:val="32"/>
          <w:szCs w:val="32"/>
        </w:rPr>
        <w:t>深入推进简政放权，加强对行业内交叉重复以及性质相同、用途相近的农业投资项目的统筹整合，最大限度缩小项目审批范围，进一步下放审批权限，加强事中事后监管，切实提升支农政策效果和资金使用效益。</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outlineLvl w:val="9"/>
        <w:rPr>
          <w:rFonts w:ascii="Times New Roman" w:hAnsi="Times New Roman" w:eastAsia="黑体"/>
          <w:sz w:val="32"/>
          <w:szCs w:val="32"/>
        </w:rPr>
      </w:pPr>
      <w:r>
        <w:rPr>
          <w:rFonts w:hint="eastAsia" w:asciiTheme="minorEastAsia" w:hAnsiTheme="minorEastAsia" w:eastAsiaTheme="minorEastAsia" w:cstheme="minorEastAsia"/>
          <w:sz w:val="32"/>
          <w:szCs w:val="32"/>
          <w:lang w:eastAsia="zh-CN"/>
        </w:rPr>
        <w:t>（十七）</w:t>
      </w:r>
      <w:r>
        <w:rPr>
          <w:rFonts w:hint="eastAsia" w:asciiTheme="minorEastAsia" w:hAnsiTheme="minorEastAsia" w:eastAsiaTheme="minorEastAsia" w:cstheme="minorEastAsia"/>
          <w:sz w:val="32"/>
          <w:szCs w:val="32"/>
        </w:rPr>
        <w:t>与区市场监督管理局有关职责分工。(1)区农业农村局负责食用农产品从种植养殖环节到进入批发、零售市场或生产加工企业前的质量安全监督管理。食用农产品进入批发、零售市场或生产加工企业后，由区市场监督管理局监督管理。(2)区农业农村局负责动植物疫病防控、生鲜乳收购环节质量安全的监督管理。(3) 两部门要建立食品安全产地准出、市场准入和追溯机制，加强协调配合和工作衔接，形成监督合力。</w:t>
      </w:r>
    </w:p>
    <w:p>
      <w:pPr>
        <w:pStyle w:val="10"/>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10"/>
        <w:widowControl/>
        <w:spacing w:line="600" w:lineRule="exact"/>
        <w:ind w:left="0" w:leftChars="0" w:firstLine="320" w:firstLineChars="100"/>
        <w:rPr>
          <w:rFonts w:ascii="Times New Roman" w:hAnsi="Times New Roman" w:eastAsia="黑体"/>
          <w:sz w:val="32"/>
          <w:szCs w:val="32"/>
        </w:rPr>
      </w:pPr>
      <w:r>
        <w:rPr>
          <w:rFonts w:hint="eastAsia" w:ascii="Times New Roman" w:hAnsi="Times New Roman" w:eastAsia="黑体"/>
          <w:sz w:val="32"/>
          <w:szCs w:val="32"/>
          <w:lang w:eastAsia="zh-CN"/>
        </w:rPr>
        <w:t>（</w:t>
      </w:r>
      <w:r>
        <w:rPr>
          <w:rFonts w:hint="eastAsia" w:ascii="Times New Roman" w:hAnsi="Times New Roman" w:eastAsia="黑体"/>
          <w:sz w:val="32"/>
          <w:szCs w:val="32"/>
        </w:rPr>
        <w:t>一）</w:t>
      </w:r>
      <w:r>
        <w:rPr>
          <w:rFonts w:ascii="Times New Roman" w:hAnsi="Times New Roman" w:eastAsia="黑体"/>
          <w:sz w:val="32"/>
          <w:szCs w:val="32"/>
        </w:rPr>
        <w:t>基本支出情况</w:t>
      </w:r>
    </w:p>
    <w:p>
      <w:pPr>
        <w:pStyle w:val="10"/>
        <w:widowControl/>
        <w:spacing w:line="600" w:lineRule="exact"/>
        <w:ind w:left="0" w:leftChars="0" w:firstLine="640" w:firstLineChars="200"/>
        <w:rPr>
          <w:rFonts w:hint="eastAsia" w:asciiTheme="minorEastAsia" w:hAnsiTheme="minorEastAsia" w:eastAsiaTheme="minorEastAsia" w:cstheme="minorEastAsia"/>
          <w:b w:val="0"/>
          <w:bCs w:val="0"/>
          <w:sz w:val="32"/>
          <w:szCs w:val="32"/>
          <w:lang w:val="en-US" w:eastAsia="zh-CN"/>
        </w:rPr>
      </w:pPr>
      <w:r>
        <w:rPr>
          <w:rFonts w:hint="eastAsia" w:asciiTheme="minorEastAsia" w:hAnsiTheme="minorEastAsia" w:eastAsiaTheme="minorEastAsia" w:cstheme="minorEastAsia"/>
          <w:b w:val="0"/>
          <w:bCs w:val="0"/>
          <w:sz w:val="32"/>
          <w:szCs w:val="32"/>
          <w:lang w:val="en-US" w:eastAsia="zh-CN"/>
        </w:rPr>
        <w:t>2019年度部门</w:t>
      </w:r>
      <w:r>
        <w:rPr>
          <w:rFonts w:hint="eastAsia" w:asciiTheme="minorEastAsia" w:hAnsiTheme="minorEastAsia" w:eastAsiaTheme="minorEastAsia" w:cstheme="minorEastAsia"/>
          <w:b w:val="0"/>
          <w:bCs w:val="0"/>
          <w:sz w:val="32"/>
          <w:szCs w:val="32"/>
        </w:rPr>
        <w:t>一般公共预算</w:t>
      </w:r>
      <w:r>
        <w:rPr>
          <w:rFonts w:hint="eastAsia" w:asciiTheme="minorEastAsia" w:hAnsiTheme="minorEastAsia" w:eastAsiaTheme="minorEastAsia" w:cstheme="minorEastAsia"/>
          <w:b w:val="0"/>
          <w:bCs w:val="0"/>
          <w:sz w:val="32"/>
          <w:szCs w:val="32"/>
          <w:lang w:eastAsia="zh-CN"/>
        </w:rPr>
        <w:t>财政拨款决算</w:t>
      </w:r>
      <w:r>
        <w:rPr>
          <w:rFonts w:hint="eastAsia" w:asciiTheme="minorEastAsia" w:hAnsiTheme="minorEastAsia" w:eastAsiaTheme="minorEastAsia" w:cstheme="minorEastAsia"/>
          <w:b w:val="0"/>
          <w:bCs w:val="0"/>
          <w:sz w:val="32"/>
          <w:szCs w:val="32"/>
          <w:lang w:val="en-US" w:eastAsia="zh-CN"/>
        </w:rPr>
        <w:t>基本支出1018.37万元，其中：工资福利支出672.44万元，对个人和家庭补助248.18万元，商品和服务支出77.13万元，资本性支出20.62万元。</w:t>
      </w:r>
    </w:p>
    <w:p>
      <w:pPr>
        <w:pStyle w:val="10"/>
        <w:widowControl/>
        <w:spacing w:line="600" w:lineRule="exact"/>
        <w:ind w:left="0" w:leftChars="0" w:firstLine="640" w:firstLineChars="20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pStyle w:val="10"/>
        <w:widowControl/>
        <w:spacing w:line="600" w:lineRule="exact"/>
        <w:ind w:left="0" w:leftChars="0" w:firstLine="640" w:firstLineChars="200"/>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b w:val="0"/>
          <w:bCs w:val="0"/>
          <w:sz w:val="32"/>
          <w:szCs w:val="32"/>
          <w:lang w:val="en-US" w:eastAsia="zh-CN"/>
        </w:rPr>
        <w:t>2019年度部门</w:t>
      </w:r>
      <w:r>
        <w:rPr>
          <w:rFonts w:hint="eastAsia" w:asciiTheme="minorEastAsia" w:hAnsiTheme="minorEastAsia" w:eastAsiaTheme="minorEastAsia" w:cstheme="minorEastAsia"/>
          <w:b w:val="0"/>
          <w:bCs w:val="0"/>
          <w:sz w:val="32"/>
          <w:szCs w:val="32"/>
        </w:rPr>
        <w:t>一般公共预算</w:t>
      </w:r>
      <w:r>
        <w:rPr>
          <w:rFonts w:hint="eastAsia" w:asciiTheme="minorEastAsia" w:hAnsiTheme="minorEastAsia" w:eastAsiaTheme="minorEastAsia" w:cstheme="minorEastAsia"/>
          <w:b w:val="0"/>
          <w:bCs w:val="0"/>
          <w:sz w:val="32"/>
          <w:szCs w:val="32"/>
          <w:lang w:eastAsia="zh-CN"/>
        </w:rPr>
        <w:t>财政拨款决算</w:t>
      </w:r>
      <w:r>
        <w:rPr>
          <w:rFonts w:hint="eastAsia" w:asciiTheme="minorEastAsia" w:hAnsiTheme="minorEastAsia" w:eastAsiaTheme="minorEastAsia" w:cstheme="minorEastAsia"/>
          <w:b w:val="0"/>
          <w:bCs w:val="0"/>
          <w:sz w:val="32"/>
          <w:szCs w:val="32"/>
          <w:lang w:val="en-US" w:eastAsia="zh-CN"/>
        </w:rPr>
        <w:t>项目支出617.44万元。</w:t>
      </w:r>
      <w:r>
        <w:rPr>
          <w:rFonts w:hint="eastAsia" w:asciiTheme="minorEastAsia" w:hAnsiTheme="minorEastAsia" w:eastAsiaTheme="minorEastAsia" w:cstheme="minorEastAsia"/>
          <w:sz w:val="32"/>
          <w:szCs w:val="32"/>
          <w:lang w:eastAsia="zh-CN"/>
        </w:rPr>
        <w:t>主要项目支出包括：</w:t>
      </w:r>
    </w:p>
    <w:p>
      <w:pPr>
        <w:spacing w:line="600" w:lineRule="exact"/>
        <w:ind w:firstLine="640" w:firstLineChars="200"/>
        <w:rPr>
          <w:rFonts w:hint="eastAsia" w:asciiTheme="minorEastAsia" w:hAnsiTheme="minorEastAsia" w:eastAsiaTheme="minorEastAsia" w:cstheme="minorEastAsia"/>
          <w:b w:val="0"/>
          <w:bCs w:val="0"/>
          <w:kern w:val="2"/>
          <w:sz w:val="32"/>
          <w:szCs w:val="32"/>
          <w:lang w:val="en-US" w:eastAsia="zh-CN" w:bidi="ar-SA"/>
        </w:rPr>
      </w:pPr>
      <w:r>
        <w:rPr>
          <w:rFonts w:hint="eastAsia" w:asciiTheme="minorEastAsia" w:hAnsiTheme="minorEastAsia" w:eastAsiaTheme="minorEastAsia" w:cstheme="minorEastAsia"/>
          <w:b w:val="0"/>
          <w:bCs w:val="0"/>
          <w:kern w:val="2"/>
          <w:sz w:val="32"/>
          <w:szCs w:val="32"/>
          <w:lang w:val="en-US" w:eastAsia="zh-CN" w:bidi="ar-SA"/>
        </w:rPr>
        <w:t>2019年我单位专项资金预算支出主要包括：农业生产发展基础设施建设224.5万元，农业组织和产业化经营275.8万元，其他农业项目支出117.14万元。</w:t>
      </w:r>
    </w:p>
    <w:p>
      <w:pPr>
        <w:spacing w:line="600" w:lineRule="exact"/>
        <w:ind w:firstLine="640" w:firstLineChars="200"/>
        <w:rPr>
          <w:rFonts w:hint="default" w:asciiTheme="minorEastAsia" w:hAnsiTheme="minorEastAsia" w:eastAsiaTheme="minorEastAsia" w:cstheme="minorEastAsia"/>
          <w:b w:val="0"/>
          <w:bCs w:val="0"/>
          <w:kern w:val="2"/>
          <w:sz w:val="32"/>
          <w:szCs w:val="32"/>
          <w:lang w:val="en-US" w:eastAsia="zh-CN" w:bidi="ar-SA"/>
        </w:rPr>
      </w:pPr>
      <w:r>
        <w:rPr>
          <w:rFonts w:hint="eastAsia" w:asciiTheme="minorEastAsia" w:hAnsiTheme="minorEastAsia" w:eastAsiaTheme="minorEastAsia" w:cstheme="minorEastAsia"/>
          <w:b w:val="0"/>
          <w:bCs w:val="0"/>
          <w:kern w:val="2"/>
          <w:sz w:val="32"/>
          <w:szCs w:val="32"/>
          <w:lang w:val="en-US" w:eastAsia="zh-CN" w:bidi="ar-SA"/>
        </w:rPr>
        <w:t>农业生产发展基础设施建设主要包括高标准农田建设在内的基础设施建设；农业组织和产业化经营项目主要包括适度规模经营、农业产业化龙头企业、灾后扶持等；其他农业项目主要包括农产品质量安全监管、农村信息进村入户、植保防疫、科技转化与推广服务等农业项目。</w:t>
      </w:r>
    </w:p>
    <w:p>
      <w:pPr>
        <w:widowControl/>
        <w:numPr>
          <w:ilvl w:val="0"/>
          <w:numId w:val="0"/>
        </w:numPr>
        <w:spacing w:line="600" w:lineRule="exact"/>
        <w:ind w:left="640" w:leftChars="0"/>
        <w:jc w:val="left"/>
        <w:rPr>
          <w:rFonts w:ascii="Times New Roman" w:hAnsi="Times New Roman" w:eastAsia="黑体"/>
          <w:sz w:val="32"/>
          <w:szCs w:val="32"/>
        </w:rPr>
      </w:pPr>
      <w:r>
        <w:rPr>
          <w:rFonts w:hint="eastAsia" w:eastAsia="黑体"/>
          <w:sz w:val="32"/>
          <w:szCs w:val="32"/>
          <w:lang w:eastAsia="zh-CN"/>
        </w:rPr>
        <w:t>三、</w:t>
      </w:r>
      <w:r>
        <w:rPr>
          <w:rFonts w:ascii="Times New Roman" w:hAnsi="Times New Roman" w:eastAsia="黑体"/>
          <w:sz w:val="32"/>
          <w:szCs w:val="32"/>
        </w:rPr>
        <w:t>政府性基金预算支出情况</w:t>
      </w:r>
    </w:p>
    <w:p>
      <w:pPr>
        <w:widowControl/>
        <w:numPr>
          <w:ilvl w:val="0"/>
          <w:numId w:val="0"/>
        </w:numPr>
        <w:spacing w:line="600" w:lineRule="exact"/>
        <w:ind w:firstLine="640" w:firstLineChars="200"/>
        <w:jc w:val="left"/>
        <w:rPr>
          <w:rFonts w:ascii="Times New Roman" w:hAnsi="Times New Roman" w:eastAsia="黑体"/>
          <w:sz w:val="32"/>
          <w:szCs w:val="32"/>
        </w:rPr>
      </w:pPr>
      <w:r>
        <w:rPr>
          <w:rFonts w:hint="eastAsia" w:asciiTheme="minorEastAsia" w:hAnsiTheme="minorEastAsia" w:eastAsiaTheme="minorEastAsia"/>
          <w:sz w:val="32"/>
          <w:szCs w:val="32"/>
          <w:lang w:eastAsia="zh-CN"/>
        </w:rPr>
        <w:t>本单位无政府性基金收支</w:t>
      </w:r>
    </w:p>
    <w:p>
      <w:pPr>
        <w:pStyle w:val="10"/>
        <w:widowControl/>
        <w:numPr>
          <w:ilvl w:val="0"/>
          <w:numId w:val="0"/>
        </w:numPr>
        <w:spacing w:line="600" w:lineRule="exact"/>
        <w:ind w:leftChars="200" w:firstLine="320" w:firstLineChars="100"/>
        <w:jc w:val="left"/>
        <w:rPr>
          <w:rFonts w:ascii="Times New Roman" w:hAnsi="Times New Roman" w:eastAsia="黑体"/>
          <w:sz w:val="32"/>
          <w:szCs w:val="32"/>
        </w:rPr>
      </w:pPr>
      <w:r>
        <w:rPr>
          <w:rFonts w:hint="eastAsia" w:ascii="Times New Roman" w:hAnsi="Times New Roman" w:eastAsia="黑体"/>
          <w:sz w:val="32"/>
          <w:szCs w:val="32"/>
          <w:lang w:eastAsia="zh-CN"/>
        </w:rPr>
        <w:t>四、</w:t>
      </w:r>
      <w:r>
        <w:rPr>
          <w:rFonts w:ascii="Times New Roman" w:hAnsi="Times New Roman" w:eastAsia="黑体"/>
          <w:sz w:val="32"/>
          <w:szCs w:val="32"/>
        </w:rPr>
        <w:t>国有资本经营预算支出情况</w:t>
      </w:r>
    </w:p>
    <w:p>
      <w:pPr>
        <w:pStyle w:val="10"/>
        <w:widowControl/>
        <w:numPr>
          <w:ilvl w:val="0"/>
          <w:numId w:val="0"/>
        </w:numPr>
        <w:spacing w:line="600" w:lineRule="exact"/>
        <w:ind w:firstLine="640" w:firstLineChars="200"/>
        <w:jc w:val="left"/>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lang w:eastAsia="zh-CN"/>
        </w:rPr>
        <w:t>本单位无国有资本经营预算支出。</w:t>
      </w:r>
    </w:p>
    <w:p>
      <w:pPr>
        <w:pStyle w:val="10"/>
        <w:widowControl/>
        <w:numPr>
          <w:ilvl w:val="0"/>
          <w:numId w:val="2"/>
        </w:numPr>
        <w:spacing w:line="600" w:lineRule="exact"/>
        <w:ind w:left="640" w:firstLine="0" w:firstLineChars="0"/>
        <w:jc w:val="left"/>
        <w:rPr>
          <w:rFonts w:ascii="Times New Roman" w:hAnsi="Times New Roman" w:eastAsia="黑体"/>
          <w:sz w:val="32"/>
          <w:szCs w:val="32"/>
        </w:rPr>
      </w:pPr>
      <w:r>
        <w:rPr>
          <w:rFonts w:ascii="Times New Roman" w:hAnsi="Times New Roman" w:eastAsia="黑体"/>
          <w:sz w:val="32"/>
          <w:szCs w:val="32"/>
        </w:rPr>
        <w:t>社会保险基金预算支出情况</w:t>
      </w:r>
    </w:p>
    <w:p>
      <w:pPr>
        <w:pStyle w:val="10"/>
        <w:widowControl/>
        <w:numPr>
          <w:ilvl w:val="0"/>
          <w:numId w:val="0"/>
        </w:numPr>
        <w:spacing w:line="600" w:lineRule="exact"/>
        <w:ind w:firstLine="640" w:firstLineChars="200"/>
        <w:jc w:val="left"/>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lang w:eastAsia="zh-CN"/>
        </w:rPr>
        <w:t>本单位无社会保险基金预算支出。</w:t>
      </w:r>
    </w:p>
    <w:p>
      <w:pPr>
        <w:widowControl/>
        <w:spacing w:line="600" w:lineRule="exact"/>
        <w:ind w:firstLine="640" w:firstLineChars="200"/>
        <w:jc w:val="left"/>
        <w:rPr>
          <w:rFonts w:eastAsia="黑体"/>
          <w:sz w:val="32"/>
          <w:szCs w:val="32"/>
        </w:rPr>
      </w:pPr>
      <w:r>
        <w:rPr>
          <w:rFonts w:eastAsia="黑体"/>
          <w:sz w:val="32"/>
          <w:szCs w:val="32"/>
        </w:rPr>
        <w:t>六、部门整体支出绩效情况</w:t>
      </w:r>
    </w:p>
    <w:p>
      <w:pPr>
        <w:widowControl/>
        <w:spacing w:line="600" w:lineRule="exact"/>
        <w:ind w:firstLine="640" w:firstLineChars="200"/>
        <w:jc w:val="left"/>
        <w:rPr>
          <w:rFonts w:hint="eastAsia" w:asciiTheme="minorEastAsia" w:hAnsiTheme="minorEastAsia" w:eastAsiaTheme="minorEastAsia" w:cstheme="minorEastAsia"/>
          <w:kern w:val="2"/>
          <w:sz w:val="32"/>
          <w:szCs w:val="32"/>
          <w:lang w:val="en-US" w:eastAsia="zh-CN" w:bidi="ar-SA"/>
        </w:rPr>
      </w:pPr>
      <w:r>
        <w:rPr>
          <w:rFonts w:hint="eastAsia" w:asciiTheme="minorEastAsia" w:hAnsiTheme="minorEastAsia" w:eastAsiaTheme="minorEastAsia" w:cstheme="minorEastAsia"/>
          <w:kern w:val="2"/>
          <w:sz w:val="32"/>
          <w:szCs w:val="32"/>
          <w:lang w:val="en-US" w:eastAsia="zh-CN" w:bidi="ar-SA"/>
        </w:rPr>
        <w:t>1、三公经费控制到位。2019年度三公经费预算59万元，实际支出5.49万元，控制在预算范围内。</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45" w:lineRule="atLeast"/>
        <w:ind w:left="0" w:right="0" w:firstLine="645"/>
        <w:rPr>
          <w:rFonts w:hint="eastAsia" w:asciiTheme="minorEastAsia" w:hAnsiTheme="minorEastAsia" w:eastAsiaTheme="minorEastAsia" w:cstheme="minorEastAsia"/>
          <w:kern w:val="2"/>
          <w:sz w:val="32"/>
          <w:szCs w:val="32"/>
          <w:lang w:val="en-US" w:eastAsia="zh-CN" w:bidi="ar-SA"/>
        </w:rPr>
      </w:pPr>
      <w:r>
        <w:rPr>
          <w:rFonts w:hint="eastAsia" w:asciiTheme="minorEastAsia" w:hAnsiTheme="minorEastAsia" w:eastAsiaTheme="minorEastAsia" w:cstheme="minorEastAsia"/>
          <w:kern w:val="2"/>
          <w:sz w:val="32"/>
          <w:szCs w:val="32"/>
          <w:lang w:val="en-US" w:eastAsia="zh-CN" w:bidi="ar-SA"/>
        </w:rPr>
        <w:t>2、财务目标顺利完成。通过提高预算编制质量，提升预算执行和控制力度，加强支出管理、绩效评价考核等方法，提高资金效率，保障年度财务目标的顺利完成。</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45" w:lineRule="atLeast"/>
        <w:ind w:left="0" w:right="0" w:firstLine="645"/>
        <w:jc w:val="both"/>
        <w:rPr>
          <w:rFonts w:hint="eastAsia" w:asciiTheme="minorEastAsia" w:hAnsiTheme="minorEastAsia" w:eastAsiaTheme="minorEastAsia" w:cstheme="minorEastAsia"/>
          <w:kern w:val="2"/>
          <w:sz w:val="32"/>
          <w:szCs w:val="32"/>
          <w:lang w:val="en-US" w:eastAsia="zh-CN" w:bidi="ar-SA"/>
        </w:rPr>
      </w:pPr>
      <w:r>
        <w:rPr>
          <w:rFonts w:hint="eastAsia" w:asciiTheme="minorEastAsia" w:hAnsiTheme="minorEastAsia" w:eastAsiaTheme="minorEastAsia" w:cstheme="minorEastAsia"/>
          <w:kern w:val="2"/>
          <w:sz w:val="32"/>
          <w:szCs w:val="32"/>
          <w:lang w:val="en-US" w:eastAsia="zh-CN" w:bidi="ar-SA"/>
        </w:rPr>
        <w:t>3、资产管理制度健全。建立了资产管理制度，加强对固定资产购置、验收结算、登记入账、定期清理的管理，保护固定资产的安全完整。</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45" w:lineRule="atLeast"/>
        <w:ind w:left="0" w:right="0" w:firstLine="645"/>
        <w:jc w:val="both"/>
        <w:rPr>
          <w:rFonts w:hint="eastAsia" w:asciiTheme="minorEastAsia" w:hAnsiTheme="minorEastAsia" w:eastAsiaTheme="minorEastAsia" w:cstheme="minorEastAsia"/>
          <w:kern w:val="2"/>
          <w:sz w:val="32"/>
          <w:szCs w:val="32"/>
          <w:lang w:val="en-US" w:eastAsia="zh-CN" w:bidi="ar-SA"/>
        </w:rPr>
      </w:pPr>
      <w:r>
        <w:rPr>
          <w:rFonts w:hint="eastAsia" w:asciiTheme="minorEastAsia" w:hAnsiTheme="minorEastAsia" w:eastAsiaTheme="minorEastAsia" w:cstheme="minorEastAsia"/>
          <w:kern w:val="2"/>
          <w:sz w:val="32"/>
          <w:szCs w:val="32"/>
          <w:lang w:val="en-US" w:eastAsia="zh-CN" w:bidi="ar-SA"/>
        </w:rPr>
        <w:t>根据部门整体支出绩效评价指标体系，2019年度评价得分为80分。</w:t>
      </w:r>
    </w:p>
    <w:p>
      <w:pPr>
        <w:pStyle w:val="10"/>
        <w:widowControl/>
        <w:spacing w:line="600" w:lineRule="exact"/>
        <w:ind w:left="0" w:leftChars="0" w:firstLine="640" w:firstLineChars="20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widowControl/>
        <w:spacing w:line="600" w:lineRule="exact"/>
        <w:ind w:firstLine="640" w:firstLineChars="200"/>
        <w:jc w:val="left"/>
        <w:rPr>
          <w:rFonts w:hint="eastAsia" w:asciiTheme="minorEastAsia" w:hAnsiTheme="minorEastAsia" w:eastAsiaTheme="minorEastAsia" w:cstheme="minorEastAsia"/>
          <w:kern w:val="2"/>
          <w:sz w:val="32"/>
          <w:szCs w:val="32"/>
          <w:lang w:val="en-US" w:eastAsia="zh-CN" w:bidi="ar-SA"/>
        </w:rPr>
      </w:pPr>
      <w:r>
        <w:rPr>
          <w:rFonts w:hint="eastAsia" w:asciiTheme="minorEastAsia" w:hAnsiTheme="minorEastAsia" w:eastAsiaTheme="minorEastAsia" w:cstheme="minorEastAsia"/>
          <w:kern w:val="2"/>
          <w:sz w:val="32"/>
          <w:szCs w:val="32"/>
          <w:lang w:val="en-US" w:eastAsia="zh-CN" w:bidi="ar-SA"/>
        </w:rPr>
        <w:t>1、基本支出没有得到有限的保障。基本支出经费保障水平偏低，预算执行基本围绕保人员经费、保正常运转进行’公用经费缺口较大。从决算情况看，基本支出比重比较大，基本保障面临巨大的压力。</w:t>
      </w:r>
    </w:p>
    <w:p>
      <w:pPr>
        <w:widowControl/>
        <w:spacing w:line="600" w:lineRule="exact"/>
        <w:ind w:firstLine="640" w:firstLineChars="200"/>
        <w:jc w:val="left"/>
        <w:rPr>
          <w:rFonts w:hint="eastAsia" w:asciiTheme="minorEastAsia" w:hAnsiTheme="minorEastAsia" w:eastAsiaTheme="minorEastAsia" w:cstheme="minorEastAsia"/>
          <w:kern w:val="2"/>
          <w:sz w:val="32"/>
          <w:szCs w:val="32"/>
          <w:lang w:val="en-US" w:eastAsia="zh-CN" w:bidi="ar-SA"/>
        </w:rPr>
      </w:pPr>
      <w:r>
        <w:rPr>
          <w:rFonts w:hint="eastAsia" w:asciiTheme="minorEastAsia" w:hAnsiTheme="minorEastAsia" w:eastAsiaTheme="minorEastAsia" w:cstheme="minorEastAsia"/>
          <w:kern w:val="2"/>
          <w:sz w:val="32"/>
          <w:szCs w:val="32"/>
          <w:lang w:val="en-US" w:eastAsia="zh-CN" w:bidi="ar-SA"/>
        </w:rPr>
        <w:t>2、项目资金拨付进度较慢。我单位专项资金较多，年中追加的押类项目资金繁多、任务重、压力大，然而专项资金拨付缓慢，影响项目的实施。</w:t>
      </w:r>
    </w:p>
    <w:p>
      <w:pPr>
        <w:widowControl/>
        <w:numPr>
          <w:ilvl w:val="0"/>
          <w:numId w:val="0"/>
        </w:numPr>
        <w:tabs>
          <w:tab w:val="left" w:pos="643"/>
        </w:tabs>
        <w:spacing w:line="600" w:lineRule="exact"/>
        <w:ind w:firstLine="640" w:firstLineChars="200"/>
        <w:jc w:val="left"/>
        <w:rPr>
          <w:rFonts w:hint="eastAsia" w:asciiTheme="minorEastAsia" w:hAnsiTheme="minorEastAsia" w:eastAsiaTheme="minorEastAsia" w:cstheme="minorEastAsia"/>
          <w:b w:val="0"/>
          <w:i w:val="0"/>
          <w:caps w:val="0"/>
          <w:color w:val="4B4B4B"/>
          <w:spacing w:val="0"/>
          <w:sz w:val="32"/>
          <w:szCs w:val="32"/>
          <w:lang w:eastAsia="zh-CN"/>
        </w:rPr>
      </w:pPr>
      <w:r>
        <w:rPr>
          <w:rFonts w:hint="eastAsia" w:eastAsia="黑体"/>
          <w:sz w:val="32"/>
          <w:szCs w:val="32"/>
          <w:lang w:eastAsia="zh-CN"/>
        </w:rPr>
        <w:t>八、</w:t>
      </w:r>
      <w:r>
        <w:rPr>
          <w:rFonts w:eastAsia="黑体"/>
          <w:sz w:val="32"/>
          <w:szCs w:val="32"/>
        </w:rPr>
        <w:t>下一步改进措施</w:t>
      </w:r>
    </w:p>
    <w:p>
      <w:pPr>
        <w:pStyle w:val="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645" w:lineRule="atLeast"/>
        <w:ind w:right="0" w:rightChars="0"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kern w:val="2"/>
          <w:sz w:val="32"/>
          <w:szCs w:val="32"/>
          <w:lang w:val="en-US" w:eastAsia="zh-CN" w:bidi="ar-SA"/>
        </w:rPr>
        <w:t>强化绩效管理意识，进一步强化绩效理念，将绩效管理理念贯穿于资金分配到资金使用全过程，加大资金整合力度，强化专项资金管理，把有限的资金用在刀刃上，提高财政资金使用效率。</w:t>
      </w:r>
    </w:p>
    <w:p>
      <w:pPr>
        <w:widowControl/>
        <w:spacing w:line="600" w:lineRule="exact"/>
        <w:ind w:firstLine="645"/>
        <w:jc w:val="left"/>
        <w:rPr>
          <w:rFonts w:eastAsia="黑体"/>
          <w:sz w:val="32"/>
          <w:szCs w:val="32"/>
        </w:rPr>
      </w:pPr>
      <w:r>
        <w:rPr>
          <w:rFonts w:eastAsia="黑体"/>
          <w:sz w:val="32"/>
          <w:szCs w:val="32"/>
        </w:rPr>
        <w:t>九、其他需要说明的情况</w:t>
      </w:r>
    </w:p>
    <w:p>
      <w:pPr>
        <w:widowControl/>
        <w:spacing w:line="600" w:lineRule="exact"/>
        <w:ind w:firstLine="645"/>
        <w:jc w:val="left"/>
        <w:rPr>
          <w:rFonts w:eastAsia="仿宋_GB2312"/>
          <w:sz w:val="32"/>
          <w:szCs w:val="32"/>
        </w:rPr>
      </w:pPr>
    </w:p>
    <w:p>
      <w:pPr>
        <w:widowControl/>
        <w:spacing w:line="600" w:lineRule="exact"/>
        <w:ind w:firstLine="645"/>
        <w:jc w:val="left"/>
        <w:rPr>
          <w:rFonts w:hint="eastAsia" w:asciiTheme="minorEastAsia" w:hAnsiTheme="minorEastAsia" w:eastAsiaTheme="minorEastAsia" w:cstheme="minorEastAsia"/>
          <w:sz w:val="32"/>
          <w:szCs w:val="32"/>
        </w:rPr>
      </w:pPr>
      <w:r>
        <w:rPr>
          <w:rFonts w:eastAsia="仿宋_GB2312"/>
          <w:sz w:val="32"/>
          <w:szCs w:val="32"/>
        </w:rPr>
        <w:t>报告应包括以下附件：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eastAsia="仿宋_GB2312"/>
          <w:sz w:val="32"/>
          <w:szCs w:val="32"/>
        </w:rPr>
      </w:pPr>
      <w:r>
        <w:rPr>
          <w:rFonts w:eastAsia="仿宋_GB2312"/>
          <w:sz w:val="32"/>
          <w:szCs w:val="32"/>
        </w:rPr>
        <w:t>2、部门整体支出绩效自评表</w:t>
      </w:r>
    </w:p>
    <w:p>
      <w:pPr>
        <w:widowControl/>
        <w:spacing w:line="600" w:lineRule="exact"/>
        <w:ind w:firstLine="640" w:firstLineChars="200"/>
        <w:jc w:val="left"/>
        <w:rPr>
          <w:rFonts w:hint="eastAsia" w:eastAsia="仿宋_GB2312"/>
          <w:sz w:val="32"/>
          <w:szCs w:val="32"/>
        </w:rPr>
      </w:pPr>
    </w:p>
    <w:p>
      <w:pPr>
        <w:widowControl/>
        <w:spacing w:line="600" w:lineRule="exact"/>
        <w:ind w:firstLine="640" w:firstLineChars="200"/>
        <w:jc w:val="left"/>
        <w:rPr>
          <w:rFonts w:hint="eastAsia" w:eastAsia="仿宋_GB2312"/>
          <w:sz w:val="32"/>
          <w:szCs w:val="32"/>
        </w:rPr>
      </w:pPr>
    </w:p>
    <w:p>
      <w:pPr>
        <w:widowControl/>
        <w:spacing w:line="600" w:lineRule="exact"/>
        <w:ind w:firstLine="640" w:firstLineChars="200"/>
        <w:jc w:val="left"/>
        <w:rPr>
          <w:rFonts w:hint="eastAsia" w:eastAsia="仿宋_GB2312"/>
          <w:sz w:val="32"/>
          <w:szCs w:val="32"/>
        </w:rPr>
      </w:pPr>
    </w:p>
    <w:p>
      <w:pPr>
        <w:widowControl/>
        <w:spacing w:line="600" w:lineRule="exact"/>
        <w:ind w:firstLine="640" w:firstLineChars="200"/>
        <w:jc w:val="left"/>
        <w:rPr>
          <w:rFonts w:hint="eastAsia"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w:t>
      </w:r>
    </w:p>
    <w:tbl>
      <w:tblPr>
        <w:tblStyle w:val="6"/>
        <w:tblW w:w="993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（项目立项）（12）</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10"/>
              <w:numPr>
                <w:ilvl w:val="0"/>
                <w:numId w:val="3"/>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10"/>
              <w:numPr>
                <w:ilvl w:val="0"/>
                <w:numId w:val="3"/>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10"/>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10"/>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p>
            <w:pPr>
              <w:spacing w:line="260" w:lineRule="exact"/>
              <w:ind w:left="105" w:leftChars="50" w:right="105" w:rightChars="50"/>
              <w:jc w:val="center"/>
              <w:rPr>
                <w:rFonts w:hint="eastAsia" w:ascii="仿宋_GB2312" w:eastAsia="仿宋_GB2312"/>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10"/>
              <w:numPr>
                <w:ilvl w:val="0"/>
                <w:numId w:val="6"/>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（4分）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4497" w:type="dxa"/>
            <w:gridSpan w:val="4"/>
            <w:shd w:val="clear" w:color="auto" w:fill="auto"/>
            <w:vAlign w:val="center"/>
          </w:tcPr>
          <w:p>
            <w:pPr>
              <w:spacing w:line="260" w:lineRule="exact"/>
              <w:ind w:left="105" w:leftChars="50" w:right="105" w:rightChars="50" w:firstLine="1470" w:firstLineChars="700"/>
              <w:rPr>
                <w:rFonts w:hint="eastAsia" w:ascii="仿宋_GB2312" w:eastAsia="仿宋_GB2312"/>
                <w:szCs w:val="21"/>
                <w:lang w:eastAsia="zh-CN"/>
              </w:rPr>
            </w:pPr>
            <w:r>
              <w:rPr>
                <w:rFonts w:hint="eastAsia" w:ascii="仿宋_GB2312" w:eastAsia="仿宋_GB2312"/>
                <w:szCs w:val="21"/>
                <w:lang w:eastAsia="zh-CN"/>
              </w:rPr>
              <w:t>总分（</w:t>
            </w:r>
            <w:r>
              <w:rPr>
                <w:rFonts w:hint="eastAsia" w:ascii="仿宋_GB2312" w:eastAsia="仿宋_GB2312"/>
                <w:szCs w:val="21"/>
                <w:lang w:val="en-US" w:eastAsia="zh-CN"/>
              </w:rPr>
              <w:t>100</w:t>
            </w:r>
            <w:r>
              <w:rPr>
                <w:rFonts w:hint="eastAsia" w:ascii="仿宋_GB2312" w:eastAsia="仿宋_GB2312"/>
                <w:szCs w:val="21"/>
                <w:lang w:eastAsia="zh-CN"/>
              </w:rPr>
              <w:t>）</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hint="eastAsia" w:ascii="仿宋_GB2312" w:eastAsia="仿宋_GB2312"/>
                <w:szCs w:val="21"/>
              </w:rPr>
            </w:pP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80.5</w:t>
            </w:r>
          </w:p>
        </w:tc>
      </w:tr>
    </w:tbl>
    <w:p>
      <w:pPr>
        <w:spacing w:beforeLines="50" w:line="320" w:lineRule="exact"/>
        <w:rPr>
          <w:rFonts w:eastAsia="仿宋_GB2312"/>
          <w:sz w:val="24"/>
        </w:rPr>
      </w:pPr>
      <w:r>
        <w:rPr>
          <w:rFonts w:eastAsia="仿宋_GB2312"/>
          <w:sz w:val="24"/>
        </w:rPr>
        <w:t>填表人：         填报日期：           联系电话：       单位负责人签字：</w:t>
      </w: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tbl>
      <w:tblPr>
        <w:tblStyle w:val="6"/>
        <w:tblpPr w:leftFromText="180" w:rightFromText="180" w:vertAnchor="text" w:horzAnchor="page" w:tblpX="1099" w:tblpY="1506"/>
        <w:tblOverlap w:val="never"/>
        <w:tblW w:w="9999" w:type="dxa"/>
        <w:tblInd w:w="0" w:type="dxa"/>
        <w:tblLayout w:type="fixed"/>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Layout w:type="fixed"/>
          <w:tblCellMar>
            <w:top w:w="0" w:type="dxa"/>
            <w:left w:w="108" w:type="dxa"/>
            <w:bottom w:w="0" w:type="dxa"/>
            <w:right w:w="108" w:type="dxa"/>
          </w:tblCellMar>
        </w:tblPrEx>
        <w:trPr>
          <w:trHeight w:val="690" w:hRule="atLeast"/>
        </w:trPr>
        <w:tc>
          <w:tcPr>
            <w:tcW w:w="9999" w:type="dxa"/>
            <w:gridSpan w:val="9"/>
            <w:tcBorders>
              <w:top w:val="nil"/>
              <w:left w:val="nil"/>
              <w:bottom w:val="nil"/>
              <w:right w:val="nil"/>
            </w:tcBorders>
            <w:shd w:val="clear" w:color="auto" w:fill="auto"/>
            <w:noWrap/>
            <w:vAlign w:val="center"/>
          </w:tcPr>
          <w:p>
            <w:pPr>
              <w:spacing w:line="600" w:lineRule="exact"/>
              <w:rPr>
                <w:rFonts w:hint="eastAsia" w:eastAsia="黑体"/>
                <w:sz w:val="32"/>
                <w:szCs w:val="32"/>
                <w:lang w:val="en-US" w:eastAsia="zh-CN"/>
              </w:rPr>
            </w:pPr>
            <w:r>
              <w:rPr>
                <w:rFonts w:eastAsia="黑体"/>
                <w:sz w:val="32"/>
                <w:szCs w:val="32"/>
              </w:rPr>
              <w:t>附件</w:t>
            </w:r>
            <w:r>
              <w:rPr>
                <w:rFonts w:hint="eastAsia" w:eastAsia="黑体"/>
                <w:sz w:val="32"/>
                <w:szCs w:val="32"/>
              </w:rPr>
              <w:t>4-</w:t>
            </w:r>
            <w:r>
              <w:rPr>
                <w:rFonts w:hint="eastAsia" w:eastAsia="黑体"/>
                <w:sz w:val="32"/>
                <w:szCs w:val="32"/>
                <w:lang w:val="en-US" w:eastAsia="zh-CN"/>
              </w:rPr>
              <w:t>2</w:t>
            </w:r>
          </w:p>
          <w:p>
            <w:pPr>
              <w:widowControl/>
              <w:spacing w:line="400" w:lineRule="exact"/>
              <w:jc w:val="center"/>
              <w:rPr>
                <w:rFonts w:eastAsia="方正小标宋_GBK"/>
                <w:color w:val="0000FF"/>
                <w:kern w:val="0"/>
                <w:sz w:val="36"/>
                <w:szCs w:val="36"/>
              </w:rPr>
            </w:pPr>
          </w:p>
          <w:p>
            <w:pPr>
              <w:widowControl/>
              <w:tabs>
                <w:tab w:val="left" w:pos="1583"/>
              </w:tabs>
              <w:spacing w:line="400" w:lineRule="exact"/>
              <w:jc w:val="left"/>
              <w:rPr>
                <w:rFonts w:hint="eastAsia" w:eastAsia="方正小标宋_GBK"/>
                <w:color w:val="0000FF"/>
                <w:kern w:val="0"/>
                <w:sz w:val="36"/>
                <w:szCs w:val="36"/>
                <w:lang w:eastAsia="zh-CN"/>
              </w:rPr>
            </w:pPr>
            <w:r>
              <w:rPr>
                <w:rFonts w:hint="eastAsia" w:eastAsia="方正小标宋_GBK"/>
                <w:color w:val="0000FF"/>
                <w:kern w:val="0"/>
                <w:sz w:val="36"/>
                <w:szCs w:val="36"/>
                <w:lang w:eastAsia="zh-CN"/>
              </w:rPr>
              <w:tab/>
            </w:r>
          </w:p>
          <w:p>
            <w:pPr>
              <w:widowControl/>
              <w:spacing w:line="400" w:lineRule="exact"/>
              <w:jc w:val="center"/>
              <w:rPr>
                <w:rFonts w:eastAsia="方正小标宋_GBK"/>
                <w:color w:val="000000"/>
                <w:kern w:val="0"/>
                <w:sz w:val="36"/>
                <w:szCs w:val="36"/>
              </w:rPr>
            </w:pPr>
            <w:r>
              <w:rPr>
                <w:rFonts w:eastAsia="方正小标宋_GBK"/>
                <w:color w:val="000000" w:themeColor="text1"/>
                <w:kern w:val="0"/>
                <w:sz w:val="36"/>
                <w:szCs w:val="36"/>
                <w14:textFill>
                  <w14:solidFill>
                    <w14:schemeClr w14:val="tx1"/>
                  </w14:solidFill>
                </w14:textFill>
              </w:rPr>
              <w:t>预算支出绩效自评表</w:t>
            </w:r>
          </w:p>
        </w:tc>
      </w:tr>
      <w:tr>
        <w:tblPrEx>
          <w:tblLayout w:type="fixed"/>
          <w:tblCellMar>
            <w:top w:w="0" w:type="dxa"/>
            <w:left w:w="108" w:type="dxa"/>
            <w:bottom w:w="0" w:type="dxa"/>
            <w:right w:w="108" w:type="dxa"/>
          </w:tblCellMar>
        </w:tblPrEx>
        <w:trPr>
          <w:trHeight w:val="270" w:hRule="atLeast"/>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rFonts w:hint="eastAsia"/>
                <w:color w:val="000000"/>
                <w:kern w:val="0"/>
                <w:sz w:val="22"/>
                <w:lang w:val="en-US" w:eastAsia="zh-CN"/>
              </w:rPr>
              <w:t>(2019</w:t>
            </w:r>
            <w:r>
              <w:rPr>
                <w:color w:val="000000"/>
                <w:kern w:val="0"/>
                <w:sz w:val="22"/>
              </w:rPr>
              <w:t>年度）</w:t>
            </w:r>
          </w:p>
        </w:tc>
      </w:tr>
      <w:tr>
        <w:tblPrEx>
          <w:tblLayout w:type="fixed"/>
          <w:tblCellMar>
            <w:top w:w="0" w:type="dxa"/>
            <w:left w:w="108" w:type="dxa"/>
            <w:bottom w:w="0" w:type="dxa"/>
            <w:right w:w="108" w:type="dxa"/>
          </w:tblCellMar>
        </w:tblPrEx>
        <w:trPr>
          <w:trHeight w:val="585" w:hRule="atLeast"/>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ascii="Times New Roman" w:hAnsi="Times New Roman" w:eastAsia="仿宋_GB2312" w:cs="Times New Roman"/>
                <w:sz w:val="28"/>
                <w:szCs w:val="28"/>
                <w:lang w:val="en-US" w:eastAsia="zh-CN"/>
              </w:rPr>
              <w:t>农业生产发展基础设施建设</w:t>
            </w:r>
          </w:p>
        </w:tc>
      </w:tr>
      <w:tr>
        <w:tblPrEx>
          <w:tblLayout w:type="fixed"/>
          <w:tblCellMar>
            <w:top w:w="0" w:type="dxa"/>
            <w:left w:w="108" w:type="dxa"/>
            <w:bottom w:w="0" w:type="dxa"/>
            <w:right w:w="108" w:type="dxa"/>
          </w:tblCellMar>
        </w:tblPrEx>
        <w:trPr>
          <w:trHeight w:val="90" w:hRule="atLeast"/>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鹤城区农业农村局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eastAsia="zh-CN"/>
              </w:rPr>
              <w:t>鹤城区农业农村局</w:t>
            </w:r>
          </w:p>
        </w:tc>
      </w:tr>
      <w:tr>
        <w:tblPrEx>
          <w:tblLayout w:type="fixed"/>
          <w:tblCellMar>
            <w:top w:w="0" w:type="dxa"/>
            <w:left w:w="108" w:type="dxa"/>
            <w:bottom w:w="0" w:type="dxa"/>
            <w:right w:w="108" w:type="dxa"/>
          </w:tblCellMar>
        </w:tblPrEx>
        <w:trPr>
          <w:trHeight w:val="340" w:hRule="atLeast"/>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Layout w:type="fixed"/>
          <w:tblCellMar>
            <w:top w:w="0" w:type="dxa"/>
            <w:left w:w="108" w:type="dxa"/>
            <w:bottom w:w="0" w:type="dxa"/>
            <w:right w:w="108" w:type="dxa"/>
          </w:tblCellMar>
        </w:tblPrEx>
        <w:trPr>
          <w:trHeight w:val="340" w:hRule="atLeast"/>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s="Times New Roman"/>
                <w:sz w:val="21"/>
                <w:szCs w:val="21"/>
                <w:lang w:val="en-US" w:eastAsia="zh-CN"/>
              </w:rPr>
              <w:t>224.5</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s="Times New Roman"/>
                <w:sz w:val="21"/>
                <w:szCs w:val="21"/>
                <w:lang w:val="en-US" w:eastAsia="zh-CN"/>
              </w:rPr>
              <w:t>224.5</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s="Times New Roman"/>
                <w:sz w:val="21"/>
                <w:szCs w:val="21"/>
                <w:lang w:val="en-US" w:eastAsia="zh-CN"/>
              </w:rPr>
              <w:t>224.5</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Layout w:type="fixed"/>
          <w:tblCellMar>
            <w:top w:w="0" w:type="dxa"/>
            <w:left w:w="108" w:type="dxa"/>
            <w:bottom w:w="0" w:type="dxa"/>
            <w:right w:w="108" w:type="dxa"/>
          </w:tblCellMar>
        </w:tblPrEx>
        <w:trPr>
          <w:trHeight w:val="162" w:hRule="atLeast"/>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s="Times New Roman"/>
                <w:sz w:val="21"/>
                <w:szCs w:val="21"/>
                <w:lang w:val="en-US" w:eastAsia="zh-CN"/>
              </w:rPr>
              <w:t>224.5</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s="Times New Roman"/>
                <w:sz w:val="21"/>
                <w:szCs w:val="21"/>
                <w:lang w:val="en-US" w:eastAsia="zh-CN"/>
              </w:rPr>
              <w:t>224.5</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s="Times New Roman"/>
                <w:sz w:val="21"/>
                <w:szCs w:val="21"/>
                <w:lang w:val="en-US" w:eastAsia="zh-CN"/>
              </w:rPr>
              <w:t>224.5</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Layout w:type="fixed"/>
          <w:tblCellMar>
            <w:top w:w="0" w:type="dxa"/>
            <w:left w:w="108" w:type="dxa"/>
            <w:bottom w:w="0" w:type="dxa"/>
            <w:right w:w="108" w:type="dxa"/>
          </w:tblCellMar>
        </w:tblPrEx>
        <w:trPr>
          <w:trHeight w:val="340" w:hRule="atLeast"/>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Layout w:type="fixed"/>
          <w:tblCellMar>
            <w:top w:w="0" w:type="dxa"/>
            <w:left w:w="108" w:type="dxa"/>
            <w:bottom w:w="0" w:type="dxa"/>
            <w:right w:w="108" w:type="dxa"/>
          </w:tblCellMar>
        </w:tblPrEx>
        <w:trPr>
          <w:trHeight w:val="340" w:hRule="atLeast"/>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Layout w:type="fixed"/>
          <w:tblCellMar>
            <w:top w:w="0" w:type="dxa"/>
            <w:left w:w="108" w:type="dxa"/>
            <w:bottom w:w="0" w:type="dxa"/>
            <w:right w:w="108" w:type="dxa"/>
          </w:tblCellMar>
        </w:tblPrEx>
        <w:trPr>
          <w:trHeight w:val="340" w:hRule="atLeast"/>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Layout w:type="fixed"/>
          <w:tblCellMar>
            <w:top w:w="0" w:type="dxa"/>
            <w:left w:w="108" w:type="dxa"/>
            <w:bottom w:w="0" w:type="dxa"/>
            <w:right w:w="108" w:type="dxa"/>
          </w:tblCellMar>
        </w:tblPrEx>
        <w:trPr>
          <w:trHeight w:val="715"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在黄金坳里三元村</w:t>
            </w:r>
            <w:r>
              <w:rPr>
                <w:rFonts w:hint="eastAsia" w:eastAsia="仿宋_GB2312"/>
                <w:color w:val="000000"/>
                <w:kern w:val="0"/>
                <w:szCs w:val="21"/>
              </w:rPr>
              <w:t>新建排水及灌溉渠道</w:t>
            </w:r>
            <w:r>
              <w:rPr>
                <w:rFonts w:hint="eastAsia" w:eastAsia="仿宋_GB2312"/>
                <w:color w:val="000000"/>
                <w:kern w:val="0"/>
                <w:szCs w:val="21"/>
                <w:lang w:val="en-US" w:eastAsia="zh-CN"/>
              </w:rPr>
              <w:t>10</w:t>
            </w:r>
            <w:r>
              <w:rPr>
                <w:rFonts w:hint="eastAsia" w:eastAsia="仿宋_GB2312"/>
                <w:color w:val="000000"/>
                <w:kern w:val="0"/>
                <w:szCs w:val="21"/>
              </w:rPr>
              <w:t>公里，建成高标准农田</w:t>
            </w:r>
            <w:r>
              <w:rPr>
                <w:rFonts w:hint="eastAsia" w:eastAsia="仿宋_GB2312"/>
                <w:color w:val="000000"/>
                <w:kern w:val="0"/>
                <w:szCs w:val="21"/>
                <w:lang w:val="en-US" w:eastAsia="zh-CN"/>
              </w:rPr>
              <w:t>1930</w:t>
            </w:r>
            <w:r>
              <w:rPr>
                <w:rFonts w:hint="eastAsia" w:eastAsia="仿宋_GB2312"/>
                <w:color w:val="000000"/>
                <w:kern w:val="0"/>
                <w:szCs w:val="21"/>
              </w:rPr>
              <w:t>亩</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完成</w:t>
            </w:r>
            <w:r>
              <w:rPr>
                <w:rFonts w:hint="eastAsia" w:eastAsia="仿宋_GB2312"/>
                <w:color w:val="000000"/>
                <w:kern w:val="0"/>
                <w:szCs w:val="21"/>
              </w:rPr>
              <w:t>新建排水及灌溉渠道</w:t>
            </w:r>
            <w:r>
              <w:rPr>
                <w:rFonts w:hint="eastAsia" w:eastAsia="仿宋_GB2312"/>
                <w:color w:val="000000"/>
                <w:kern w:val="0"/>
                <w:szCs w:val="21"/>
                <w:lang w:val="en-US" w:eastAsia="zh-CN"/>
              </w:rPr>
              <w:t>10</w:t>
            </w:r>
            <w:r>
              <w:rPr>
                <w:rFonts w:hint="eastAsia" w:eastAsia="仿宋_GB2312"/>
                <w:color w:val="000000"/>
                <w:kern w:val="0"/>
                <w:szCs w:val="21"/>
              </w:rPr>
              <w:t>公里，建设高标准农田</w:t>
            </w:r>
            <w:r>
              <w:rPr>
                <w:rFonts w:hint="eastAsia" w:eastAsia="仿宋_GB2312"/>
                <w:color w:val="000000"/>
                <w:kern w:val="0"/>
                <w:szCs w:val="21"/>
                <w:lang w:val="en-US" w:eastAsia="zh-CN"/>
              </w:rPr>
              <w:t>1930</w:t>
            </w:r>
            <w:r>
              <w:rPr>
                <w:rFonts w:hint="eastAsia" w:eastAsia="仿宋_GB2312"/>
                <w:color w:val="000000"/>
                <w:kern w:val="0"/>
                <w:szCs w:val="21"/>
              </w:rPr>
              <w:t>亩</w:t>
            </w:r>
          </w:p>
        </w:tc>
      </w:tr>
      <w:tr>
        <w:tblPrEx>
          <w:tblLayout w:type="fixed"/>
          <w:tblCellMar>
            <w:top w:w="0" w:type="dxa"/>
            <w:left w:w="108" w:type="dxa"/>
            <w:bottom w:w="0" w:type="dxa"/>
            <w:right w:w="108" w:type="dxa"/>
          </w:tblCellMar>
        </w:tblPrEx>
        <w:trPr>
          <w:trHeight w:val="868" w:hRule="atLeast"/>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Layout w:type="fixed"/>
          <w:tblCellMar>
            <w:top w:w="0" w:type="dxa"/>
            <w:left w:w="108" w:type="dxa"/>
            <w:bottom w:w="0" w:type="dxa"/>
            <w:right w:w="108" w:type="dxa"/>
          </w:tblCellMar>
        </w:tblPrEx>
        <w:trPr>
          <w:trHeight w:val="340" w:hRule="atLeast"/>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新建排水及灌溉渠道</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rPr>
              <w:t>≥</w:t>
            </w:r>
            <w:r>
              <w:rPr>
                <w:rFonts w:hint="eastAsia" w:eastAsia="仿宋_GB2312"/>
                <w:color w:val="000000"/>
                <w:kern w:val="0"/>
                <w:szCs w:val="21"/>
                <w:lang w:val="en-US" w:eastAsia="zh-CN"/>
              </w:rPr>
              <w:t>10公里</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≥10公里</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Layout w:type="fixed"/>
          <w:tblCellMar>
            <w:top w:w="0" w:type="dxa"/>
            <w:left w:w="108" w:type="dxa"/>
            <w:bottom w:w="0" w:type="dxa"/>
            <w:right w:w="108" w:type="dxa"/>
          </w:tblCellMar>
        </w:tblPrEx>
        <w:trPr>
          <w:trHeight w:val="340" w:hRule="atLeast"/>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eastAsia="zh-CN"/>
              </w:rPr>
              <w:t>高村准农田建设</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rPr>
            </w:pPr>
            <w:r>
              <w:rPr>
                <w:rFonts w:hint="eastAsia" w:eastAsia="仿宋_GB2312"/>
                <w:color w:val="000000"/>
                <w:kern w:val="0"/>
                <w:szCs w:val="21"/>
                <w:lang w:val="en-US" w:eastAsia="zh-CN"/>
              </w:rPr>
              <w:t>1930亩</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rPr>
              <w:t>≥</w:t>
            </w:r>
            <w:r>
              <w:rPr>
                <w:rFonts w:hint="eastAsia" w:eastAsia="仿宋_GB2312"/>
                <w:color w:val="000000"/>
                <w:kern w:val="0"/>
                <w:szCs w:val="21"/>
                <w:lang w:val="en-US" w:eastAsia="zh-CN"/>
              </w:rPr>
              <w:t>1930亩</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Layout w:type="fixed"/>
          <w:tblCellMar>
            <w:top w:w="0" w:type="dxa"/>
            <w:left w:w="108" w:type="dxa"/>
            <w:bottom w:w="0" w:type="dxa"/>
            <w:right w:w="108" w:type="dxa"/>
          </w:tblCellMar>
        </w:tblPrEx>
        <w:trPr>
          <w:trHeight w:val="340" w:hRule="atLeast"/>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项目验收合格率100%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rPr>
              <w:t>100</w:t>
            </w:r>
            <w:r>
              <w:rPr>
                <w:rFonts w:hint="eastAsia" w:eastAsia="仿宋_GB2312"/>
                <w:color w:val="000000"/>
                <w:kern w:val="0"/>
                <w:szCs w:val="21"/>
                <w:lang w:val="en-US" w:eastAsia="zh-CN"/>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Layout w:type="fixed"/>
          <w:tblCellMar>
            <w:top w:w="0" w:type="dxa"/>
            <w:left w:w="108" w:type="dxa"/>
            <w:bottom w:w="0" w:type="dxa"/>
            <w:right w:w="108" w:type="dxa"/>
          </w:tblCellMar>
        </w:tblPrEx>
        <w:trPr>
          <w:trHeight w:val="340" w:hRule="atLeast"/>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项目工程完成及时率100%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9</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p>
        </w:tc>
      </w:tr>
      <w:tr>
        <w:tblPrEx>
          <w:tblLayout w:type="fixed"/>
          <w:tblCellMar>
            <w:top w:w="0" w:type="dxa"/>
            <w:left w:w="108" w:type="dxa"/>
            <w:bottom w:w="0" w:type="dxa"/>
            <w:right w:w="108" w:type="dxa"/>
          </w:tblCellMar>
        </w:tblPrEx>
        <w:trPr>
          <w:trHeight w:val="340" w:hRule="atLeast"/>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每亩1600元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1600元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≥1600元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8</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p>
        </w:tc>
      </w:tr>
      <w:tr>
        <w:tblPrEx>
          <w:tblLayout w:type="fixed"/>
          <w:tblCellMar>
            <w:top w:w="0" w:type="dxa"/>
            <w:left w:w="108" w:type="dxa"/>
            <w:bottom w:w="0" w:type="dxa"/>
            <w:right w:w="108" w:type="dxa"/>
          </w:tblCellMar>
        </w:tblPrEx>
        <w:trPr>
          <w:trHeight w:val="340" w:hRule="atLeast"/>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增加粮食产能</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193吨</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w:t>
            </w:r>
            <w:r>
              <w:rPr>
                <w:rFonts w:hint="eastAsia" w:eastAsia="仿宋_GB2312"/>
                <w:color w:val="000000"/>
                <w:kern w:val="0"/>
                <w:szCs w:val="21"/>
                <w:lang w:val="en-US" w:eastAsia="zh-CN"/>
              </w:rPr>
              <w:t>193</w:t>
            </w:r>
            <w:r>
              <w:rPr>
                <w:rFonts w:hint="eastAsia" w:eastAsia="仿宋_GB2312"/>
                <w:color w:val="000000"/>
                <w:kern w:val="0"/>
                <w:szCs w:val="21"/>
              </w:rPr>
              <w:t>吨</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8</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p>
        </w:tc>
      </w:tr>
      <w:tr>
        <w:tblPrEx>
          <w:tblLayout w:type="fixed"/>
          <w:tblCellMar>
            <w:top w:w="0" w:type="dxa"/>
            <w:left w:w="108" w:type="dxa"/>
            <w:bottom w:w="0" w:type="dxa"/>
            <w:right w:w="108" w:type="dxa"/>
          </w:tblCellMar>
        </w:tblPrEx>
        <w:trPr>
          <w:trHeight w:val="340" w:hRule="atLeast"/>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改善</w:t>
            </w:r>
            <w:r>
              <w:rPr>
                <w:rFonts w:hint="eastAsia" w:eastAsia="仿宋_GB2312"/>
                <w:color w:val="000000"/>
                <w:kern w:val="0"/>
                <w:szCs w:val="21"/>
                <w:lang w:eastAsia="zh-CN"/>
              </w:rPr>
              <w:t>农</w:t>
            </w:r>
            <w:r>
              <w:rPr>
                <w:rFonts w:hint="eastAsia" w:eastAsia="仿宋_GB2312"/>
                <w:color w:val="000000"/>
                <w:kern w:val="0"/>
                <w:szCs w:val="21"/>
              </w:rPr>
              <w:t>田排水级灌溉条件</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rPr>
              <w:t>改善</w:t>
            </w:r>
            <w:r>
              <w:rPr>
                <w:rFonts w:hint="eastAsia" w:eastAsia="仿宋_GB2312"/>
                <w:color w:val="000000"/>
                <w:kern w:val="0"/>
                <w:szCs w:val="21"/>
                <w:lang w:eastAsia="zh-CN"/>
              </w:rPr>
              <w:t>农</w:t>
            </w:r>
            <w:r>
              <w:rPr>
                <w:rFonts w:hint="eastAsia" w:eastAsia="仿宋_GB2312"/>
                <w:color w:val="000000"/>
                <w:kern w:val="0"/>
                <w:szCs w:val="21"/>
              </w:rPr>
              <w:t>田排水级灌溉条件</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8</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6</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p>
        </w:tc>
      </w:tr>
      <w:tr>
        <w:tblPrEx>
          <w:tblLayout w:type="fixed"/>
          <w:tblCellMar>
            <w:top w:w="0" w:type="dxa"/>
            <w:left w:w="108" w:type="dxa"/>
            <w:bottom w:w="0" w:type="dxa"/>
            <w:right w:w="108" w:type="dxa"/>
          </w:tblCellMar>
        </w:tblPrEx>
        <w:trPr>
          <w:trHeight w:val="340" w:hRule="atLeast"/>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减少水土流失</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减少水土流失</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7</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Layout w:type="fixed"/>
          <w:tblCellMar>
            <w:top w:w="0" w:type="dxa"/>
            <w:left w:w="108" w:type="dxa"/>
            <w:bottom w:w="0" w:type="dxa"/>
            <w:right w:w="108" w:type="dxa"/>
          </w:tblCellMar>
        </w:tblPrEx>
        <w:trPr>
          <w:trHeight w:val="340" w:hRule="atLeast"/>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工程设计使用年限10年</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10年</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≥10年</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4</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p>
        </w:tc>
      </w:tr>
      <w:tr>
        <w:tblPrEx>
          <w:tblLayout w:type="fixed"/>
          <w:tblCellMar>
            <w:top w:w="0" w:type="dxa"/>
            <w:left w:w="108" w:type="dxa"/>
            <w:bottom w:w="0" w:type="dxa"/>
            <w:right w:w="108" w:type="dxa"/>
          </w:tblCellMar>
        </w:tblPrEx>
        <w:trPr>
          <w:trHeight w:val="340" w:hRule="atLeast"/>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受</w:t>
            </w:r>
            <w:r>
              <w:rPr>
                <w:rFonts w:hint="eastAsia" w:eastAsia="仿宋_GB2312"/>
                <w:color w:val="000000"/>
                <w:kern w:val="0"/>
                <w:szCs w:val="21"/>
              </w:rPr>
              <w:t>益农户满意度100%</w:t>
            </w:r>
            <w:r>
              <w:rPr>
                <w:rFonts w:eastAsia="仿宋_GB2312"/>
                <w:color w:val="000000"/>
                <w:kern w:val="0"/>
                <w:szCs w:val="21"/>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w:t>
            </w:r>
            <w:r>
              <w:rPr>
                <w:rFonts w:hint="eastAsia" w:eastAsia="仿宋_GB2312"/>
                <w:color w:val="000000"/>
                <w:kern w:val="0"/>
                <w:szCs w:val="21"/>
                <w:lang w:val="en-US" w:eastAsia="zh-CN"/>
              </w:rPr>
              <w:t>98</w:t>
            </w:r>
            <w:r>
              <w:rPr>
                <w:rFonts w:hint="eastAsia" w:eastAsia="仿宋_GB2312"/>
                <w:color w:val="000000"/>
                <w:kern w:val="0"/>
                <w:szCs w:val="21"/>
              </w:rPr>
              <w:t>%</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9</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p>
        </w:tc>
      </w:tr>
      <w:tr>
        <w:tblPrEx>
          <w:tblLayout w:type="fixed"/>
          <w:tblCellMar>
            <w:top w:w="0" w:type="dxa"/>
            <w:left w:w="108" w:type="dxa"/>
            <w:bottom w:w="0" w:type="dxa"/>
            <w:right w:w="108" w:type="dxa"/>
          </w:tblCellMar>
        </w:tblPrEx>
        <w:trPr>
          <w:trHeight w:val="340" w:hRule="atLeast"/>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89</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         填报日期：           联系电话：       单位负责人签字：</w:t>
      </w: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line="600" w:lineRule="exact"/>
        <w:rPr>
          <w:rFonts w:eastAsia="黑体"/>
          <w:sz w:val="32"/>
          <w:szCs w:val="32"/>
        </w:rPr>
      </w:pPr>
    </w:p>
    <w:p>
      <w:pPr>
        <w:spacing w:line="600" w:lineRule="exact"/>
        <w:rPr>
          <w:rFonts w:hint="eastAsia" w:eastAsia="黑体"/>
          <w:sz w:val="32"/>
          <w:szCs w:val="32"/>
          <w:lang w:val="en-US" w:eastAsia="zh-CN"/>
        </w:rPr>
      </w:pPr>
      <w:r>
        <w:rPr>
          <w:rFonts w:eastAsia="黑体"/>
          <w:sz w:val="32"/>
          <w:szCs w:val="32"/>
        </w:rPr>
        <w:t>附件</w:t>
      </w:r>
      <w:r>
        <w:rPr>
          <w:rFonts w:hint="eastAsia" w:eastAsia="黑体"/>
          <w:sz w:val="32"/>
          <w:szCs w:val="32"/>
        </w:rPr>
        <w:t>4-</w:t>
      </w:r>
      <w:r>
        <w:rPr>
          <w:rFonts w:hint="eastAsia" w:eastAsia="黑体"/>
          <w:sz w:val="32"/>
          <w:szCs w:val="32"/>
          <w:lang w:val="en-US" w:eastAsia="zh-CN"/>
        </w:rPr>
        <w:t>2</w:t>
      </w:r>
    </w:p>
    <w:tbl>
      <w:tblPr>
        <w:tblStyle w:val="6"/>
        <w:tblpPr w:leftFromText="180" w:rightFromText="180" w:vertAnchor="text" w:horzAnchor="page" w:tblpX="1058" w:tblpY="386"/>
        <w:tblOverlap w:val="never"/>
        <w:tblW w:w="9999" w:type="dxa"/>
        <w:tblInd w:w="0" w:type="dxa"/>
        <w:tblLayout w:type="fixed"/>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Layout w:type="fixed"/>
          <w:tblCellMar>
            <w:top w:w="0" w:type="dxa"/>
            <w:left w:w="108" w:type="dxa"/>
            <w:bottom w:w="0" w:type="dxa"/>
            <w:right w:w="108" w:type="dxa"/>
          </w:tblCellMar>
        </w:tblPrEx>
        <w:trPr>
          <w:trHeight w:val="690" w:hRule="atLeast"/>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themeColor="text1"/>
                <w:kern w:val="0"/>
                <w:sz w:val="36"/>
                <w:szCs w:val="36"/>
                <w14:textFill>
                  <w14:solidFill>
                    <w14:schemeClr w14:val="tx1"/>
                  </w14:solidFill>
                </w14:textFill>
              </w:rPr>
              <w:t>预算支出绩效自评表</w:t>
            </w:r>
          </w:p>
        </w:tc>
      </w:tr>
      <w:tr>
        <w:tblPrEx>
          <w:tblLayout w:type="fixed"/>
          <w:tblCellMar>
            <w:top w:w="0" w:type="dxa"/>
            <w:left w:w="108" w:type="dxa"/>
            <w:bottom w:w="0" w:type="dxa"/>
            <w:right w:w="108" w:type="dxa"/>
          </w:tblCellMar>
        </w:tblPrEx>
        <w:trPr>
          <w:trHeight w:val="90" w:hRule="atLeast"/>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FF"/>
                <w:kern w:val="0"/>
                <w:sz w:val="36"/>
                <w:szCs w:val="36"/>
              </w:rPr>
            </w:pPr>
          </w:p>
        </w:tc>
      </w:tr>
      <w:tr>
        <w:tblPrEx>
          <w:tblLayout w:type="fixed"/>
          <w:tblCellMar>
            <w:top w:w="0" w:type="dxa"/>
            <w:left w:w="108" w:type="dxa"/>
            <w:bottom w:w="0" w:type="dxa"/>
            <w:right w:w="108" w:type="dxa"/>
          </w:tblCellMar>
        </w:tblPrEx>
        <w:trPr>
          <w:trHeight w:val="270" w:hRule="atLeast"/>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rFonts w:hint="eastAsia"/>
                <w:color w:val="000000"/>
                <w:kern w:val="0"/>
                <w:sz w:val="22"/>
                <w:lang w:val="en-US" w:eastAsia="zh-CN"/>
              </w:rPr>
              <w:t>(2019</w:t>
            </w:r>
            <w:r>
              <w:rPr>
                <w:color w:val="000000"/>
                <w:kern w:val="0"/>
                <w:sz w:val="22"/>
              </w:rPr>
              <w:t>年度）</w:t>
            </w:r>
          </w:p>
        </w:tc>
      </w:tr>
      <w:tr>
        <w:tblPrEx>
          <w:tblLayout w:type="fixed"/>
          <w:tblCellMar>
            <w:top w:w="0" w:type="dxa"/>
            <w:left w:w="108" w:type="dxa"/>
            <w:bottom w:w="0" w:type="dxa"/>
            <w:right w:w="108" w:type="dxa"/>
          </w:tblCellMar>
        </w:tblPrEx>
        <w:trPr>
          <w:trHeight w:val="585" w:hRule="atLeast"/>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ascii="Times New Roman" w:hAnsi="Times New Roman" w:eastAsia="仿宋_GB2312" w:cs="Times New Roman"/>
                <w:sz w:val="32"/>
                <w:szCs w:val="32"/>
                <w:lang w:val="en-US" w:eastAsia="zh-CN"/>
              </w:rPr>
              <w:t>农业组织和产业化经营</w:t>
            </w:r>
          </w:p>
        </w:tc>
      </w:tr>
      <w:tr>
        <w:tblPrEx>
          <w:tblLayout w:type="fixed"/>
          <w:tblCellMar>
            <w:top w:w="0" w:type="dxa"/>
            <w:left w:w="108" w:type="dxa"/>
            <w:bottom w:w="0" w:type="dxa"/>
            <w:right w:w="108" w:type="dxa"/>
          </w:tblCellMar>
        </w:tblPrEx>
        <w:trPr>
          <w:trHeight w:val="340" w:hRule="atLeast"/>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鹤城区农业农村局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鹤城区农业农村局</w:t>
            </w:r>
          </w:p>
        </w:tc>
      </w:tr>
      <w:tr>
        <w:tblPrEx>
          <w:tblLayout w:type="fixed"/>
          <w:tblCellMar>
            <w:top w:w="0" w:type="dxa"/>
            <w:left w:w="108" w:type="dxa"/>
            <w:bottom w:w="0" w:type="dxa"/>
            <w:right w:w="108" w:type="dxa"/>
          </w:tblCellMar>
        </w:tblPrEx>
        <w:trPr>
          <w:trHeight w:val="340" w:hRule="atLeast"/>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Layout w:type="fixed"/>
          <w:tblCellMar>
            <w:top w:w="0" w:type="dxa"/>
            <w:left w:w="108" w:type="dxa"/>
            <w:bottom w:w="0" w:type="dxa"/>
            <w:right w:w="108" w:type="dxa"/>
          </w:tblCellMar>
        </w:tblPrEx>
        <w:trPr>
          <w:trHeight w:val="340" w:hRule="atLeast"/>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s="Times New Roman"/>
                <w:sz w:val="21"/>
                <w:szCs w:val="21"/>
                <w:lang w:val="en-US" w:eastAsia="zh-CN"/>
              </w:rPr>
              <w:t>275.8</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275.8</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275.8</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Layout w:type="fixed"/>
          <w:tblCellMar>
            <w:top w:w="0" w:type="dxa"/>
            <w:left w:w="108" w:type="dxa"/>
            <w:bottom w:w="0" w:type="dxa"/>
            <w:right w:w="108" w:type="dxa"/>
          </w:tblCellMar>
        </w:tblPrEx>
        <w:trPr>
          <w:trHeight w:val="340" w:hRule="atLeast"/>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275.8</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275.8</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275.8</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Layout w:type="fixed"/>
          <w:tblCellMar>
            <w:top w:w="0" w:type="dxa"/>
            <w:left w:w="108" w:type="dxa"/>
            <w:bottom w:w="0" w:type="dxa"/>
            <w:right w:w="108" w:type="dxa"/>
          </w:tblCellMar>
        </w:tblPrEx>
        <w:trPr>
          <w:trHeight w:val="340" w:hRule="atLeast"/>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Layout w:type="fixed"/>
          <w:tblCellMar>
            <w:top w:w="0" w:type="dxa"/>
            <w:left w:w="108" w:type="dxa"/>
            <w:bottom w:w="0" w:type="dxa"/>
            <w:right w:w="108" w:type="dxa"/>
          </w:tblCellMar>
        </w:tblPrEx>
        <w:trPr>
          <w:trHeight w:val="340" w:hRule="atLeast"/>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Layout w:type="fixed"/>
          <w:tblCellMar>
            <w:top w:w="0" w:type="dxa"/>
            <w:left w:w="108" w:type="dxa"/>
            <w:bottom w:w="0" w:type="dxa"/>
            <w:right w:w="108" w:type="dxa"/>
          </w:tblCellMar>
        </w:tblPrEx>
        <w:trPr>
          <w:trHeight w:val="340" w:hRule="atLeast"/>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Layout w:type="fixed"/>
          <w:tblCellMar>
            <w:top w:w="0" w:type="dxa"/>
            <w:left w:w="108" w:type="dxa"/>
            <w:bottom w:w="0" w:type="dxa"/>
            <w:right w:w="108" w:type="dxa"/>
          </w:tblCellMar>
        </w:tblPrEx>
        <w:trPr>
          <w:trHeight w:val="715"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default" w:eastAsia="仿宋_GB2312"/>
                <w:color w:val="000000"/>
                <w:kern w:val="0"/>
                <w:szCs w:val="21"/>
                <w:lang w:val="en-US"/>
              </w:rPr>
            </w:pPr>
            <w:r>
              <w:rPr>
                <w:rFonts w:hint="eastAsia" w:ascii="仿宋_GB2312" w:hAnsi="仿宋_GB2312" w:eastAsia="仿宋_GB2312" w:cs="仿宋_GB2312"/>
                <w:color w:val="000000"/>
                <w:kern w:val="0"/>
                <w:sz w:val="18"/>
                <w:szCs w:val="18"/>
              </w:rPr>
              <w:t>通过项目实施，安排</w:t>
            </w:r>
            <w:r>
              <w:rPr>
                <w:rFonts w:hint="eastAsia" w:ascii="仿宋_GB2312" w:hAnsi="仿宋_GB2312" w:eastAsia="仿宋_GB2312" w:cs="仿宋_GB2312"/>
                <w:color w:val="000000"/>
                <w:kern w:val="0"/>
                <w:sz w:val="18"/>
                <w:szCs w:val="18"/>
                <w:lang w:eastAsia="zh-CN"/>
              </w:rPr>
              <w:t>扶持救助农业组织、企业务</w:t>
            </w:r>
            <w:r>
              <w:rPr>
                <w:rFonts w:hint="eastAsia" w:ascii="仿宋_GB2312" w:hAnsi="仿宋_GB2312" w:eastAsia="仿宋_GB2312" w:cs="仿宋_GB2312"/>
                <w:color w:val="000000"/>
                <w:kern w:val="0"/>
                <w:sz w:val="18"/>
                <w:szCs w:val="18"/>
              </w:rPr>
              <w:t>工就业5人以上，补助</w:t>
            </w:r>
            <w:r>
              <w:rPr>
                <w:rFonts w:hint="eastAsia" w:ascii="仿宋_GB2312" w:hAnsi="仿宋_GB2312" w:eastAsia="仿宋_GB2312" w:cs="仿宋_GB2312"/>
                <w:color w:val="000000"/>
                <w:kern w:val="0"/>
                <w:sz w:val="18"/>
                <w:szCs w:val="18"/>
                <w:lang w:eastAsia="zh-CN"/>
              </w:rPr>
              <w:t>企</w:t>
            </w:r>
            <w:r>
              <w:rPr>
                <w:rFonts w:hint="eastAsia" w:ascii="仿宋_GB2312" w:hAnsi="仿宋_GB2312" w:eastAsia="仿宋_GB2312" w:cs="仿宋_GB2312"/>
                <w:color w:val="000000"/>
                <w:kern w:val="0"/>
                <w:sz w:val="18"/>
                <w:szCs w:val="18"/>
              </w:rPr>
              <w:t>户</w:t>
            </w:r>
            <w:r>
              <w:rPr>
                <w:rFonts w:hint="eastAsia" w:ascii="仿宋_GB2312" w:hAnsi="仿宋_GB2312" w:eastAsia="仿宋_GB2312" w:cs="仿宋_GB2312"/>
                <w:color w:val="000000"/>
                <w:kern w:val="0"/>
                <w:sz w:val="18"/>
                <w:szCs w:val="18"/>
                <w:lang w:val="en-US" w:eastAsia="zh-CN"/>
              </w:rPr>
              <w:t>1</w:t>
            </w:r>
            <w:r>
              <w:rPr>
                <w:rFonts w:hint="eastAsia" w:ascii="仿宋_GB2312" w:hAnsi="仿宋_GB2312" w:eastAsia="仿宋_GB2312" w:cs="仿宋_GB2312"/>
                <w:color w:val="000000"/>
                <w:kern w:val="0"/>
                <w:sz w:val="18"/>
                <w:szCs w:val="18"/>
              </w:rPr>
              <w:t>0</w:t>
            </w:r>
            <w:r>
              <w:rPr>
                <w:rFonts w:hint="eastAsia" w:ascii="仿宋_GB2312" w:hAnsi="仿宋_GB2312" w:eastAsia="仿宋_GB2312" w:cs="仿宋_GB2312"/>
                <w:color w:val="000000"/>
                <w:kern w:val="0"/>
                <w:sz w:val="18"/>
                <w:szCs w:val="18"/>
                <w:lang w:eastAsia="zh-CN"/>
              </w:rPr>
              <w:t>、家</w:t>
            </w:r>
            <w:r>
              <w:rPr>
                <w:rFonts w:hint="eastAsia" w:ascii="仿宋_GB2312" w:hAnsi="仿宋_GB2312" w:eastAsia="仿宋_GB2312" w:cs="仿宋_GB2312"/>
                <w:color w:val="000000"/>
                <w:kern w:val="0"/>
                <w:sz w:val="18"/>
                <w:szCs w:val="18"/>
              </w:rPr>
              <w:t>户以上，</w:t>
            </w:r>
            <w:r>
              <w:rPr>
                <w:rFonts w:hint="eastAsia" w:ascii="仿宋_GB2312" w:hAnsi="仿宋_GB2312" w:eastAsia="仿宋_GB2312" w:cs="仿宋_GB2312"/>
                <w:color w:val="000000"/>
                <w:kern w:val="0"/>
                <w:sz w:val="18"/>
                <w:szCs w:val="18"/>
                <w:lang w:eastAsia="zh-CN"/>
              </w:rPr>
              <w:t>实现企业增收、养殖业增产</w:t>
            </w:r>
            <w:r>
              <w:rPr>
                <w:rFonts w:hint="eastAsia" w:ascii="仿宋_GB2312" w:hAnsi="仿宋_GB2312" w:eastAsia="仿宋_GB2312" w:cs="仿宋_GB2312"/>
                <w:color w:val="000000"/>
                <w:kern w:val="0"/>
                <w:sz w:val="18"/>
                <w:szCs w:val="18"/>
                <w:lang w:val="en-US" w:eastAsia="zh-CN"/>
              </w:rPr>
              <w:t>5%以上。</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ascii="仿宋_GB2312" w:hAnsi="仿宋_GB2312" w:eastAsia="仿宋_GB2312" w:cs="仿宋_GB2312"/>
                <w:color w:val="000000"/>
                <w:kern w:val="0"/>
                <w:sz w:val="18"/>
                <w:szCs w:val="18"/>
                <w:lang w:eastAsia="zh-CN"/>
              </w:rPr>
              <w:t>已完成扶持救助农业组织、企业务</w:t>
            </w:r>
            <w:r>
              <w:rPr>
                <w:rFonts w:hint="eastAsia" w:ascii="仿宋_GB2312" w:hAnsi="仿宋_GB2312" w:eastAsia="仿宋_GB2312" w:cs="仿宋_GB2312"/>
                <w:color w:val="000000"/>
                <w:kern w:val="0"/>
                <w:sz w:val="18"/>
                <w:szCs w:val="18"/>
              </w:rPr>
              <w:t>工就业5人以上，补助</w:t>
            </w:r>
            <w:r>
              <w:rPr>
                <w:rFonts w:hint="eastAsia" w:ascii="仿宋_GB2312" w:hAnsi="仿宋_GB2312" w:eastAsia="仿宋_GB2312" w:cs="仿宋_GB2312"/>
                <w:color w:val="000000"/>
                <w:kern w:val="0"/>
                <w:sz w:val="18"/>
                <w:szCs w:val="18"/>
                <w:lang w:eastAsia="zh-CN"/>
              </w:rPr>
              <w:t>企</w:t>
            </w:r>
            <w:r>
              <w:rPr>
                <w:rFonts w:hint="eastAsia" w:ascii="仿宋_GB2312" w:hAnsi="仿宋_GB2312" w:eastAsia="仿宋_GB2312" w:cs="仿宋_GB2312"/>
                <w:color w:val="000000"/>
                <w:kern w:val="0"/>
                <w:sz w:val="18"/>
                <w:szCs w:val="18"/>
              </w:rPr>
              <w:t>户</w:t>
            </w:r>
            <w:r>
              <w:rPr>
                <w:rFonts w:hint="eastAsia" w:ascii="仿宋_GB2312" w:hAnsi="仿宋_GB2312" w:eastAsia="仿宋_GB2312" w:cs="仿宋_GB2312"/>
                <w:color w:val="000000"/>
                <w:kern w:val="0"/>
                <w:sz w:val="18"/>
                <w:szCs w:val="18"/>
                <w:lang w:val="en-US" w:eastAsia="zh-CN"/>
              </w:rPr>
              <w:t>1</w:t>
            </w:r>
            <w:r>
              <w:rPr>
                <w:rFonts w:hint="eastAsia" w:ascii="仿宋_GB2312" w:hAnsi="仿宋_GB2312" w:eastAsia="仿宋_GB2312" w:cs="仿宋_GB2312"/>
                <w:color w:val="000000"/>
                <w:kern w:val="0"/>
                <w:sz w:val="18"/>
                <w:szCs w:val="18"/>
              </w:rPr>
              <w:t>0</w:t>
            </w:r>
            <w:r>
              <w:rPr>
                <w:rFonts w:hint="eastAsia" w:ascii="仿宋_GB2312" w:hAnsi="仿宋_GB2312" w:eastAsia="仿宋_GB2312" w:cs="仿宋_GB2312"/>
                <w:color w:val="000000"/>
                <w:kern w:val="0"/>
                <w:sz w:val="18"/>
                <w:szCs w:val="18"/>
                <w:lang w:eastAsia="zh-CN"/>
              </w:rPr>
              <w:t>、家</w:t>
            </w:r>
            <w:r>
              <w:rPr>
                <w:rFonts w:hint="eastAsia" w:ascii="仿宋_GB2312" w:hAnsi="仿宋_GB2312" w:eastAsia="仿宋_GB2312" w:cs="仿宋_GB2312"/>
                <w:color w:val="000000"/>
                <w:kern w:val="0"/>
                <w:sz w:val="18"/>
                <w:szCs w:val="18"/>
              </w:rPr>
              <w:t>户以上，</w:t>
            </w:r>
            <w:r>
              <w:rPr>
                <w:rFonts w:hint="eastAsia" w:ascii="仿宋_GB2312" w:hAnsi="仿宋_GB2312" w:eastAsia="仿宋_GB2312" w:cs="仿宋_GB2312"/>
                <w:color w:val="000000"/>
                <w:kern w:val="0"/>
                <w:sz w:val="18"/>
                <w:szCs w:val="18"/>
                <w:lang w:eastAsia="zh-CN"/>
              </w:rPr>
              <w:t>实现企业增收、养殖业增产</w:t>
            </w:r>
            <w:r>
              <w:rPr>
                <w:rFonts w:hint="eastAsia" w:ascii="仿宋_GB2312" w:hAnsi="仿宋_GB2312" w:eastAsia="仿宋_GB2312" w:cs="仿宋_GB2312"/>
                <w:color w:val="000000"/>
                <w:kern w:val="0"/>
                <w:sz w:val="18"/>
                <w:szCs w:val="18"/>
                <w:lang w:val="en-US" w:eastAsia="zh-CN"/>
              </w:rPr>
              <w:t>5%以上。</w:t>
            </w:r>
          </w:p>
        </w:tc>
      </w:tr>
      <w:tr>
        <w:tblPrEx>
          <w:tblLayout w:type="fixed"/>
          <w:tblCellMar>
            <w:top w:w="0" w:type="dxa"/>
            <w:left w:w="108" w:type="dxa"/>
            <w:bottom w:w="0" w:type="dxa"/>
            <w:right w:w="108" w:type="dxa"/>
          </w:tblCellMar>
        </w:tblPrEx>
        <w:trPr>
          <w:trHeight w:val="868" w:hRule="atLeast"/>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Layout w:type="fixed"/>
          <w:tblCellMar>
            <w:top w:w="0" w:type="dxa"/>
            <w:left w:w="108" w:type="dxa"/>
            <w:bottom w:w="0" w:type="dxa"/>
            <w:right w:w="108" w:type="dxa"/>
          </w:tblCellMar>
        </w:tblPrEx>
        <w:trPr>
          <w:trHeight w:val="340" w:hRule="atLeast"/>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扶持救助农业组织、企业</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10家以上</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20家</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Layout w:type="fixed"/>
          <w:tblCellMar>
            <w:top w:w="0" w:type="dxa"/>
            <w:left w:w="108" w:type="dxa"/>
            <w:bottom w:w="0" w:type="dxa"/>
            <w:right w:w="108" w:type="dxa"/>
          </w:tblCellMar>
        </w:tblPrEx>
        <w:trPr>
          <w:trHeight w:val="683" w:hRule="atLeast"/>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工程质量合格率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Layout w:type="fixed"/>
          <w:tblCellMar>
            <w:top w:w="0" w:type="dxa"/>
            <w:left w:w="108" w:type="dxa"/>
            <w:bottom w:w="0" w:type="dxa"/>
            <w:right w:w="108" w:type="dxa"/>
          </w:tblCellMar>
        </w:tblPrEx>
        <w:trPr>
          <w:trHeight w:val="340" w:hRule="atLeast"/>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项目工程完成及时率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9</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p>
        </w:tc>
      </w:tr>
      <w:tr>
        <w:tblPrEx>
          <w:tblLayout w:type="fixed"/>
          <w:tblCellMar>
            <w:top w:w="0" w:type="dxa"/>
            <w:left w:w="108" w:type="dxa"/>
            <w:bottom w:w="0" w:type="dxa"/>
            <w:right w:w="108" w:type="dxa"/>
          </w:tblCellMar>
        </w:tblPrEx>
        <w:trPr>
          <w:trHeight w:val="340" w:hRule="atLeast"/>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eastAsia="zh-CN"/>
              </w:rPr>
              <w:t>节约成本率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rPr>
              <w:t>≥</w:t>
            </w:r>
            <w:r>
              <w:rPr>
                <w:rFonts w:hint="eastAsia" w:eastAsia="仿宋_GB2312"/>
                <w:color w:val="000000"/>
                <w:kern w:val="0"/>
                <w:szCs w:val="21"/>
                <w:lang w:val="en-US" w:eastAsia="zh-CN"/>
              </w:rPr>
              <w:t>20%以上</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rPr>
              <w:t>≥</w:t>
            </w:r>
            <w:r>
              <w:rPr>
                <w:rFonts w:hint="eastAsia" w:eastAsia="仿宋_GB2312"/>
                <w:color w:val="000000"/>
                <w:kern w:val="0"/>
                <w:szCs w:val="21"/>
                <w:lang w:val="en-US" w:eastAsia="zh-CN"/>
              </w:rPr>
              <w:t>20%以上</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8</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p>
        </w:tc>
      </w:tr>
      <w:tr>
        <w:tblPrEx>
          <w:tblLayout w:type="fixed"/>
          <w:tblCellMar>
            <w:top w:w="0" w:type="dxa"/>
            <w:left w:w="108" w:type="dxa"/>
            <w:bottom w:w="0" w:type="dxa"/>
            <w:right w:w="108" w:type="dxa"/>
          </w:tblCellMar>
        </w:tblPrEx>
        <w:trPr>
          <w:trHeight w:val="340" w:hRule="atLeast"/>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企业增收、养殖业增产</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w:t>
            </w:r>
            <w:r>
              <w:rPr>
                <w:rFonts w:hint="eastAsia" w:eastAsia="仿宋_GB2312"/>
                <w:color w:val="000000"/>
                <w:kern w:val="0"/>
                <w:szCs w:val="21"/>
                <w:lang w:val="en-US" w:eastAsia="zh-CN"/>
              </w:rPr>
              <w:t>5%以上</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rPr>
              <w:t>≥</w:t>
            </w:r>
            <w:r>
              <w:rPr>
                <w:rFonts w:hint="eastAsia" w:eastAsia="仿宋_GB2312"/>
                <w:color w:val="000000"/>
                <w:kern w:val="0"/>
                <w:szCs w:val="21"/>
                <w:lang w:val="en-US" w:eastAsia="zh-CN"/>
              </w:rPr>
              <w:t>5%</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8</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p>
        </w:tc>
      </w:tr>
      <w:tr>
        <w:tblPrEx>
          <w:tblLayout w:type="fixed"/>
          <w:tblCellMar>
            <w:top w:w="0" w:type="dxa"/>
            <w:left w:w="108" w:type="dxa"/>
            <w:bottom w:w="0" w:type="dxa"/>
            <w:right w:w="108" w:type="dxa"/>
          </w:tblCellMar>
        </w:tblPrEx>
        <w:trPr>
          <w:trHeight w:val="340" w:hRule="atLeast"/>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区域群众增收、带动人员就业</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w:t>
            </w:r>
            <w:r>
              <w:rPr>
                <w:rFonts w:hint="eastAsia" w:eastAsia="仿宋_GB2312"/>
                <w:color w:val="000000"/>
                <w:kern w:val="0"/>
                <w:szCs w:val="21"/>
                <w:lang w:val="en-US" w:eastAsia="zh-CN"/>
              </w:rPr>
              <w:t>5%、100人以上</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w:t>
            </w:r>
            <w:r>
              <w:rPr>
                <w:rFonts w:hint="eastAsia" w:eastAsia="仿宋_GB2312"/>
                <w:color w:val="000000"/>
                <w:kern w:val="0"/>
                <w:szCs w:val="21"/>
                <w:lang w:val="en-US" w:eastAsia="zh-CN"/>
              </w:rPr>
              <w:t>5%、100人以上</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8</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6</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p>
        </w:tc>
      </w:tr>
      <w:tr>
        <w:tblPrEx>
          <w:tblLayout w:type="fixed"/>
          <w:tblCellMar>
            <w:top w:w="0" w:type="dxa"/>
            <w:left w:w="108" w:type="dxa"/>
            <w:bottom w:w="0" w:type="dxa"/>
            <w:right w:w="108" w:type="dxa"/>
          </w:tblCellMar>
        </w:tblPrEx>
        <w:trPr>
          <w:trHeight w:val="340" w:hRule="atLeast"/>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ascii="仿宋_GB2312" w:hAnsi="宋体" w:eastAsia="仿宋_GB2312" w:cs="宋体"/>
                <w:color w:val="000000"/>
                <w:kern w:val="0"/>
                <w:szCs w:val="21"/>
                <w:lang w:eastAsia="zh-CN"/>
              </w:rPr>
              <w:t>资源保护利用、节能降耗</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rPr>
              <w:t>≥</w:t>
            </w:r>
            <w:r>
              <w:rPr>
                <w:rFonts w:hint="eastAsia" w:eastAsia="仿宋_GB2312"/>
                <w:color w:val="000000"/>
                <w:kern w:val="0"/>
                <w:szCs w:val="21"/>
                <w:lang w:val="en-US" w:eastAsia="zh-CN"/>
              </w:rPr>
              <w:t>5%以上</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w:t>
            </w:r>
            <w:r>
              <w:rPr>
                <w:rFonts w:hint="eastAsia" w:eastAsia="仿宋_GB2312"/>
                <w:color w:val="000000"/>
                <w:kern w:val="0"/>
                <w:szCs w:val="21"/>
                <w:lang w:val="en-US" w:eastAsia="zh-CN"/>
              </w:rPr>
              <w:t>5%以上</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7</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6</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Layout w:type="fixed"/>
          <w:tblCellMar>
            <w:top w:w="0" w:type="dxa"/>
            <w:left w:w="108" w:type="dxa"/>
            <w:bottom w:w="0" w:type="dxa"/>
            <w:right w:w="108" w:type="dxa"/>
          </w:tblCellMar>
        </w:tblPrEx>
        <w:trPr>
          <w:trHeight w:val="340" w:hRule="atLeast"/>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受益时间</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5年</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w:t>
            </w:r>
            <w:r>
              <w:rPr>
                <w:rFonts w:hint="eastAsia" w:eastAsia="仿宋_GB2312"/>
                <w:color w:val="000000"/>
                <w:kern w:val="0"/>
                <w:szCs w:val="21"/>
                <w:lang w:val="en-US" w:eastAsia="zh-CN"/>
              </w:rPr>
              <w:t>5</w:t>
            </w:r>
            <w:r>
              <w:rPr>
                <w:rFonts w:hint="eastAsia" w:eastAsia="仿宋_GB2312"/>
                <w:color w:val="000000"/>
                <w:kern w:val="0"/>
                <w:szCs w:val="21"/>
              </w:rPr>
              <w:t>年</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4</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p>
        </w:tc>
      </w:tr>
      <w:tr>
        <w:tblPrEx>
          <w:tblLayout w:type="fixed"/>
          <w:tblCellMar>
            <w:top w:w="0" w:type="dxa"/>
            <w:left w:w="108" w:type="dxa"/>
            <w:bottom w:w="0" w:type="dxa"/>
            <w:right w:w="108" w:type="dxa"/>
          </w:tblCellMar>
        </w:tblPrEx>
        <w:trPr>
          <w:trHeight w:val="340" w:hRule="atLeast"/>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r>
              <w:rPr>
                <w:rFonts w:hint="eastAsia" w:eastAsia="仿宋_GB2312"/>
                <w:color w:val="000000"/>
                <w:kern w:val="0"/>
                <w:szCs w:val="21"/>
              </w:rPr>
              <w:t>收益</w:t>
            </w:r>
            <w:r>
              <w:rPr>
                <w:rFonts w:hint="eastAsia" w:eastAsia="仿宋_GB2312"/>
                <w:color w:val="000000"/>
                <w:kern w:val="0"/>
                <w:szCs w:val="21"/>
                <w:lang w:eastAsia="zh-CN"/>
              </w:rPr>
              <w:t>企业、</w:t>
            </w:r>
            <w:r>
              <w:rPr>
                <w:rFonts w:hint="eastAsia" w:eastAsia="仿宋_GB2312"/>
                <w:color w:val="000000"/>
                <w:kern w:val="0"/>
                <w:szCs w:val="21"/>
              </w:rPr>
              <w:t>农户满意度100%</w:t>
            </w:r>
            <w:r>
              <w:rPr>
                <w:rFonts w:eastAsia="仿宋_GB2312"/>
                <w:color w:val="000000"/>
                <w:kern w:val="0"/>
                <w:szCs w:val="21"/>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w:t>
            </w:r>
            <w:r>
              <w:rPr>
                <w:rFonts w:hint="eastAsia" w:eastAsia="仿宋_GB2312"/>
                <w:color w:val="000000"/>
                <w:kern w:val="0"/>
                <w:szCs w:val="21"/>
                <w:lang w:val="en-US" w:eastAsia="zh-CN"/>
              </w:rPr>
              <w:t>95</w:t>
            </w:r>
            <w:r>
              <w:rPr>
                <w:rFonts w:hint="eastAsia" w:eastAsia="仿宋_GB2312"/>
                <w:color w:val="000000"/>
                <w:kern w:val="0"/>
                <w:szCs w:val="21"/>
              </w:rPr>
              <w:t>%</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9</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Layout w:type="fixed"/>
          <w:tblCellMar>
            <w:top w:w="0" w:type="dxa"/>
            <w:left w:w="108" w:type="dxa"/>
            <w:bottom w:w="0" w:type="dxa"/>
            <w:right w:w="108" w:type="dxa"/>
          </w:tblCellMar>
        </w:tblPrEx>
        <w:trPr>
          <w:trHeight w:val="340" w:hRule="atLeast"/>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80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         填报日期：           联系电话：       单位负责人签字：</w:t>
      </w: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line="600" w:lineRule="exact"/>
        <w:rPr>
          <w:rFonts w:hint="eastAsia" w:eastAsia="黑体"/>
          <w:sz w:val="32"/>
          <w:szCs w:val="32"/>
          <w:lang w:val="en-US" w:eastAsia="zh-CN"/>
        </w:rPr>
      </w:pPr>
      <w:r>
        <w:rPr>
          <w:rFonts w:eastAsia="黑体"/>
          <w:sz w:val="32"/>
          <w:szCs w:val="32"/>
        </w:rPr>
        <w:t>附件</w:t>
      </w:r>
      <w:r>
        <w:rPr>
          <w:rFonts w:hint="eastAsia" w:eastAsia="黑体"/>
          <w:sz w:val="32"/>
          <w:szCs w:val="32"/>
        </w:rPr>
        <w:t>4-</w:t>
      </w:r>
      <w:r>
        <w:rPr>
          <w:rFonts w:hint="eastAsia" w:eastAsia="黑体"/>
          <w:sz w:val="32"/>
          <w:szCs w:val="32"/>
          <w:lang w:val="en-US" w:eastAsia="zh-CN"/>
        </w:rPr>
        <w:t>2</w:t>
      </w:r>
    </w:p>
    <w:tbl>
      <w:tblPr>
        <w:tblStyle w:val="6"/>
        <w:tblpPr w:leftFromText="180" w:rightFromText="180" w:vertAnchor="text" w:horzAnchor="page" w:tblpX="1058" w:tblpY="386"/>
        <w:tblOverlap w:val="never"/>
        <w:tblW w:w="9999" w:type="dxa"/>
        <w:tblInd w:w="0" w:type="dxa"/>
        <w:tblLayout w:type="fixed"/>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Layout w:type="fixed"/>
          <w:tblCellMar>
            <w:top w:w="0" w:type="dxa"/>
            <w:left w:w="108" w:type="dxa"/>
            <w:bottom w:w="0" w:type="dxa"/>
            <w:right w:w="108" w:type="dxa"/>
          </w:tblCellMar>
        </w:tblPrEx>
        <w:trPr>
          <w:trHeight w:val="690" w:hRule="atLeast"/>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themeColor="text1"/>
                <w:kern w:val="0"/>
                <w:sz w:val="36"/>
                <w:szCs w:val="36"/>
                <w14:textFill>
                  <w14:solidFill>
                    <w14:schemeClr w14:val="tx1"/>
                  </w14:solidFill>
                </w14:textFill>
              </w:rPr>
              <w:t>预算支出绩效自评表</w:t>
            </w:r>
          </w:p>
        </w:tc>
      </w:tr>
      <w:tr>
        <w:tblPrEx>
          <w:tblLayout w:type="fixed"/>
          <w:tblCellMar>
            <w:top w:w="0" w:type="dxa"/>
            <w:left w:w="108" w:type="dxa"/>
            <w:bottom w:w="0" w:type="dxa"/>
            <w:right w:w="108" w:type="dxa"/>
          </w:tblCellMar>
        </w:tblPrEx>
        <w:trPr>
          <w:trHeight w:val="90" w:hRule="atLeast"/>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FF"/>
                <w:kern w:val="0"/>
                <w:sz w:val="36"/>
                <w:szCs w:val="36"/>
              </w:rPr>
            </w:pPr>
          </w:p>
        </w:tc>
      </w:tr>
      <w:tr>
        <w:tblPrEx>
          <w:tblLayout w:type="fixed"/>
          <w:tblCellMar>
            <w:top w:w="0" w:type="dxa"/>
            <w:left w:w="108" w:type="dxa"/>
            <w:bottom w:w="0" w:type="dxa"/>
            <w:right w:w="108" w:type="dxa"/>
          </w:tblCellMar>
        </w:tblPrEx>
        <w:trPr>
          <w:trHeight w:val="270" w:hRule="atLeast"/>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rFonts w:hint="eastAsia"/>
                <w:color w:val="000000"/>
                <w:kern w:val="0"/>
                <w:sz w:val="22"/>
                <w:lang w:val="en-US" w:eastAsia="zh-CN"/>
              </w:rPr>
              <w:t>(2019</w:t>
            </w:r>
            <w:r>
              <w:rPr>
                <w:color w:val="000000"/>
                <w:kern w:val="0"/>
                <w:sz w:val="22"/>
              </w:rPr>
              <w:t>年度）</w:t>
            </w:r>
          </w:p>
        </w:tc>
      </w:tr>
      <w:tr>
        <w:tblPrEx>
          <w:tblLayout w:type="fixed"/>
          <w:tblCellMar>
            <w:top w:w="0" w:type="dxa"/>
            <w:left w:w="108" w:type="dxa"/>
            <w:bottom w:w="0" w:type="dxa"/>
            <w:right w:w="108" w:type="dxa"/>
          </w:tblCellMar>
        </w:tblPrEx>
        <w:trPr>
          <w:trHeight w:val="585" w:hRule="atLeast"/>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ascii="Times New Roman" w:hAnsi="Times New Roman" w:eastAsia="仿宋_GB2312" w:cs="Times New Roman"/>
                <w:sz w:val="32"/>
                <w:szCs w:val="32"/>
                <w:lang w:val="en-US" w:eastAsia="zh-CN"/>
              </w:rPr>
              <w:t>其他农业项目支出</w:t>
            </w:r>
          </w:p>
        </w:tc>
      </w:tr>
      <w:tr>
        <w:tblPrEx>
          <w:tblLayout w:type="fixed"/>
          <w:tblCellMar>
            <w:top w:w="0" w:type="dxa"/>
            <w:left w:w="108" w:type="dxa"/>
            <w:bottom w:w="0" w:type="dxa"/>
            <w:right w:w="108" w:type="dxa"/>
          </w:tblCellMar>
        </w:tblPrEx>
        <w:trPr>
          <w:trHeight w:val="340" w:hRule="atLeast"/>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鹤城区农业农村局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b/>
                <w:bCs/>
                <w:color w:val="000000"/>
                <w:kern w:val="0"/>
                <w:szCs w:val="21"/>
              </w:rPr>
            </w:pPr>
            <w:r>
              <w:rPr>
                <w:rFonts w:hint="eastAsia" w:eastAsia="仿宋_GB2312"/>
                <w:color w:val="000000"/>
                <w:kern w:val="0"/>
                <w:szCs w:val="21"/>
                <w:lang w:eastAsia="zh-CN"/>
              </w:rPr>
              <w:t>鹤城区农业农村局</w:t>
            </w:r>
          </w:p>
        </w:tc>
      </w:tr>
      <w:tr>
        <w:tblPrEx>
          <w:tblLayout w:type="fixed"/>
          <w:tblCellMar>
            <w:top w:w="0" w:type="dxa"/>
            <w:left w:w="108" w:type="dxa"/>
            <w:bottom w:w="0" w:type="dxa"/>
            <w:right w:w="108" w:type="dxa"/>
          </w:tblCellMar>
        </w:tblPrEx>
        <w:trPr>
          <w:trHeight w:val="340" w:hRule="atLeast"/>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Layout w:type="fixed"/>
          <w:tblCellMar>
            <w:top w:w="0" w:type="dxa"/>
            <w:left w:w="108" w:type="dxa"/>
            <w:bottom w:w="0" w:type="dxa"/>
            <w:right w:w="108" w:type="dxa"/>
          </w:tblCellMar>
        </w:tblPrEx>
        <w:trPr>
          <w:trHeight w:val="340" w:hRule="atLeast"/>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s="Times New Roman"/>
                <w:sz w:val="21"/>
                <w:szCs w:val="21"/>
                <w:lang w:val="en-US" w:eastAsia="zh-CN"/>
              </w:rPr>
              <w:t>117.4</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117.4</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117.4</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Layout w:type="fixed"/>
          <w:tblCellMar>
            <w:top w:w="0" w:type="dxa"/>
            <w:left w:w="108" w:type="dxa"/>
            <w:bottom w:w="0" w:type="dxa"/>
            <w:right w:w="108" w:type="dxa"/>
          </w:tblCellMar>
        </w:tblPrEx>
        <w:trPr>
          <w:trHeight w:val="340" w:hRule="atLeast"/>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117.4</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117.4</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117.4</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Layout w:type="fixed"/>
          <w:tblCellMar>
            <w:top w:w="0" w:type="dxa"/>
            <w:left w:w="108" w:type="dxa"/>
            <w:bottom w:w="0" w:type="dxa"/>
            <w:right w:w="108" w:type="dxa"/>
          </w:tblCellMar>
        </w:tblPrEx>
        <w:trPr>
          <w:trHeight w:val="340" w:hRule="atLeast"/>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Layout w:type="fixed"/>
          <w:tblCellMar>
            <w:top w:w="0" w:type="dxa"/>
            <w:left w:w="108" w:type="dxa"/>
            <w:bottom w:w="0" w:type="dxa"/>
            <w:right w:w="108" w:type="dxa"/>
          </w:tblCellMar>
        </w:tblPrEx>
        <w:trPr>
          <w:trHeight w:val="340" w:hRule="atLeast"/>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Layout w:type="fixed"/>
          <w:tblCellMar>
            <w:top w:w="0" w:type="dxa"/>
            <w:left w:w="108" w:type="dxa"/>
            <w:bottom w:w="0" w:type="dxa"/>
            <w:right w:w="108" w:type="dxa"/>
          </w:tblCellMar>
        </w:tblPrEx>
        <w:trPr>
          <w:trHeight w:val="340" w:hRule="atLeast"/>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Layout w:type="fixed"/>
          <w:tblCellMar>
            <w:top w:w="0" w:type="dxa"/>
            <w:left w:w="108" w:type="dxa"/>
            <w:bottom w:w="0" w:type="dxa"/>
            <w:right w:w="108" w:type="dxa"/>
          </w:tblCellMar>
        </w:tblPrEx>
        <w:trPr>
          <w:trHeight w:val="715"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default" w:eastAsia="仿宋_GB2312"/>
                <w:color w:val="000000"/>
                <w:kern w:val="0"/>
                <w:szCs w:val="21"/>
                <w:lang w:val="en-US"/>
              </w:rPr>
            </w:pPr>
            <w:r>
              <w:rPr>
                <w:rFonts w:hint="eastAsia" w:ascii="Times New Roman" w:hAnsi="Times New Roman" w:eastAsia="仿宋_GB2312" w:cs="Times New Roman"/>
                <w:color w:val="000000" w:themeColor="text1"/>
                <w:sz w:val="21"/>
                <w:szCs w:val="21"/>
                <w:lang w:val="en-US" w:eastAsia="zh-CN"/>
                <w14:textFill>
                  <w14:solidFill>
                    <w14:schemeClr w14:val="tx1"/>
                  </w14:solidFill>
                </w14:textFill>
              </w:rPr>
              <w:t>农产品质量安全建设</w:t>
            </w:r>
            <w:r>
              <w:rPr>
                <w:rFonts w:hint="eastAsia" w:ascii="Times New Roman" w:hAnsi="Times New Roman" w:eastAsia="仿宋_GB2312" w:cs="Times New Roman"/>
                <w:color w:val="000000" w:themeColor="text1"/>
                <w:sz w:val="21"/>
                <w:szCs w:val="21"/>
                <w14:textFill>
                  <w14:solidFill>
                    <w14:schemeClr w14:val="tx1"/>
                  </w14:solidFill>
                </w14:textFill>
              </w:rPr>
              <w:t>项目制订标准体系、监督管理体系建设、产品认证、品牌建设、科技培训</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ascii="Times New Roman" w:hAnsi="Times New Roman" w:eastAsia="仿宋_GB2312" w:cs="Times New Roman"/>
                <w:color w:val="000000" w:themeColor="text1"/>
                <w:sz w:val="21"/>
                <w:szCs w:val="21"/>
                <w:lang w:val="en-US" w:eastAsia="zh-CN"/>
                <w14:textFill>
                  <w14:solidFill>
                    <w14:schemeClr w14:val="tx1"/>
                  </w14:solidFill>
                </w14:textFill>
              </w:rPr>
              <w:t>科技转化与推广服务完成</w:t>
            </w:r>
            <w:r>
              <w:rPr>
                <w:rFonts w:hint="eastAsia" w:ascii="Times New Roman" w:hAnsi="Times New Roman" w:eastAsia="仿宋_GB2312" w:cs="Times New Roman"/>
                <w:color w:val="000000" w:themeColor="text1"/>
                <w:sz w:val="21"/>
                <w:szCs w:val="21"/>
                <w14:textFill>
                  <w14:solidFill>
                    <w14:schemeClr w14:val="tx1"/>
                  </w14:solidFill>
                </w14:textFill>
              </w:rPr>
              <w:t>推广再生稻10</w:t>
            </w:r>
            <w:r>
              <w:rPr>
                <w:rFonts w:hint="eastAsia" w:ascii="Times New Roman" w:hAnsi="Times New Roman" w:eastAsia="仿宋_GB2312" w:cs="Times New Roman"/>
                <w:color w:val="000000" w:themeColor="text1"/>
                <w:sz w:val="21"/>
                <w:szCs w:val="21"/>
                <w:lang w:val="en-US" w:eastAsia="zh-CN"/>
                <w14:textFill>
                  <w14:solidFill>
                    <w14:schemeClr w14:val="tx1"/>
                  </w14:solidFill>
                </w14:textFill>
              </w:rPr>
              <w:t>0</w:t>
            </w:r>
            <w:r>
              <w:rPr>
                <w:rFonts w:hint="eastAsia" w:ascii="Times New Roman" w:hAnsi="Times New Roman" w:eastAsia="仿宋_GB2312" w:cs="Times New Roman"/>
                <w:color w:val="000000" w:themeColor="text1"/>
                <w:sz w:val="21"/>
                <w:szCs w:val="21"/>
                <w14:textFill>
                  <w14:solidFill>
                    <w14:schemeClr w14:val="tx1"/>
                  </w14:solidFill>
                </w14:textFill>
              </w:rPr>
              <w:t>0亩，其中核心示范区</w:t>
            </w:r>
            <w:r>
              <w:rPr>
                <w:rFonts w:hint="eastAsia" w:ascii="Times New Roman" w:hAnsi="Times New Roman" w:eastAsia="仿宋_GB2312" w:cs="Times New Roman"/>
                <w:color w:val="000000" w:themeColor="text1"/>
                <w:sz w:val="21"/>
                <w:szCs w:val="21"/>
                <w:lang w:val="en-US" w:eastAsia="zh-CN"/>
                <w14:textFill>
                  <w14:solidFill>
                    <w14:schemeClr w14:val="tx1"/>
                  </w14:solidFill>
                </w14:textFill>
              </w:rPr>
              <w:t>1</w:t>
            </w:r>
            <w:r>
              <w:rPr>
                <w:rFonts w:hint="eastAsia" w:ascii="Times New Roman" w:hAnsi="Times New Roman" w:eastAsia="仿宋_GB2312" w:cs="Times New Roman"/>
                <w:color w:val="000000" w:themeColor="text1"/>
                <w:sz w:val="21"/>
                <w:szCs w:val="21"/>
                <w14:textFill>
                  <w14:solidFill>
                    <w14:schemeClr w14:val="tx1"/>
                  </w14:solidFill>
                </w14:textFill>
              </w:rPr>
              <w:t>个，</w:t>
            </w:r>
            <w:r>
              <w:rPr>
                <w:rFonts w:hint="eastAsia" w:ascii="Times New Roman" w:hAnsi="Times New Roman" w:eastAsia="仿宋_GB2312" w:cs="Times New Roman"/>
                <w:color w:val="000000" w:themeColor="text1"/>
                <w:sz w:val="21"/>
                <w:szCs w:val="21"/>
                <w:lang w:eastAsia="zh-CN"/>
                <w14:textFill>
                  <w14:solidFill>
                    <w14:schemeClr w14:val="tx1"/>
                  </w14:solidFill>
                </w14:textFill>
              </w:rPr>
              <w:t>面积为</w:t>
            </w:r>
            <w:r>
              <w:rPr>
                <w:rFonts w:hint="eastAsia" w:ascii="Times New Roman" w:hAnsi="Times New Roman" w:eastAsia="仿宋_GB2312" w:cs="Times New Roman"/>
                <w:color w:val="000000" w:themeColor="text1"/>
                <w:sz w:val="21"/>
                <w:szCs w:val="21"/>
                <w:lang w:val="en-US" w:eastAsia="zh-CN"/>
                <w14:textFill>
                  <w14:solidFill>
                    <w14:schemeClr w14:val="tx1"/>
                  </w14:solidFill>
                </w14:textFill>
              </w:rPr>
              <w:t>50亩，</w:t>
            </w:r>
            <w:r>
              <w:rPr>
                <w:rFonts w:hint="eastAsia" w:ascii="Times New Roman" w:hAnsi="Times New Roman" w:eastAsia="仿宋_GB2312" w:cs="Times New Roman"/>
                <w:color w:val="000000" w:themeColor="text1"/>
                <w:sz w:val="21"/>
                <w:szCs w:val="21"/>
                <w14:textFill>
                  <w14:solidFill>
                    <w14:schemeClr w14:val="tx1"/>
                  </w14:solidFill>
                </w14:textFill>
              </w:rPr>
              <w:t>品种有甬优4149。经测产验收、再生稻头季平均产量6</w:t>
            </w:r>
            <w:r>
              <w:rPr>
                <w:rFonts w:hint="eastAsia" w:ascii="Times New Roman" w:hAnsi="Times New Roman" w:eastAsia="仿宋_GB2312" w:cs="Times New Roman"/>
                <w:color w:val="000000" w:themeColor="text1"/>
                <w:sz w:val="21"/>
                <w:szCs w:val="21"/>
                <w:lang w:val="en-US" w:eastAsia="zh-CN"/>
                <w14:textFill>
                  <w14:solidFill>
                    <w14:schemeClr w14:val="tx1"/>
                  </w14:solidFill>
                </w14:textFill>
              </w:rPr>
              <w:t>4</w:t>
            </w:r>
            <w:r>
              <w:rPr>
                <w:rFonts w:hint="eastAsia" w:ascii="Times New Roman" w:hAnsi="Times New Roman" w:eastAsia="仿宋_GB2312" w:cs="Times New Roman"/>
                <w:color w:val="000000" w:themeColor="text1"/>
                <w:sz w:val="21"/>
                <w:szCs w:val="21"/>
                <w14:textFill>
                  <w14:solidFill>
                    <w14:schemeClr w14:val="tx1"/>
                  </w14:solidFill>
                </w14:textFill>
              </w:rPr>
              <w:t>0公斤，再生季平均产量1</w:t>
            </w:r>
            <w:r>
              <w:rPr>
                <w:rFonts w:hint="eastAsia" w:ascii="Times New Roman" w:hAnsi="Times New Roman" w:eastAsia="仿宋_GB2312" w:cs="Times New Roman"/>
                <w:color w:val="000000" w:themeColor="text1"/>
                <w:sz w:val="21"/>
                <w:szCs w:val="21"/>
                <w:lang w:val="en-US" w:eastAsia="zh-CN"/>
                <w14:textFill>
                  <w14:solidFill>
                    <w14:schemeClr w14:val="tx1"/>
                  </w14:solidFill>
                </w14:textFill>
              </w:rPr>
              <w:t>5</w:t>
            </w:r>
            <w:r>
              <w:rPr>
                <w:rFonts w:hint="eastAsia" w:ascii="Times New Roman" w:hAnsi="Times New Roman" w:eastAsia="仿宋_GB2312" w:cs="Times New Roman"/>
                <w:color w:val="000000" w:themeColor="text1"/>
                <w:sz w:val="21"/>
                <w:szCs w:val="21"/>
                <w14:textFill>
                  <w14:solidFill>
                    <w14:schemeClr w14:val="tx1"/>
                  </w14:solidFill>
                </w14:textFill>
              </w:rPr>
              <w:t>0公斤左右，亩增产</w:t>
            </w:r>
            <w:r>
              <w:rPr>
                <w:rFonts w:hint="eastAsia" w:ascii="Times New Roman" w:hAnsi="Times New Roman" w:eastAsia="仿宋_GB2312" w:cs="Times New Roman"/>
                <w:color w:val="000000" w:themeColor="text1"/>
                <w:sz w:val="21"/>
                <w:szCs w:val="21"/>
                <w:lang w:val="en-US" w:eastAsia="zh-CN"/>
                <w14:textFill>
                  <w14:solidFill>
                    <w14:schemeClr w14:val="tx1"/>
                  </w14:solidFill>
                </w14:textFill>
              </w:rPr>
              <w:t>17</w:t>
            </w:r>
            <w:r>
              <w:rPr>
                <w:rFonts w:hint="eastAsia" w:ascii="Times New Roman" w:hAnsi="Times New Roman" w:eastAsia="仿宋_GB2312" w:cs="Times New Roman"/>
                <w:color w:val="000000" w:themeColor="text1"/>
                <w:sz w:val="21"/>
                <w:szCs w:val="21"/>
                <w14:textFill>
                  <w14:solidFill>
                    <w14:schemeClr w14:val="tx1"/>
                  </w14:solidFill>
                </w14:textFill>
              </w:rPr>
              <w:t>0公斤，共增产</w:t>
            </w:r>
            <w:r>
              <w:rPr>
                <w:rFonts w:hint="eastAsia" w:ascii="Times New Roman" w:hAnsi="Times New Roman" w:eastAsia="仿宋_GB2312" w:cs="Times New Roman"/>
                <w:color w:val="000000" w:themeColor="text1"/>
                <w:sz w:val="21"/>
                <w:szCs w:val="21"/>
                <w:lang w:val="en-US" w:eastAsia="zh-CN"/>
                <w14:textFill>
                  <w14:solidFill>
                    <w14:schemeClr w14:val="tx1"/>
                  </w14:solidFill>
                </w14:textFill>
              </w:rPr>
              <w:t>68</w:t>
            </w:r>
            <w:r>
              <w:rPr>
                <w:rFonts w:hint="eastAsia" w:ascii="Times New Roman" w:hAnsi="Times New Roman" w:eastAsia="仿宋_GB2312" w:cs="Times New Roman"/>
                <w:color w:val="000000" w:themeColor="text1"/>
                <w:sz w:val="21"/>
                <w:szCs w:val="21"/>
                <w14:textFill>
                  <w14:solidFill>
                    <w14:schemeClr w14:val="tx1"/>
                  </w14:solidFill>
                </w14:textFill>
              </w:rPr>
              <w:t>万元</w:t>
            </w:r>
          </w:p>
        </w:tc>
      </w:tr>
      <w:tr>
        <w:tblPrEx>
          <w:tblLayout w:type="fixed"/>
          <w:tblCellMar>
            <w:top w:w="0" w:type="dxa"/>
            <w:left w:w="108" w:type="dxa"/>
            <w:bottom w:w="0" w:type="dxa"/>
            <w:right w:w="108" w:type="dxa"/>
          </w:tblCellMar>
        </w:tblPrEx>
        <w:trPr>
          <w:trHeight w:val="868" w:hRule="atLeast"/>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Layout w:type="fixed"/>
          <w:tblCellMar>
            <w:top w:w="0" w:type="dxa"/>
            <w:left w:w="108" w:type="dxa"/>
            <w:bottom w:w="0" w:type="dxa"/>
            <w:right w:w="108" w:type="dxa"/>
          </w:tblCellMar>
        </w:tblPrEx>
        <w:trPr>
          <w:trHeight w:val="340" w:hRule="atLeast"/>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推广再生稻、</w:t>
            </w:r>
            <w:r>
              <w:rPr>
                <w:rFonts w:hint="eastAsia" w:ascii="Times New Roman" w:hAnsi="Times New Roman" w:eastAsia="仿宋_GB2312" w:cs="Times New Roman"/>
                <w:color w:val="000000" w:themeColor="text1"/>
                <w:sz w:val="21"/>
                <w:szCs w:val="21"/>
                <w14:textFill>
                  <w14:solidFill>
                    <w14:schemeClr w14:val="tx1"/>
                  </w14:solidFill>
                </w14:textFill>
              </w:rPr>
              <w:t>甬优</w:t>
            </w:r>
            <w:r>
              <w:rPr>
                <w:rFonts w:hint="eastAsia" w:eastAsia="仿宋_GB2312" w:cs="Times New Roman"/>
                <w:color w:val="000000" w:themeColor="text1"/>
                <w:sz w:val="21"/>
                <w:szCs w:val="21"/>
                <w:lang w:eastAsia="zh-CN"/>
                <w14:textFill>
                  <w14:solidFill>
                    <w14:schemeClr w14:val="tx1"/>
                  </w14:solidFill>
                </w14:textFill>
              </w:rPr>
              <w:t>等新品种推广及示范园建设</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推广再生稻800亩及</w:t>
            </w:r>
            <w:r>
              <w:rPr>
                <w:rFonts w:hint="eastAsia" w:ascii="Times New Roman" w:hAnsi="Times New Roman" w:eastAsia="仿宋_GB2312" w:cs="Times New Roman"/>
                <w:color w:val="000000" w:themeColor="text1"/>
                <w:sz w:val="21"/>
                <w:szCs w:val="21"/>
                <w14:textFill>
                  <w14:solidFill>
                    <w14:schemeClr w14:val="tx1"/>
                  </w14:solidFill>
                </w14:textFill>
              </w:rPr>
              <w:t>甬优</w:t>
            </w:r>
            <w:r>
              <w:rPr>
                <w:rFonts w:hint="eastAsia" w:eastAsia="仿宋_GB2312" w:cs="Times New Roman"/>
                <w:color w:val="000000" w:themeColor="text1"/>
                <w:sz w:val="21"/>
                <w:szCs w:val="21"/>
                <w:lang w:eastAsia="zh-CN"/>
                <w14:textFill>
                  <w14:solidFill>
                    <w14:schemeClr w14:val="tx1"/>
                  </w14:solidFill>
                </w14:textFill>
              </w:rPr>
              <w:t>、等新品种推广</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推广再生稻1000亩及</w:t>
            </w:r>
            <w:r>
              <w:rPr>
                <w:rFonts w:hint="eastAsia" w:ascii="Times New Roman" w:hAnsi="Times New Roman" w:eastAsia="仿宋_GB2312" w:cs="Times New Roman"/>
                <w:color w:val="000000" w:themeColor="text1"/>
                <w:sz w:val="21"/>
                <w:szCs w:val="21"/>
                <w14:textFill>
                  <w14:solidFill>
                    <w14:schemeClr w14:val="tx1"/>
                  </w14:solidFill>
                </w14:textFill>
              </w:rPr>
              <w:t>甬优</w:t>
            </w:r>
            <w:r>
              <w:rPr>
                <w:rFonts w:hint="eastAsia" w:eastAsia="仿宋_GB2312" w:cs="Times New Roman"/>
                <w:color w:val="000000" w:themeColor="text1"/>
                <w:sz w:val="21"/>
                <w:szCs w:val="21"/>
                <w:lang w:eastAsia="zh-CN"/>
                <w14:textFill>
                  <w14:solidFill>
                    <w14:schemeClr w14:val="tx1"/>
                  </w14:solidFill>
                </w14:textFill>
              </w:rPr>
              <w:t>等新品种推广</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Layout w:type="fixed"/>
          <w:tblCellMar>
            <w:top w:w="0" w:type="dxa"/>
            <w:left w:w="108" w:type="dxa"/>
            <w:bottom w:w="0" w:type="dxa"/>
            <w:right w:w="108" w:type="dxa"/>
          </w:tblCellMar>
        </w:tblPrEx>
        <w:trPr>
          <w:trHeight w:val="340" w:hRule="atLeast"/>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工程质量合格率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Layout w:type="fixed"/>
          <w:tblCellMar>
            <w:top w:w="0" w:type="dxa"/>
            <w:left w:w="108" w:type="dxa"/>
            <w:bottom w:w="0" w:type="dxa"/>
            <w:right w:w="108" w:type="dxa"/>
          </w:tblCellMar>
        </w:tblPrEx>
        <w:trPr>
          <w:trHeight w:val="340" w:hRule="atLeast"/>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项目工程完成及时率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p>
        </w:tc>
      </w:tr>
      <w:tr>
        <w:tblPrEx>
          <w:tblLayout w:type="fixed"/>
          <w:tblCellMar>
            <w:top w:w="0" w:type="dxa"/>
            <w:left w:w="108" w:type="dxa"/>
            <w:bottom w:w="0" w:type="dxa"/>
            <w:right w:w="108" w:type="dxa"/>
          </w:tblCellMar>
        </w:tblPrEx>
        <w:trPr>
          <w:trHeight w:val="340" w:hRule="atLeast"/>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eastAsia="zh-CN"/>
              </w:rPr>
              <w:t>节约成本率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rPr>
              <w:t>≥</w:t>
            </w:r>
            <w:r>
              <w:rPr>
                <w:rFonts w:hint="eastAsia" w:eastAsia="仿宋_GB2312"/>
                <w:color w:val="000000"/>
                <w:kern w:val="0"/>
                <w:szCs w:val="21"/>
                <w:lang w:val="en-US" w:eastAsia="zh-CN"/>
              </w:rPr>
              <w:t>20%以上</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rPr>
              <w:t>≥</w:t>
            </w:r>
            <w:r>
              <w:rPr>
                <w:rFonts w:hint="eastAsia" w:eastAsia="仿宋_GB2312"/>
                <w:color w:val="000000"/>
                <w:kern w:val="0"/>
                <w:szCs w:val="21"/>
                <w:lang w:val="en-US" w:eastAsia="zh-CN"/>
              </w:rPr>
              <w:t>20%以上</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9</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p>
        </w:tc>
      </w:tr>
      <w:tr>
        <w:tblPrEx>
          <w:tblLayout w:type="fixed"/>
          <w:tblCellMar>
            <w:top w:w="0" w:type="dxa"/>
            <w:left w:w="108" w:type="dxa"/>
            <w:bottom w:w="0" w:type="dxa"/>
            <w:right w:w="108" w:type="dxa"/>
          </w:tblCellMar>
        </w:tblPrEx>
        <w:trPr>
          <w:trHeight w:val="340" w:hRule="atLeast"/>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稻田亩产增加、粮食增收</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eastAsia="zh-CN"/>
              </w:rPr>
              <w:t>亩增产</w:t>
            </w:r>
            <w:r>
              <w:rPr>
                <w:rFonts w:hint="eastAsia" w:eastAsia="仿宋_GB2312"/>
                <w:color w:val="000000"/>
                <w:kern w:val="0"/>
                <w:szCs w:val="21"/>
                <w:lang w:val="en-US" w:eastAsia="zh-CN"/>
              </w:rPr>
              <w:t>100公斤以上</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rPr>
              <w:t>≥</w:t>
            </w:r>
            <w:r>
              <w:rPr>
                <w:rFonts w:hint="eastAsia" w:eastAsia="仿宋_GB2312"/>
                <w:color w:val="000000"/>
                <w:kern w:val="0"/>
                <w:szCs w:val="21"/>
                <w:lang w:val="en-US" w:eastAsia="zh-CN"/>
              </w:rPr>
              <w:t>100公斤以上</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9</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p>
        </w:tc>
      </w:tr>
      <w:tr>
        <w:tblPrEx>
          <w:tblLayout w:type="fixed"/>
          <w:tblCellMar>
            <w:top w:w="0" w:type="dxa"/>
            <w:left w:w="108" w:type="dxa"/>
            <w:bottom w:w="0" w:type="dxa"/>
            <w:right w:w="108" w:type="dxa"/>
          </w:tblCellMar>
        </w:tblPrEx>
        <w:trPr>
          <w:trHeight w:val="340" w:hRule="atLeast"/>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农户增收</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rPr>
              <w:t>≥</w:t>
            </w:r>
            <w:r>
              <w:rPr>
                <w:rFonts w:hint="eastAsia" w:eastAsia="仿宋_GB2312"/>
                <w:color w:val="000000"/>
                <w:kern w:val="0"/>
                <w:szCs w:val="21"/>
                <w:lang w:val="en-US" w:eastAsia="zh-CN"/>
              </w:rPr>
              <w:t>50万元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w:t>
            </w:r>
            <w:r>
              <w:rPr>
                <w:rFonts w:hint="eastAsia" w:eastAsia="仿宋_GB2312"/>
                <w:color w:val="000000"/>
                <w:kern w:val="0"/>
                <w:szCs w:val="21"/>
                <w:lang w:val="en-US" w:eastAsia="zh-CN"/>
              </w:rPr>
              <w:t>50万元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8</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6</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p>
        </w:tc>
      </w:tr>
      <w:tr>
        <w:tblPrEx>
          <w:tblLayout w:type="fixed"/>
          <w:tblCellMar>
            <w:top w:w="0" w:type="dxa"/>
            <w:left w:w="108" w:type="dxa"/>
            <w:bottom w:w="0" w:type="dxa"/>
            <w:right w:w="108" w:type="dxa"/>
          </w:tblCellMar>
        </w:tblPrEx>
        <w:trPr>
          <w:trHeight w:val="1041" w:hRule="atLeast"/>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ascii="仿宋_GB2312" w:hAnsi="宋体" w:eastAsia="仿宋_GB2312" w:cs="宋体"/>
                <w:color w:val="000000"/>
                <w:kern w:val="0"/>
                <w:szCs w:val="21"/>
                <w:lang w:eastAsia="zh-CN"/>
              </w:rPr>
              <w:t>资源保护利用、节能降耗</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rPr>
              <w:t>≥</w:t>
            </w:r>
            <w:r>
              <w:rPr>
                <w:rFonts w:hint="eastAsia" w:eastAsia="仿宋_GB2312"/>
                <w:color w:val="000000"/>
                <w:kern w:val="0"/>
                <w:szCs w:val="21"/>
                <w:lang w:val="en-US" w:eastAsia="zh-CN"/>
              </w:rPr>
              <w:t>5%以上</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w:t>
            </w:r>
            <w:r>
              <w:rPr>
                <w:rFonts w:hint="eastAsia" w:eastAsia="仿宋_GB2312"/>
                <w:color w:val="000000"/>
                <w:kern w:val="0"/>
                <w:szCs w:val="21"/>
                <w:lang w:val="en-US" w:eastAsia="zh-CN"/>
              </w:rPr>
              <w:t>5%以上</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7</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Layout w:type="fixed"/>
          <w:tblCellMar>
            <w:top w:w="0" w:type="dxa"/>
            <w:left w:w="108" w:type="dxa"/>
            <w:bottom w:w="0" w:type="dxa"/>
            <w:right w:w="108" w:type="dxa"/>
          </w:tblCellMar>
        </w:tblPrEx>
        <w:trPr>
          <w:trHeight w:val="340" w:hRule="atLeast"/>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受益时间</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5年</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w:t>
            </w:r>
            <w:r>
              <w:rPr>
                <w:rFonts w:hint="eastAsia" w:eastAsia="仿宋_GB2312"/>
                <w:color w:val="000000"/>
                <w:kern w:val="0"/>
                <w:szCs w:val="21"/>
                <w:lang w:val="en-US" w:eastAsia="zh-CN"/>
              </w:rPr>
              <w:t>5</w:t>
            </w:r>
            <w:r>
              <w:rPr>
                <w:rFonts w:hint="eastAsia" w:eastAsia="仿宋_GB2312"/>
                <w:color w:val="000000"/>
                <w:kern w:val="0"/>
                <w:szCs w:val="21"/>
              </w:rPr>
              <w:t>年</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4</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p>
        </w:tc>
      </w:tr>
      <w:tr>
        <w:tblPrEx>
          <w:tblLayout w:type="fixed"/>
          <w:tblCellMar>
            <w:top w:w="0" w:type="dxa"/>
            <w:left w:w="108" w:type="dxa"/>
            <w:bottom w:w="0" w:type="dxa"/>
            <w:right w:w="108" w:type="dxa"/>
          </w:tblCellMar>
        </w:tblPrEx>
        <w:trPr>
          <w:trHeight w:val="340" w:hRule="atLeast"/>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r>
              <w:rPr>
                <w:rFonts w:hint="eastAsia" w:eastAsia="仿宋_GB2312"/>
                <w:color w:val="000000"/>
                <w:kern w:val="0"/>
                <w:szCs w:val="21"/>
              </w:rPr>
              <w:t>收益</w:t>
            </w:r>
            <w:r>
              <w:rPr>
                <w:rFonts w:hint="eastAsia" w:eastAsia="仿宋_GB2312"/>
                <w:color w:val="000000"/>
                <w:kern w:val="0"/>
                <w:szCs w:val="21"/>
                <w:lang w:eastAsia="zh-CN"/>
              </w:rPr>
              <w:t>企业、</w:t>
            </w:r>
            <w:r>
              <w:rPr>
                <w:rFonts w:hint="eastAsia" w:eastAsia="仿宋_GB2312"/>
                <w:color w:val="000000"/>
                <w:kern w:val="0"/>
                <w:szCs w:val="21"/>
              </w:rPr>
              <w:t>农户满意度100%</w:t>
            </w:r>
            <w:r>
              <w:rPr>
                <w:rFonts w:eastAsia="仿宋_GB2312"/>
                <w:color w:val="000000"/>
                <w:kern w:val="0"/>
                <w:szCs w:val="21"/>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w:t>
            </w:r>
            <w:r>
              <w:rPr>
                <w:rFonts w:hint="eastAsia" w:eastAsia="仿宋_GB2312"/>
                <w:color w:val="000000"/>
                <w:kern w:val="0"/>
                <w:szCs w:val="21"/>
                <w:lang w:val="en-US" w:eastAsia="zh-CN"/>
              </w:rPr>
              <w:t>95</w:t>
            </w:r>
            <w:r>
              <w:rPr>
                <w:rFonts w:hint="eastAsia" w:eastAsia="仿宋_GB2312"/>
                <w:color w:val="000000"/>
                <w:kern w:val="0"/>
                <w:szCs w:val="21"/>
              </w:rPr>
              <w:t>%</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9</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Layout w:type="fixed"/>
          <w:tblCellMar>
            <w:top w:w="0" w:type="dxa"/>
            <w:left w:w="108" w:type="dxa"/>
            <w:bottom w:w="0" w:type="dxa"/>
            <w:right w:w="108" w:type="dxa"/>
          </w:tblCellMar>
        </w:tblPrEx>
        <w:trPr>
          <w:trHeight w:val="340" w:hRule="atLeast"/>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82</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         填报日期：           联系电话：       单位负责人签字：</w:t>
      </w: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bookmarkStart w:id="0" w:name="_GoBack"/>
      <w:bookmarkEnd w:id="0"/>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eastAsia="方正小标宋_GBK"/>
          <w:sz w:val="36"/>
          <w:szCs w:val="36"/>
        </w:rPr>
        <w:t>预算支出绩效评价报告</w:t>
      </w:r>
    </w:p>
    <w:p>
      <w:pPr>
        <w:spacing w:line="360" w:lineRule="exact"/>
        <w:rPr>
          <w:rFonts w:eastAsia="黑体"/>
          <w:kern w:val="0"/>
          <w:sz w:val="32"/>
          <w:szCs w:val="32"/>
        </w:rPr>
      </w:pPr>
    </w:p>
    <w:p>
      <w:pPr>
        <w:spacing w:line="600" w:lineRule="exact"/>
        <w:ind w:firstLine="640" w:firstLineChars="200"/>
        <w:rPr>
          <w:rFonts w:hint="eastAsia" w:ascii="Times New Roman" w:hAnsi="Times New Roman" w:eastAsia="仿宋_GB2312" w:cs="Times New Roman"/>
          <w:sz w:val="32"/>
          <w:szCs w:val="32"/>
          <w:lang w:val="en-US" w:eastAsia="zh-CN"/>
        </w:rPr>
      </w:pPr>
    </w:p>
    <w:p>
      <w:pPr>
        <w:spacing w:line="600" w:lineRule="exact"/>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为了加强财政资金支出管理，提高财政资金使用效益，根据《怀化市鹤城区财政局关于开展2019年度全区预算支出绩效评价工作的通知》（鹤财绩〔2020〕35号）文件精神，现将预算支出绩效评价报告如下：</w:t>
      </w:r>
    </w:p>
    <w:p>
      <w:pPr>
        <w:spacing w:line="600" w:lineRule="exact"/>
        <w:ind w:firstLine="640" w:firstLineChars="200"/>
        <w:rPr>
          <w:rFonts w:eastAsia="黑体"/>
          <w:sz w:val="32"/>
          <w:szCs w:val="32"/>
        </w:rPr>
      </w:pPr>
      <w:r>
        <w:rPr>
          <w:rFonts w:eastAsia="黑体"/>
          <w:sz w:val="32"/>
          <w:szCs w:val="32"/>
        </w:rPr>
        <w:t>一、预算支出基本情况</w:t>
      </w:r>
    </w:p>
    <w:p>
      <w:pPr>
        <w:spacing w:line="600" w:lineRule="exact"/>
        <w:ind w:firstLine="643" w:firstLineChars="200"/>
        <w:rPr>
          <w:rFonts w:eastAsia="楷体_GB2312"/>
          <w:b/>
          <w:sz w:val="32"/>
          <w:szCs w:val="32"/>
        </w:rPr>
      </w:pPr>
      <w:r>
        <w:rPr>
          <w:rFonts w:eastAsia="楷体_GB2312"/>
          <w:b/>
          <w:sz w:val="32"/>
          <w:szCs w:val="32"/>
        </w:rPr>
        <w:t>（一）预算支出概况。</w:t>
      </w:r>
    </w:p>
    <w:p>
      <w:pPr>
        <w:spacing w:line="600" w:lineRule="exact"/>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2019年我单位专项资金预算支出主要包括：农业生产发展基础设施建设224.5万元，农业组织和产业化经营275.8万元，其他农业项目支出117.14万元。</w:t>
      </w:r>
    </w:p>
    <w:p>
      <w:pPr>
        <w:spacing w:line="600" w:lineRule="exact"/>
        <w:ind w:firstLine="640" w:firstLineChars="200"/>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农业生产发展基础设施建设主要包括高标准农田建设在内的基础设施建设；农业组织和产业化经营项目主要包括适度规模经营、农业产业化龙头企业、灾后扶持等；其他农业项目主要包括农产品质量安全监管、农村信息进村入户、植保防疫、科技转化与推广服务等农业项目。</w:t>
      </w:r>
    </w:p>
    <w:p>
      <w:pPr>
        <w:spacing w:line="600" w:lineRule="exact"/>
        <w:ind w:firstLine="643" w:firstLineChars="200"/>
        <w:rPr>
          <w:rFonts w:eastAsia="仿宋_GB2312"/>
          <w:sz w:val="32"/>
          <w:szCs w:val="32"/>
        </w:rPr>
      </w:pPr>
      <w:r>
        <w:rPr>
          <w:rFonts w:eastAsia="楷体_GB2312"/>
          <w:b/>
          <w:sz w:val="32"/>
          <w:szCs w:val="32"/>
        </w:rPr>
        <w:t>（二）预算资金使用管理情况。</w:t>
      </w:r>
    </w:p>
    <w:p>
      <w:pPr>
        <w:spacing w:line="600" w:lineRule="exact"/>
        <w:ind w:firstLine="640" w:firstLineChars="200"/>
        <w:rPr>
          <w:rFonts w:hint="eastAsia" w:eastAsia="仿宋_GB2312"/>
          <w:sz w:val="32"/>
          <w:szCs w:val="32"/>
        </w:rPr>
      </w:pPr>
      <w:r>
        <w:rPr>
          <w:rFonts w:hint="eastAsia" w:eastAsia="仿宋_GB2312"/>
          <w:sz w:val="32"/>
          <w:szCs w:val="32"/>
        </w:rPr>
        <w:t>1、项目资金均按照项目建设需要及时到位，鹤城区农业农村局按照专项资金管理办法严格加强资金管理，按照项目规定程序申请设立，提交真实、完整且符合相关文件要求，并组织局班子及业务股站进行可行性研究和专家论证，集体决策，为确保项目建设顺利进行做好了充分的准备工作。</w:t>
      </w:r>
    </w:p>
    <w:p>
      <w:pPr>
        <w:spacing w:line="600" w:lineRule="exact"/>
        <w:ind w:firstLine="640" w:firstLineChars="200"/>
        <w:rPr>
          <w:rFonts w:hint="eastAsia" w:eastAsia="仿宋_GB2312"/>
          <w:sz w:val="32"/>
          <w:szCs w:val="32"/>
        </w:rPr>
      </w:pPr>
      <w:r>
        <w:rPr>
          <w:rFonts w:hint="eastAsia" w:eastAsia="仿宋_GB2312"/>
          <w:sz w:val="32"/>
          <w:szCs w:val="32"/>
        </w:rPr>
        <w:t>2、强化对项目成本控制意识。充分调动项目建设人员的积极性，使项目管理人员真正懂得成本管理的重要性。在抓进度、质量的同时，严抓施工成本核算管理。建立健康有序的施工成本管理程序。</w:t>
      </w:r>
    </w:p>
    <w:p>
      <w:pPr>
        <w:spacing w:line="600" w:lineRule="exact"/>
        <w:ind w:firstLine="640" w:firstLineChars="200"/>
        <w:rPr>
          <w:rFonts w:hint="eastAsia" w:eastAsia="仿宋_GB2312"/>
          <w:sz w:val="32"/>
          <w:szCs w:val="32"/>
        </w:rPr>
      </w:pPr>
      <w:r>
        <w:rPr>
          <w:rFonts w:hint="eastAsia" w:eastAsia="仿宋_GB2312"/>
          <w:sz w:val="32"/>
          <w:szCs w:val="32"/>
        </w:rPr>
        <w:t>3、增强成本控制人员的工作责任感。项目人员严格执行施工成本控制与核算治理制度，使施工成本治理真正落到实处。加强成本监督力度，培养他们的责任感，提高成本控制人员的工作能力。</w:t>
      </w:r>
    </w:p>
    <w:p>
      <w:pPr>
        <w:spacing w:line="600" w:lineRule="exact"/>
        <w:ind w:firstLine="640" w:firstLineChars="200"/>
        <w:rPr>
          <w:rFonts w:eastAsia="仿宋_GB2312"/>
          <w:sz w:val="32"/>
          <w:szCs w:val="32"/>
        </w:rPr>
      </w:pPr>
      <w:r>
        <w:rPr>
          <w:rFonts w:hint="eastAsia" w:eastAsia="仿宋_GB2312"/>
          <w:sz w:val="32"/>
          <w:szCs w:val="32"/>
        </w:rPr>
        <w:t>4、我局主管资金项目均严格按照我区</w:t>
      </w:r>
      <w:r>
        <w:rPr>
          <w:rFonts w:hint="eastAsia" w:eastAsia="仿宋_GB2312"/>
          <w:sz w:val="32"/>
          <w:szCs w:val="32"/>
          <w:lang w:eastAsia="zh-CN"/>
        </w:rPr>
        <w:t>专项</w:t>
      </w:r>
      <w:r>
        <w:rPr>
          <w:rFonts w:hint="eastAsia" w:eastAsia="仿宋_GB2312"/>
          <w:sz w:val="32"/>
          <w:szCs w:val="32"/>
        </w:rPr>
        <w:t>资金管理</w:t>
      </w:r>
      <w:r>
        <w:rPr>
          <w:rFonts w:hint="eastAsia" w:eastAsia="仿宋_GB2312"/>
          <w:sz w:val="32"/>
          <w:szCs w:val="32"/>
          <w:lang w:eastAsia="zh-CN"/>
        </w:rPr>
        <w:t>管理办法</w:t>
      </w:r>
      <w:r>
        <w:rPr>
          <w:rFonts w:hint="eastAsia" w:eastAsia="仿宋_GB2312"/>
          <w:sz w:val="32"/>
          <w:szCs w:val="32"/>
        </w:rPr>
        <w:t>进行管理。资金支出实行资金报账制，项目资金专款专用，根据项目建设完工程度，由项目实施单位提供真实、有效、完整的报账凭据，确保建设资金及时发放到位。</w:t>
      </w:r>
    </w:p>
    <w:p>
      <w:pPr>
        <w:spacing w:line="240" w:lineRule="auto"/>
        <w:ind w:firstLine="643" w:firstLineChars="200"/>
        <w:rPr>
          <w:rFonts w:eastAsia="楷体_GB2312"/>
          <w:b/>
          <w:color w:val="000000" w:themeColor="text1"/>
          <w:sz w:val="32"/>
          <w:szCs w:val="32"/>
          <w14:textFill>
            <w14:solidFill>
              <w14:schemeClr w14:val="tx1"/>
            </w14:solidFill>
          </w14:textFill>
        </w:rPr>
      </w:pPr>
      <w:r>
        <w:rPr>
          <w:rFonts w:eastAsia="楷体_GB2312"/>
          <w:b/>
          <w:color w:val="000000" w:themeColor="text1"/>
          <w:sz w:val="32"/>
          <w:szCs w:val="32"/>
          <w14:textFill>
            <w14:solidFill>
              <w14:schemeClr w14:val="tx1"/>
            </w14:solidFill>
          </w14:textFill>
        </w:rPr>
        <w:t>（三）预算支出绩效目标完成程度。</w:t>
      </w:r>
    </w:p>
    <w:p>
      <w:pPr>
        <w:spacing w:line="600" w:lineRule="exact"/>
        <w:ind w:firstLine="640" w:firstLineChars="200"/>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1、农业生产发展项目根据项目进度要求，已完成前期设计、招投标及进场开工</w:t>
      </w:r>
      <w:r>
        <w:rPr>
          <w:rFonts w:hint="eastAsia" w:eastAsia="仿宋_GB2312" w:cs="Times New Roman"/>
          <w:color w:val="000000" w:themeColor="text1"/>
          <w:sz w:val="32"/>
          <w:szCs w:val="32"/>
          <w:lang w:val="en-US" w:eastAsia="zh-CN"/>
          <w14:textFill>
            <w14:solidFill>
              <w14:schemeClr w14:val="tx1"/>
            </w14:solidFill>
          </w14:textFill>
        </w:rPr>
        <w:t>，在黄金坳外镇里三元村完成新建排水及灌溉渠道10公里，建成高标准农田1930亩</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，工程进度达</w:t>
      </w:r>
      <w:r>
        <w:rPr>
          <w:rFonts w:hint="eastAsia" w:eastAsia="仿宋_GB2312" w:cs="Times New Roman"/>
          <w:color w:val="000000" w:themeColor="text1"/>
          <w:sz w:val="32"/>
          <w:szCs w:val="32"/>
          <w:lang w:val="en-US" w:eastAsia="zh-CN"/>
          <w14:textFill>
            <w14:solidFill>
              <w14:schemeClr w14:val="tx1"/>
            </w14:solidFill>
          </w14:textFill>
        </w:rPr>
        <w:t>100</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w:t>
      </w:r>
    </w:p>
    <w:p>
      <w:pPr>
        <w:spacing w:line="600" w:lineRule="exact"/>
        <w:ind w:firstLine="640" w:firstLineChars="200"/>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2、农业组织和产业化经营项目，完成对盛源油脂农业产业化龙头企业扶持，新建动静白马项目已完成50%，并对全区20余家农业受灾企业进行扶持。</w:t>
      </w:r>
    </w:p>
    <w:p>
      <w:pPr>
        <w:spacing w:line="600" w:lineRule="exact"/>
        <w:ind w:firstLine="640" w:firstLineChars="200"/>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3、其他农业项目均已按要求完成当年绩效目标。具体为：农产品质量安全建设</w:t>
      </w:r>
      <w:r>
        <w:rPr>
          <w:rFonts w:hint="eastAsia" w:ascii="Times New Roman" w:hAnsi="Times New Roman" w:eastAsia="仿宋_GB2312" w:cs="Times New Roman"/>
          <w:color w:val="000000" w:themeColor="text1"/>
          <w:sz w:val="32"/>
          <w:szCs w:val="32"/>
          <w14:textFill>
            <w14:solidFill>
              <w14:schemeClr w14:val="tx1"/>
            </w14:solidFill>
          </w14:textFill>
        </w:rPr>
        <w:t>项目制订标准体系、监督管理体系建设、产品认证、品牌建设、科技培训等，完成相关项目，达到了预期效果。</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科技转化与推广服务完成</w:t>
      </w:r>
      <w:r>
        <w:rPr>
          <w:rFonts w:hint="eastAsia" w:ascii="Times New Roman" w:hAnsi="Times New Roman" w:eastAsia="仿宋_GB2312" w:cs="Times New Roman"/>
          <w:color w:val="000000" w:themeColor="text1"/>
          <w:sz w:val="32"/>
          <w:szCs w:val="32"/>
          <w14:textFill>
            <w14:solidFill>
              <w14:schemeClr w14:val="tx1"/>
            </w14:solidFill>
          </w14:textFill>
        </w:rPr>
        <w:t>推广再生稻10</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hint="eastAsia" w:ascii="Times New Roman" w:hAnsi="Times New Roman" w:eastAsia="仿宋_GB2312" w:cs="Times New Roman"/>
          <w:color w:val="000000" w:themeColor="text1"/>
          <w:sz w:val="32"/>
          <w:szCs w:val="32"/>
          <w14:textFill>
            <w14:solidFill>
              <w14:schemeClr w14:val="tx1"/>
            </w14:solidFill>
          </w14:textFill>
        </w:rPr>
        <w:t>0亩，其中核心示范区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w:t>
      </w:r>
      <w:r>
        <w:rPr>
          <w:rFonts w:hint="eastAsia" w:ascii="Times New Roman" w:hAnsi="Times New Roman" w:eastAsia="仿宋_GB2312" w:cs="Times New Roman"/>
          <w:color w:val="000000" w:themeColor="text1"/>
          <w:sz w:val="32"/>
          <w:szCs w:val="32"/>
          <w14:textFill>
            <w14:solidFill>
              <w14:schemeClr w14:val="tx1"/>
            </w14:solidFill>
          </w14:textFill>
        </w:rPr>
        <w:t>个，</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面积为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50亩，</w:t>
      </w:r>
      <w:r>
        <w:rPr>
          <w:rFonts w:hint="eastAsia" w:ascii="Times New Roman" w:hAnsi="Times New Roman" w:eastAsia="仿宋_GB2312" w:cs="Times New Roman"/>
          <w:color w:val="000000" w:themeColor="text1"/>
          <w:sz w:val="32"/>
          <w:szCs w:val="32"/>
          <w14:textFill>
            <w14:solidFill>
              <w14:schemeClr w14:val="tx1"/>
            </w14:solidFill>
          </w14:textFill>
        </w:rPr>
        <w:t>品种有甬优4149。经测产验收、再生稻头季平均产量6</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4</w:t>
      </w:r>
      <w:r>
        <w:rPr>
          <w:rFonts w:hint="eastAsia" w:ascii="Times New Roman" w:hAnsi="Times New Roman" w:eastAsia="仿宋_GB2312" w:cs="Times New Roman"/>
          <w:color w:val="000000" w:themeColor="text1"/>
          <w:sz w:val="32"/>
          <w:szCs w:val="32"/>
          <w14:textFill>
            <w14:solidFill>
              <w14:schemeClr w14:val="tx1"/>
            </w14:solidFill>
          </w14:textFill>
        </w:rPr>
        <w:t>0公斤，再生季平均产量1</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5</w:t>
      </w:r>
      <w:r>
        <w:rPr>
          <w:rFonts w:hint="eastAsia" w:ascii="Times New Roman" w:hAnsi="Times New Roman" w:eastAsia="仿宋_GB2312" w:cs="Times New Roman"/>
          <w:color w:val="000000" w:themeColor="text1"/>
          <w:sz w:val="32"/>
          <w:szCs w:val="32"/>
          <w14:textFill>
            <w14:solidFill>
              <w14:schemeClr w14:val="tx1"/>
            </w14:solidFill>
          </w14:textFill>
        </w:rPr>
        <w:t>0公斤左右，亩增产</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17</w:t>
      </w:r>
      <w:r>
        <w:rPr>
          <w:rFonts w:hint="eastAsia" w:ascii="Times New Roman" w:hAnsi="Times New Roman" w:eastAsia="仿宋_GB2312" w:cs="Times New Roman"/>
          <w:color w:val="000000" w:themeColor="text1"/>
          <w:sz w:val="32"/>
          <w:szCs w:val="32"/>
          <w14:textFill>
            <w14:solidFill>
              <w14:schemeClr w14:val="tx1"/>
            </w14:solidFill>
          </w14:textFill>
        </w:rPr>
        <w:t>0公斤，共增产</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68</w:t>
      </w:r>
      <w:r>
        <w:rPr>
          <w:rFonts w:hint="eastAsia" w:ascii="Times New Roman" w:hAnsi="Times New Roman" w:eastAsia="仿宋_GB2312" w:cs="Times New Roman"/>
          <w:color w:val="000000" w:themeColor="text1"/>
          <w:sz w:val="32"/>
          <w:szCs w:val="32"/>
          <w14:textFill>
            <w14:solidFill>
              <w14:schemeClr w14:val="tx1"/>
            </w14:solidFill>
          </w14:textFill>
        </w:rPr>
        <w:t>万元。</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绿肥种植、秸秆还田、土壤改良增施有机肥，不断提高耕地地力水平，切实发挥其稳定我区粮食生产的主体作用。</w:t>
      </w:r>
    </w:p>
    <w:p>
      <w:pPr>
        <w:spacing w:line="600" w:lineRule="exact"/>
        <w:ind w:firstLine="640" w:firstLineChars="200"/>
        <w:rPr>
          <w:rFonts w:eastAsia="黑体"/>
          <w:color w:val="000000" w:themeColor="text1"/>
          <w:sz w:val="32"/>
          <w:szCs w:val="32"/>
          <w14:textFill>
            <w14:solidFill>
              <w14:schemeClr w14:val="tx1"/>
            </w14:solidFill>
          </w14:textFill>
        </w:rPr>
      </w:pPr>
      <w:r>
        <w:rPr>
          <w:rFonts w:eastAsia="黑体"/>
          <w:color w:val="000000" w:themeColor="text1"/>
          <w:sz w:val="32"/>
          <w:szCs w:val="32"/>
          <w14:textFill>
            <w14:solidFill>
              <w14:schemeClr w14:val="tx1"/>
            </w14:solidFill>
          </w14:textFill>
        </w:rPr>
        <w:t>二、绩效评价工作情况</w:t>
      </w:r>
    </w:p>
    <w:p>
      <w:pPr>
        <w:spacing w:line="600" w:lineRule="exact"/>
        <w:ind w:firstLine="640" w:firstLineChars="200"/>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1、绩效评价的目的</w:t>
      </w:r>
    </w:p>
    <w:p>
      <w:pPr>
        <w:spacing w:line="600" w:lineRule="exact"/>
        <w:ind w:firstLine="640" w:firstLineChars="200"/>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通过绩效评价，能更具体了解我县区业农村局预算支出项目支出资金投入、分配和使用情况，资金管理制度、措施制定和实施情况，资金使用效果和资金项目目标实现情况。有利于总结经验，发现问题，及时改进。进一步加强我区农业农村局专项资金管理，提升全区健全农业服务体系，增强农业服务功能。实现资金使用效益最大化，提高政府管理效能和财政资金使用效益，切实保证财政资金安全。</w:t>
      </w:r>
    </w:p>
    <w:p>
      <w:pPr>
        <w:spacing w:line="600" w:lineRule="exact"/>
        <w:ind w:firstLine="640" w:firstLineChars="200"/>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2、绩效评价原则、评价指标体系、评价方法</w:t>
      </w:r>
    </w:p>
    <w:p>
      <w:pPr>
        <w:spacing w:line="600" w:lineRule="exact"/>
        <w:ind w:firstLine="640" w:firstLineChars="200"/>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评价原则：我们遵循“科学性、规范性、客观性和公正性”的原则，以各级预算绩效管理的政策规定、财务会计制度等为指导，由点到面、稳步推进，对我区农业农村局预算支出专项资金的管理及产生生态、经济和社会效益进行自我评价。</w:t>
      </w:r>
    </w:p>
    <w:p>
      <w:pPr>
        <w:spacing w:line="600" w:lineRule="exact"/>
        <w:ind w:firstLine="640" w:firstLineChars="200"/>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评价指标体系：设基础工作管理、绩效目标管理、绩效跟踪监控管理、绩效评价管理、评价结果管理、结果应用管理4个一级指标、下分10个二级指标和17个三级指标，按照评价指标设定评价内容，分值为100分。（详见评价指标体系评分表）</w:t>
      </w:r>
    </w:p>
    <w:p>
      <w:pPr>
        <w:spacing w:line="600" w:lineRule="exact"/>
        <w:ind w:firstLine="640" w:firstLineChars="200"/>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3）评价方法：1、成本效益分析法。是指将一定时期内的支出与效益进行对比分析，以评价绩效目标实现程度。2、比较法。是指通过对绩效目标与实施效果、历史与当期情况、不同部门和地区同类支出的比较，符合分析绩效目标实现程度。3、因素分析法。是指通过综合分析影响绩效目标实现、实施效果的内外因素、评价绩效目标实现程度。4、最低成本法。是指对效益确定却不易计量的多个同类对象的实施成本进行比较，评价绩效目标实现程度。5、公众评判法，是指通过专家评估、公众问卷及抽样调查等对财政支出效果进行评判，评价绩效目标实现程度。</w:t>
      </w:r>
    </w:p>
    <w:p>
      <w:pPr>
        <w:spacing w:line="600" w:lineRule="exact"/>
        <w:ind w:firstLine="640" w:firstLineChars="200"/>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3、绩效评价工作过程</w:t>
      </w:r>
    </w:p>
    <w:p>
      <w:pPr>
        <w:spacing w:line="600" w:lineRule="exact"/>
        <w:ind w:firstLine="640" w:firstLineChars="200"/>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（1）前期准备。办公室年底，制定评价实施方案，确定现场评价时间。</w:t>
      </w:r>
    </w:p>
    <w:p>
      <w:pPr>
        <w:spacing w:line="600" w:lineRule="exact"/>
        <w:ind w:firstLine="640" w:firstLineChars="200"/>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组织实施。办公室、计划财务股、发展规划股、乡村产业发展股、农村社会事业促进股、农村合作经济指导股、市场与信息化股、农业资源保护与利用股、种植业管理股、政工股做好基础数据资料的收集、整理，填写报表，撰写自评报告，根据有关规定的要求，整理、综合分析相关信息，撰写、修改绩效评价报告初稿，并上报区财政局绩效股。</w:t>
      </w:r>
    </w:p>
    <w:p>
      <w:pPr>
        <w:spacing w:line="600" w:lineRule="exact"/>
        <w:ind w:firstLine="640" w:firstLineChars="200"/>
        <w:rPr>
          <w:rFonts w:eastAsia="黑体"/>
          <w:color w:val="000000" w:themeColor="text1"/>
          <w:sz w:val="32"/>
          <w:szCs w:val="32"/>
          <w14:textFill>
            <w14:solidFill>
              <w14:schemeClr w14:val="tx1"/>
            </w14:solidFill>
          </w14:textFill>
        </w:rPr>
      </w:pPr>
      <w:r>
        <w:rPr>
          <w:rFonts w:eastAsia="黑体"/>
          <w:color w:val="000000" w:themeColor="text1"/>
          <w:sz w:val="32"/>
          <w:szCs w:val="32"/>
          <w14:textFill>
            <w14:solidFill>
              <w14:schemeClr w14:val="tx1"/>
            </w14:solidFill>
          </w14:textFill>
        </w:rPr>
        <w:t>三、预算支出主要绩效及评价结论</w:t>
      </w:r>
    </w:p>
    <w:p>
      <w:pPr>
        <w:spacing w:line="600" w:lineRule="exact"/>
        <w:ind w:firstLine="640" w:firstLineChars="200"/>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通过项目实施，改善提高一批便利高效的高标准农田，扶持鼓励引导一批农业产业化龙头企业，同时，我区农产品质量进一步提升，优质农产品比例加大，同时推进农业生产方式转变，提升了农产品质量安全水平。新技术、新品种进一步得到了推广，示范辐射带动效果进一步增强。调动了粮食大户的生产积极性，稳定粮食生产、杜绝耕地抛荒，保障农民生产增收，促进我区粮食稳定发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通过综合评分，预算支出绩效自评得分80.5分，自评表见附表。</w:t>
      </w:r>
    </w:p>
    <w:p>
      <w:pPr>
        <w:spacing w:line="600" w:lineRule="exact"/>
        <w:ind w:firstLine="640" w:firstLineChars="200"/>
        <w:rPr>
          <w:rFonts w:eastAsia="黑体"/>
          <w:color w:val="000000" w:themeColor="text1"/>
          <w:sz w:val="32"/>
          <w:szCs w:val="32"/>
          <w14:textFill>
            <w14:solidFill>
              <w14:schemeClr w14:val="tx1"/>
            </w14:solidFill>
          </w14:textFill>
        </w:rPr>
      </w:pPr>
      <w:r>
        <w:rPr>
          <w:rFonts w:eastAsia="黑体"/>
          <w:color w:val="000000" w:themeColor="text1"/>
          <w:sz w:val="32"/>
          <w:szCs w:val="32"/>
          <w14:textFill>
            <w14:solidFill>
              <w14:schemeClr w14:val="tx1"/>
            </w14:solidFill>
          </w14:textFill>
        </w:rPr>
        <w:t>四、绩效评价指标分析</w:t>
      </w:r>
    </w:p>
    <w:p>
      <w:pPr>
        <w:spacing w:line="600" w:lineRule="exact"/>
        <w:ind w:firstLine="643" w:firstLineChars="200"/>
        <w:rPr>
          <w:rFonts w:eastAsia="楷体_GB2312"/>
          <w:b/>
          <w:color w:val="000000" w:themeColor="text1"/>
          <w:sz w:val="32"/>
          <w:szCs w:val="32"/>
          <w14:textFill>
            <w14:solidFill>
              <w14:schemeClr w14:val="tx1"/>
            </w14:solidFill>
          </w14:textFill>
        </w:rPr>
      </w:pPr>
      <w:r>
        <w:rPr>
          <w:rFonts w:eastAsia="楷体_GB2312"/>
          <w:b/>
          <w:color w:val="000000" w:themeColor="text1"/>
          <w:sz w:val="32"/>
          <w:szCs w:val="32"/>
          <w14:textFill>
            <w14:solidFill>
              <w14:schemeClr w14:val="tx1"/>
            </w14:solidFill>
          </w14:textFill>
        </w:rPr>
        <w:t>（一）预算支出决策情况</w:t>
      </w:r>
    </w:p>
    <w:p>
      <w:pPr>
        <w:spacing w:line="600" w:lineRule="exact"/>
        <w:ind w:firstLine="640" w:firstLineChars="200"/>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项目申请、设立依据符合相关政策及客观实施，充分考虑地方实际。</w:t>
      </w:r>
    </w:p>
    <w:p>
      <w:pPr>
        <w:spacing w:line="600" w:lineRule="exact"/>
        <w:ind w:firstLine="643" w:firstLineChars="200"/>
        <w:rPr>
          <w:rFonts w:eastAsia="楷体_GB2312"/>
          <w:b/>
          <w:color w:val="000000" w:themeColor="text1"/>
          <w:sz w:val="32"/>
          <w:szCs w:val="32"/>
          <w14:textFill>
            <w14:solidFill>
              <w14:schemeClr w14:val="tx1"/>
            </w14:solidFill>
          </w14:textFill>
        </w:rPr>
      </w:pPr>
      <w:r>
        <w:rPr>
          <w:rFonts w:eastAsia="楷体_GB2312"/>
          <w:b/>
          <w:color w:val="000000" w:themeColor="text1"/>
          <w:sz w:val="32"/>
          <w:szCs w:val="32"/>
          <w14:textFill>
            <w14:solidFill>
              <w14:schemeClr w14:val="tx1"/>
            </w14:solidFill>
          </w14:textFill>
        </w:rPr>
        <w:t>（二）预算执行过程情况</w:t>
      </w:r>
    </w:p>
    <w:p>
      <w:pPr>
        <w:spacing w:line="600" w:lineRule="exact"/>
        <w:ind w:firstLine="640" w:firstLineChars="200"/>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 xml:space="preserve"> 通过积极争取上级资金，整合本级各项资金，确保项目执行根据生产周期已完成相适应的进度。同时加强项目监管，保障项目有序健康运行。</w:t>
      </w:r>
    </w:p>
    <w:p>
      <w:pPr>
        <w:spacing w:line="600" w:lineRule="exact"/>
        <w:ind w:firstLine="643" w:firstLineChars="200"/>
        <w:rPr>
          <w:rFonts w:eastAsia="楷体_GB2312"/>
          <w:b/>
          <w:color w:val="000000" w:themeColor="text1"/>
          <w:sz w:val="32"/>
          <w:szCs w:val="32"/>
          <w14:textFill>
            <w14:solidFill>
              <w14:schemeClr w14:val="tx1"/>
            </w14:solidFill>
          </w14:textFill>
        </w:rPr>
      </w:pPr>
      <w:r>
        <w:rPr>
          <w:rFonts w:eastAsia="楷体_GB2312"/>
          <w:b/>
          <w:color w:val="000000" w:themeColor="text1"/>
          <w:sz w:val="32"/>
          <w:szCs w:val="32"/>
          <w14:textFill>
            <w14:solidFill>
              <w14:schemeClr w14:val="tx1"/>
            </w14:solidFill>
          </w14:textFill>
        </w:rPr>
        <w:t>（三）预算支出产出情况</w:t>
      </w:r>
    </w:p>
    <w:p>
      <w:pPr>
        <w:spacing w:line="600" w:lineRule="exact"/>
        <w:ind w:firstLine="640" w:firstLineChars="200"/>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通过项目实施，收益对象平均每亩增产100余公斤，增收300元，农村环境进一步整洁，改厕户厕所粪污无害化处理率每户达到100%。</w:t>
      </w:r>
    </w:p>
    <w:p>
      <w:pPr>
        <w:spacing w:line="600" w:lineRule="exact"/>
        <w:ind w:firstLine="643" w:firstLineChars="200"/>
        <w:rPr>
          <w:rFonts w:eastAsia="楷体_GB2312"/>
          <w:b/>
          <w:color w:val="000000" w:themeColor="text1"/>
          <w:sz w:val="32"/>
          <w:szCs w:val="32"/>
          <w14:textFill>
            <w14:solidFill>
              <w14:schemeClr w14:val="tx1"/>
            </w14:solidFill>
          </w14:textFill>
        </w:rPr>
      </w:pPr>
      <w:r>
        <w:rPr>
          <w:rFonts w:eastAsia="楷体_GB2312"/>
          <w:b/>
          <w:color w:val="000000" w:themeColor="text1"/>
          <w:sz w:val="32"/>
          <w:szCs w:val="32"/>
          <w14:textFill>
            <w14:solidFill>
              <w14:schemeClr w14:val="tx1"/>
            </w14:solidFill>
          </w14:textFill>
        </w:rPr>
        <w:t>（四）预算支出效益情况</w:t>
      </w:r>
    </w:p>
    <w:p>
      <w:pPr>
        <w:spacing w:line="600" w:lineRule="exact"/>
        <w:ind w:firstLine="640" w:firstLineChars="200"/>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我局围绕健全农业服务体系，增强农业服务功能建设目标，不断根据外部环境进行结构调整和创</w:t>
      </w:r>
      <w:r>
        <w:rPr>
          <w:rFonts w:hint="eastAsia" w:eastAsia="仿宋_GB2312" w:cs="Times New Roman"/>
          <w:color w:val="000000" w:themeColor="text1"/>
          <w:sz w:val="32"/>
          <w:szCs w:val="32"/>
          <w:lang w:val="en-US" w:eastAsia="zh-CN"/>
          <w14:textFill>
            <w14:solidFill>
              <w14:schemeClr w14:val="tx1"/>
            </w14:solidFill>
          </w14:textFill>
        </w:rPr>
        <w:t>新。</w:t>
      </w:r>
    </w:p>
    <w:p>
      <w:pPr>
        <w:spacing w:line="600" w:lineRule="exact"/>
        <w:ind w:firstLine="640" w:firstLineChars="200"/>
        <w:rPr>
          <w:rFonts w:eastAsia="黑体"/>
          <w:color w:val="000000" w:themeColor="text1"/>
          <w:sz w:val="32"/>
          <w:szCs w:val="32"/>
          <w14:textFill>
            <w14:solidFill>
              <w14:schemeClr w14:val="tx1"/>
            </w14:solidFill>
          </w14:textFill>
        </w:rPr>
      </w:pPr>
      <w:r>
        <w:rPr>
          <w:rFonts w:eastAsia="黑体"/>
          <w:color w:val="000000" w:themeColor="text1"/>
          <w:sz w:val="32"/>
          <w:szCs w:val="32"/>
          <w14:textFill>
            <w14:solidFill>
              <w14:schemeClr w14:val="tx1"/>
            </w14:solidFill>
          </w14:textFill>
        </w:rPr>
        <w:t>五、主要经验及做法、存在的问题及原因分析</w:t>
      </w:r>
    </w:p>
    <w:p>
      <w:pPr>
        <w:spacing w:line="600" w:lineRule="exact"/>
        <w:ind w:firstLine="643" w:firstLineChars="200"/>
        <w:rPr>
          <w:rFonts w:hint="eastAsia" w:ascii="Times New Roman" w:hAnsi="Times New Roman" w:eastAsia="楷体_GB2312" w:cs="Times New Roman"/>
          <w:b/>
          <w:color w:val="000000" w:themeColor="text1"/>
          <w:sz w:val="32"/>
          <w:szCs w:val="32"/>
          <w:lang w:eastAsia="zh-CN"/>
          <w14:textFill>
            <w14:solidFill>
              <w14:schemeClr w14:val="tx1"/>
            </w14:solidFill>
          </w14:textFill>
        </w:rPr>
      </w:pPr>
      <w:r>
        <w:rPr>
          <w:rFonts w:hint="eastAsia" w:ascii="Times New Roman" w:hAnsi="Times New Roman" w:eastAsia="楷体_GB2312" w:cs="Times New Roman"/>
          <w:b/>
          <w:color w:val="000000" w:themeColor="text1"/>
          <w:sz w:val="32"/>
          <w:szCs w:val="32"/>
          <w:lang w:eastAsia="zh-CN"/>
          <w14:textFill>
            <w14:solidFill>
              <w14:schemeClr w14:val="tx1"/>
            </w14:solidFill>
          </w14:textFill>
        </w:rPr>
        <w:t>（一）主要经验及做法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1、在资金分配方面，严格按照专项资金管理办法合理分配，突出重点，公平公正；无散小差现象；资金分配和使用方向均与资金管理办法相符等。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2、在资金拨付方面，我们均根据专项建设情况及时拨付资金，无滞留、闲置、无截留、挪用等现象，资金使用达到了预期效益。</w:t>
      </w:r>
    </w:p>
    <w:p>
      <w:pPr>
        <w:spacing w:line="600" w:lineRule="exact"/>
        <w:ind w:firstLine="643" w:firstLineChars="200"/>
        <w:rPr>
          <w:rFonts w:hint="eastAsia" w:ascii="Times New Roman" w:hAnsi="Times New Roman" w:eastAsia="楷体_GB2312" w:cs="Times New Roman"/>
          <w:b/>
          <w:color w:val="000000" w:themeColor="text1"/>
          <w:sz w:val="32"/>
          <w:szCs w:val="32"/>
          <w:lang w:eastAsia="zh-CN"/>
          <w14:textFill>
            <w14:solidFill>
              <w14:schemeClr w14:val="tx1"/>
            </w14:solidFill>
          </w14:textFill>
        </w:rPr>
      </w:pPr>
      <w:r>
        <w:rPr>
          <w:rFonts w:hint="eastAsia" w:ascii="Times New Roman" w:hAnsi="Times New Roman" w:eastAsia="楷体_GB2312" w:cs="Times New Roman"/>
          <w:b/>
          <w:color w:val="000000" w:themeColor="text1"/>
          <w:sz w:val="32"/>
          <w:szCs w:val="32"/>
          <w:lang w:eastAsia="zh-CN"/>
          <w14:textFill>
            <w14:solidFill>
              <w14:schemeClr w14:val="tx1"/>
            </w14:solidFill>
          </w14:textFill>
        </w:rPr>
        <w:t>（二）存在的问题及原因分析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1、农业从业人员培训还待加强，农业执法人员素质急需加强，激励约束机制不健全。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2、农业专项资金小而分散，不能解决重大问题。</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firstLine="640" w:firstLineChars="200"/>
        <w:jc w:val="both"/>
        <w:textAlignment w:val="auto"/>
        <w:outlineLvl w:val="9"/>
        <w:rPr>
          <w:rFonts w:hint="eastAsia" w:ascii="仿宋" w:hAnsi="仿宋" w:eastAsia="仿宋" w:cs="仿宋"/>
          <w:color w:val="000000" w:themeColor="text1"/>
          <w:kern w:val="2"/>
          <w:sz w:val="32"/>
          <w:szCs w:val="32"/>
          <w:lang w:val="en-US" w:eastAsia="zh-CN" w:bidi="ar-SA"/>
          <w14:textFill>
            <w14:solidFill>
              <w14:schemeClr w14:val="tx1"/>
            </w14:solidFill>
          </w14:textFill>
        </w:rPr>
      </w:pPr>
      <w:r>
        <w:rPr>
          <w:rFonts w:hint="eastAsia" w:ascii="仿宋" w:hAnsi="仿宋" w:eastAsia="仿宋" w:cs="仿宋"/>
          <w:color w:val="000000" w:themeColor="text1"/>
          <w:kern w:val="2"/>
          <w:sz w:val="32"/>
          <w:szCs w:val="32"/>
          <w:lang w:val="en-US" w:eastAsia="zh-CN" w:bidi="ar-SA"/>
          <w14:textFill>
            <w14:solidFill>
              <w14:schemeClr w14:val="tx1"/>
            </w14:solidFill>
          </w14:textFill>
        </w:rPr>
        <w:t>3、一些管理制度需进一步完善，一些管理方法不够科学，项目监管需加强，需要细化。</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firstLine="640" w:firstLineChars="200"/>
        <w:jc w:val="both"/>
        <w:textAlignment w:val="auto"/>
        <w:outlineLvl w:val="9"/>
        <w:rPr>
          <w:rFonts w:hint="eastAsia" w:ascii="仿宋" w:hAnsi="仿宋" w:eastAsia="仿宋" w:cs="仿宋"/>
          <w:color w:val="000000" w:themeColor="text1"/>
          <w:kern w:val="2"/>
          <w:sz w:val="32"/>
          <w:szCs w:val="32"/>
          <w:lang w:val="en-US" w:eastAsia="zh-CN" w:bidi="ar-SA"/>
          <w14:textFill>
            <w14:solidFill>
              <w14:schemeClr w14:val="tx1"/>
            </w14:solidFill>
          </w14:textFill>
        </w:rPr>
      </w:pPr>
      <w:r>
        <w:rPr>
          <w:rFonts w:hint="eastAsia" w:ascii="仿宋" w:hAnsi="仿宋" w:eastAsia="仿宋" w:cs="仿宋"/>
          <w:color w:val="000000" w:themeColor="text1"/>
          <w:kern w:val="2"/>
          <w:sz w:val="32"/>
          <w:szCs w:val="32"/>
          <w:lang w:val="en-US" w:eastAsia="zh-CN" w:bidi="ar-SA"/>
          <w14:textFill>
            <w14:solidFill>
              <w14:schemeClr w14:val="tx1"/>
            </w14:solidFill>
          </w14:textFill>
        </w:rPr>
        <w:t>4、绩效评价工作不够细致、评价方法有待提高，项目成本管理目标设置还不够具体，对项目资金使用成本的控制有待进一步加强。</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firstLine="640" w:firstLineChars="200"/>
        <w:jc w:val="both"/>
        <w:textAlignment w:val="auto"/>
        <w:outlineLvl w:val="9"/>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kern w:val="2"/>
          <w:sz w:val="32"/>
          <w:szCs w:val="32"/>
          <w:lang w:val="en-US" w:eastAsia="zh-CN" w:bidi="ar-SA"/>
          <w14:textFill>
            <w14:solidFill>
              <w14:schemeClr w14:val="tx1"/>
            </w14:solidFill>
          </w14:textFill>
        </w:rPr>
        <w:t>5、农业管理工作需要加强，工作效率有待提高，需降低运行成本。</w:t>
      </w:r>
    </w:p>
    <w:p>
      <w:pPr>
        <w:spacing w:line="600" w:lineRule="exact"/>
        <w:ind w:firstLine="640" w:firstLineChars="200"/>
        <w:rPr>
          <w:rFonts w:eastAsia="黑体"/>
          <w:color w:val="000000" w:themeColor="text1"/>
          <w:sz w:val="32"/>
          <w:szCs w:val="32"/>
          <w14:textFill>
            <w14:solidFill>
              <w14:schemeClr w14:val="tx1"/>
            </w14:solidFill>
          </w14:textFill>
        </w:rPr>
      </w:pPr>
      <w:r>
        <w:rPr>
          <w:rFonts w:eastAsia="黑体"/>
          <w:color w:val="000000" w:themeColor="text1"/>
          <w:sz w:val="32"/>
          <w:szCs w:val="32"/>
          <w14:textFill>
            <w14:solidFill>
              <w14:schemeClr w14:val="tx1"/>
            </w14:solidFill>
          </w14:textFill>
        </w:rPr>
        <w:t>六、有关建议</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firstLine="640" w:firstLineChars="200"/>
        <w:jc w:val="both"/>
        <w:textAlignment w:val="auto"/>
        <w:outlineLvl w:val="9"/>
        <w:rPr>
          <w:rFonts w:hint="eastAsia" w:ascii="仿宋" w:hAnsi="仿宋" w:eastAsia="仿宋" w:cs="仿宋"/>
          <w:color w:val="000000" w:themeColor="text1"/>
          <w:kern w:val="2"/>
          <w:sz w:val="32"/>
          <w:szCs w:val="32"/>
          <w:lang w:val="en-US" w:eastAsia="zh-CN" w:bidi="ar-SA"/>
          <w14:textFill>
            <w14:solidFill>
              <w14:schemeClr w14:val="tx1"/>
            </w14:solidFill>
          </w14:textFill>
        </w:rPr>
      </w:pPr>
      <w:r>
        <w:rPr>
          <w:rFonts w:hint="eastAsia" w:ascii="仿宋" w:hAnsi="仿宋" w:eastAsia="仿宋" w:cs="仿宋"/>
          <w:color w:val="000000" w:themeColor="text1"/>
          <w:kern w:val="2"/>
          <w:sz w:val="32"/>
          <w:szCs w:val="32"/>
          <w:lang w:val="en-US" w:eastAsia="zh-CN" w:bidi="ar-SA"/>
          <w14:textFill>
            <w14:solidFill>
              <w14:schemeClr w14:val="tx1"/>
            </w14:solidFill>
          </w14:textFill>
        </w:rPr>
        <w:t>1、加强农业从业人员培训，进一步提高工作人员业务能力。</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firstLine="640" w:firstLineChars="200"/>
        <w:jc w:val="both"/>
        <w:textAlignment w:val="auto"/>
        <w:outlineLvl w:val="9"/>
        <w:rPr>
          <w:rFonts w:hint="eastAsia" w:ascii="仿宋" w:hAnsi="仿宋" w:eastAsia="仿宋" w:cs="仿宋"/>
          <w:color w:val="000000" w:themeColor="text1"/>
          <w:kern w:val="2"/>
          <w:sz w:val="32"/>
          <w:szCs w:val="32"/>
          <w:lang w:val="en-US" w:eastAsia="zh-CN" w:bidi="ar-SA"/>
          <w14:textFill>
            <w14:solidFill>
              <w14:schemeClr w14:val="tx1"/>
            </w14:solidFill>
          </w14:textFill>
        </w:rPr>
      </w:pPr>
      <w:r>
        <w:rPr>
          <w:rFonts w:hint="eastAsia" w:ascii="仿宋" w:hAnsi="仿宋" w:eastAsia="仿宋" w:cs="仿宋"/>
          <w:color w:val="000000" w:themeColor="text1"/>
          <w:kern w:val="2"/>
          <w:sz w:val="32"/>
          <w:szCs w:val="32"/>
          <w:lang w:val="en-US" w:eastAsia="zh-CN" w:bidi="ar-SA"/>
          <w14:textFill>
            <w14:solidFill>
              <w14:schemeClr w14:val="tx1"/>
            </w14:solidFill>
          </w14:textFill>
        </w:rPr>
        <w:t>2、加大农业专项的投资力度，突出重点建设，确保效益持续发挥。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firstLine="640" w:firstLineChars="200"/>
        <w:jc w:val="both"/>
        <w:textAlignment w:val="auto"/>
        <w:outlineLvl w:val="9"/>
        <w:rPr>
          <w:rFonts w:hint="default" w:ascii="仿宋" w:hAnsi="仿宋" w:eastAsia="仿宋" w:cs="仿宋"/>
          <w:color w:val="000000" w:themeColor="text1"/>
          <w:kern w:val="2"/>
          <w:sz w:val="32"/>
          <w:szCs w:val="32"/>
          <w:lang w:val="en-US" w:eastAsia="zh-CN" w:bidi="ar-SA"/>
          <w14:textFill>
            <w14:solidFill>
              <w14:schemeClr w14:val="tx1"/>
            </w14:solidFill>
          </w14:textFill>
        </w:rPr>
      </w:pPr>
      <w:r>
        <w:rPr>
          <w:rFonts w:hint="eastAsia" w:ascii="仿宋" w:hAnsi="仿宋" w:eastAsia="仿宋" w:cs="仿宋"/>
          <w:color w:val="000000" w:themeColor="text1"/>
          <w:kern w:val="2"/>
          <w:sz w:val="32"/>
          <w:szCs w:val="32"/>
          <w:lang w:val="en-US" w:eastAsia="zh-CN" w:bidi="ar-SA"/>
          <w14:textFill>
            <w14:solidFill>
              <w14:schemeClr w14:val="tx1"/>
            </w14:solidFill>
          </w14:textFill>
        </w:rPr>
        <w:t>3、建立健全农业相关制度机制。</w:t>
      </w:r>
    </w:p>
    <w:p>
      <w:pPr>
        <w:spacing w:line="600" w:lineRule="exact"/>
        <w:ind w:firstLine="640" w:firstLineChars="200"/>
        <w:rPr>
          <w:rFonts w:eastAsia="黑体"/>
          <w:color w:val="000000" w:themeColor="text1"/>
          <w:sz w:val="32"/>
          <w:szCs w:val="32"/>
          <w14:textFill>
            <w14:solidFill>
              <w14:schemeClr w14:val="tx1"/>
            </w14:solidFill>
          </w14:textFill>
        </w:rPr>
      </w:pPr>
      <w:r>
        <w:rPr>
          <w:rFonts w:eastAsia="黑体"/>
          <w:color w:val="000000" w:themeColor="text1"/>
          <w:sz w:val="32"/>
          <w:szCs w:val="32"/>
          <w14:textFill>
            <w14:solidFill>
              <w14:schemeClr w14:val="tx1"/>
            </w14:solidFill>
          </w14:textFill>
        </w:rPr>
        <w:t>七、其他需要说明的问题</w:t>
      </w:r>
    </w:p>
    <w:p>
      <w:pPr>
        <w:widowControl/>
        <w:spacing w:line="600" w:lineRule="exact"/>
        <w:ind w:firstLine="640" w:firstLineChars="200"/>
        <w:jc w:val="left"/>
        <w:rPr>
          <w:rFonts w:eastAsia="黑体"/>
          <w:color w:val="000000" w:themeColor="text1"/>
          <w:sz w:val="32"/>
          <w:szCs w:val="32"/>
          <w14:textFill>
            <w14:solidFill>
              <w14:schemeClr w14:val="tx1"/>
            </w14:solidFill>
          </w14:textFill>
        </w:rPr>
      </w:pPr>
      <w:r>
        <w:rPr>
          <w:rFonts w:hint="eastAsia" w:eastAsia="黑体"/>
          <w:color w:val="000000" w:themeColor="text1"/>
          <w:sz w:val="32"/>
          <w:szCs w:val="32"/>
          <w:lang w:eastAsia="zh-CN"/>
          <w14:textFill>
            <w14:solidFill>
              <w14:schemeClr w14:val="tx1"/>
            </w14:solidFill>
          </w14:textFill>
        </w:rPr>
        <w:t>无</w:t>
      </w:r>
      <w:r>
        <w:rPr>
          <w:rFonts w:eastAsia="黑体"/>
          <w:color w:val="000000" w:themeColor="text1"/>
          <w:sz w:val="32"/>
          <w:szCs w:val="32"/>
          <w14:textFill>
            <w14:solidFill>
              <w14:schemeClr w14:val="tx1"/>
            </w14:solidFill>
          </w14:textFill>
        </w:rPr>
        <w:t xml:space="preserve">    </w:t>
      </w:r>
    </w:p>
    <w:p>
      <w:pPr>
        <w:widowControl/>
        <w:spacing w:line="600" w:lineRule="exact"/>
        <w:jc w:val="left"/>
        <w:rPr>
          <w:rFonts w:eastAsia="黑体"/>
          <w:color w:val="000000" w:themeColor="text1"/>
          <w:sz w:val="32"/>
          <w:szCs w:val="32"/>
          <w14:textFill>
            <w14:solidFill>
              <w14:schemeClr w14:val="tx1"/>
            </w14:solidFill>
          </w14:textFill>
        </w:rPr>
      </w:pPr>
    </w:p>
    <w:p>
      <w:pPr>
        <w:widowControl/>
        <w:spacing w:line="600" w:lineRule="exact"/>
        <w:ind w:firstLine="645"/>
        <w:jc w:val="left"/>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报告应包括以下附件：</w:t>
      </w:r>
    </w:p>
    <w:p>
      <w:pPr>
        <w:widowControl/>
        <w:spacing w:line="600" w:lineRule="exact"/>
        <w:ind w:firstLine="645"/>
        <w:jc w:val="left"/>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1、绩效评价基础数据汇总表</w:t>
      </w:r>
    </w:p>
    <w:p>
      <w:pPr>
        <w:widowControl/>
        <w:spacing w:line="600" w:lineRule="exact"/>
        <w:ind w:firstLine="645"/>
        <w:jc w:val="left"/>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2、绩效评价指标评分表</w:t>
      </w:r>
    </w:p>
    <w:p>
      <w:pPr>
        <w:adjustRightInd w:val="0"/>
        <w:snapToGrid w:val="0"/>
        <w:spacing w:line="600" w:lineRule="exact"/>
        <w:rPr>
          <w:color w:val="000000" w:themeColor="text1"/>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6D6F60"/>
    <w:multiLevelType w:val="singleLevel"/>
    <w:tmpl w:val="1C6D6F60"/>
    <w:lvl w:ilvl="0" w:tentative="0">
      <w:start w:val="1"/>
      <w:numFmt w:val="chineseCounting"/>
      <w:suff w:val="nothing"/>
      <w:lvlText w:val="%1、"/>
      <w:lvlJc w:val="left"/>
      <w:rPr>
        <w:rFonts w:hint="eastAsia"/>
      </w:rPr>
    </w:lvl>
  </w:abstractNum>
  <w:abstractNum w:abstractNumId="1">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2">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3">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4">
    <w:nsid w:val="731F8632"/>
    <w:multiLevelType w:val="singleLevel"/>
    <w:tmpl w:val="731F8632"/>
    <w:lvl w:ilvl="0" w:tentative="0">
      <w:start w:val="5"/>
      <w:numFmt w:val="chineseCounting"/>
      <w:suff w:val="nothing"/>
      <w:lvlText w:val="%1、"/>
      <w:lvlJc w:val="left"/>
      <w:rPr>
        <w:rFonts w:hint="eastAsia"/>
      </w:rPr>
    </w:lvl>
  </w:abstractNum>
  <w:abstractNum w:abstractNumId="5">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0"/>
  </w:num>
  <w:num w:numId="2">
    <w:abstractNumId w:val="4"/>
  </w:num>
  <w:num w:numId="3">
    <w:abstractNumId w:val="2"/>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5A1"/>
    <w:rsid w:val="000000A5"/>
    <w:rsid w:val="00022046"/>
    <w:rsid w:val="000B0765"/>
    <w:rsid w:val="000B57BC"/>
    <w:rsid w:val="00162440"/>
    <w:rsid w:val="00174EEF"/>
    <w:rsid w:val="001A127E"/>
    <w:rsid w:val="002558F7"/>
    <w:rsid w:val="002968B4"/>
    <w:rsid w:val="0031755D"/>
    <w:rsid w:val="003711D0"/>
    <w:rsid w:val="00377767"/>
    <w:rsid w:val="00377A33"/>
    <w:rsid w:val="003E5114"/>
    <w:rsid w:val="00426627"/>
    <w:rsid w:val="005833DD"/>
    <w:rsid w:val="00595424"/>
    <w:rsid w:val="00614437"/>
    <w:rsid w:val="00624B4A"/>
    <w:rsid w:val="006370F0"/>
    <w:rsid w:val="006811E5"/>
    <w:rsid w:val="007B54D9"/>
    <w:rsid w:val="00887C00"/>
    <w:rsid w:val="008A4834"/>
    <w:rsid w:val="008D7141"/>
    <w:rsid w:val="00980DBB"/>
    <w:rsid w:val="009D4AE4"/>
    <w:rsid w:val="00A045A1"/>
    <w:rsid w:val="00A070E1"/>
    <w:rsid w:val="00A317C9"/>
    <w:rsid w:val="00A34413"/>
    <w:rsid w:val="00A75C37"/>
    <w:rsid w:val="00AA700A"/>
    <w:rsid w:val="00B364CE"/>
    <w:rsid w:val="00BB6107"/>
    <w:rsid w:val="00BD1C3A"/>
    <w:rsid w:val="00C25716"/>
    <w:rsid w:val="00C3391C"/>
    <w:rsid w:val="00C344EC"/>
    <w:rsid w:val="00C72139"/>
    <w:rsid w:val="00CC4C2C"/>
    <w:rsid w:val="00CD20A2"/>
    <w:rsid w:val="00D10324"/>
    <w:rsid w:val="00E127F9"/>
    <w:rsid w:val="00E50869"/>
    <w:rsid w:val="00F359AA"/>
    <w:rsid w:val="00FC7FE9"/>
    <w:rsid w:val="02A20A6C"/>
    <w:rsid w:val="059E3120"/>
    <w:rsid w:val="063346A0"/>
    <w:rsid w:val="0B934D3F"/>
    <w:rsid w:val="0D8F4F43"/>
    <w:rsid w:val="0DD20649"/>
    <w:rsid w:val="0E2B6E86"/>
    <w:rsid w:val="1019575D"/>
    <w:rsid w:val="12167B20"/>
    <w:rsid w:val="128762BF"/>
    <w:rsid w:val="18593A22"/>
    <w:rsid w:val="191B1C56"/>
    <w:rsid w:val="1B9847AE"/>
    <w:rsid w:val="1C4A08A7"/>
    <w:rsid w:val="1CFE617F"/>
    <w:rsid w:val="1F8E429B"/>
    <w:rsid w:val="22735457"/>
    <w:rsid w:val="26CC47F4"/>
    <w:rsid w:val="28052E1F"/>
    <w:rsid w:val="2BD752A5"/>
    <w:rsid w:val="2BDF4E4B"/>
    <w:rsid w:val="2D63202D"/>
    <w:rsid w:val="3642293C"/>
    <w:rsid w:val="390D778F"/>
    <w:rsid w:val="3B610599"/>
    <w:rsid w:val="3C583A67"/>
    <w:rsid w:val="40B84B84"/>
    <w:rsid w:val="41086B06"/>
    <w:rsid w:val="45B04BC2"/>
    <w:rsid w:val="4A5F6F45"/>
    <w:rsid w:val="4BED6B89"/>
    <w:rsid w:val="4C2F2E6C"/>
    <w:rsid w:val="4F5D2A84"/>
    <w:rsid w:val="4F6E41CD"/>
    <w:rsid w:val="4FF01992"/>
    <w:rsid w:val="506B118C"/>
    <w:rsid w:val="51144EAB"/>
    <w:rsid w:val="5140616E"/>
    <w:rsid w:val="514C6372"/>
    <w:rsid w:val="519E272C"/>
    <w:rsid w:val="565F611D"/>
    <w:rsid w:val="59B77DEB"/>
    <w:rsid w:val="59D456F1"/>
    <w:rsid w:val="5A740926"/>
    <w:rsid w:val="5C0A1C33"/>
    <w:rsid w:val="5DA76284"/>
    <w:rsid w:val="64C41DB0"/>
    <w:rsid w:val="66174245"/>
    <w:rsid w:val="66AC4541"/>
    <w:rsid w:val="674C6480"/>
    <w:rsid w:val="69132632"/>
    <w:rsid w:val="699027BF"/>
    <w:rsid w:val="6DBC6CD4"/>
    <w:rsid w:val="719F7700"/>
    <w:rsid w:val="72CE0BB4"/>
    <w:rsid w:val="73CA1C7B"/>
    <w:rsid w:val="750E6F10"/>
    <w:rsid w:val="793344A0"/>
    <w:rsid w:val="798A1DFA"/>
    <w:rsid w:val="7AE11585"/>
    <w:rsid w:val="7B625F2F"/>
    <w:rsid w:val="7E343D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unhideWhenUsed/>
    <w:qFormat/>
    <w:uiPriority w:val="0"/>
    <w:pPr>
      <w:outlineLvl w:val="3"/>
    </w:pPr>
    <w:rPr>
      <w:rFonts w:asciiTheme="minorHAnsi" w:hAnsiTheme="minorHAnsi" w:eastAsiaTheme="minorEastAsia" w:cstheme="minorBidi"/>
      <w:bCs/>
      <w:szCs w:val="28"/>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8">
    <w:name w:val="页眉 Char"/>
    <w:basedOn w:val="7"/>
    <w:link w:val="4"/>
    <w:semiHidden/>
    <w:qFormat/>
    <w:uiPriority w:val="99"/>
    <w:rPr>
      <w:sz w:val="18"/>
      <w:szCs w:val="18"/>
    </w:rPr>
  </w:style>
  <w:style w:type="character" w:customStyle="1" w:styleId="9">
    <w:name w:val="页脚 Char"/>
    <w:basedOn w:val="7"/>
    <w:link w:val="3"/>
    <w:semiHidden/>
    <w:qFormat/>
    <w:uiPriority w:val="99"/>
    <w:rPr>
      <w:sz w:val="18"/>
      <w:szCs w:val="18"/>
    </w:rPr>
  </w:style>
  <w:style w:type="paragraph" w:styleId="10">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1291</Words>
  <Characters>7361</Characters>
  <Lines>61</Lines>
  <Paragraphs>17</Paragraphs>
  <TotalTime>1</TotalTime>
  <ScaleCrop>false</ScaleCrop>
  <LinksUpToDate>false</LinksUpToDate>
  <CharactersWithSpaces>8635</CharactersWithSpaces>
  <Application>WPS Office_11.3.0.8586_F1E327BC-269C-435d-A152-05C5408002CA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沛</cp:lastModifiedBy>
  <cp:lastPrinted>2020-06-24T02:12:00Z</cp:lastPrinted>
  <dcterms:modified xsi:type="dcterms:W3CDTF">2020-02-01T05:37:56Z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2052-11.3.0.8586</vt:lpwstr>
  </property>
</Properties>
</file>