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hint="eastAsia" w:ascii="仿宋_GB2312" w:eastAsia="仿宋_GB2312"/>
                <w:b/>
                <w:bCs/>
                <w:szCs w:val="21"/>
              </w:rPr>
            </w:pPr>
            <w:r>
              <w:rPr>
                <w:rFonts w:hint="eastAsia" w:ascii="仿宋_GB2312" w:eastAsia="仿宋_GB2312"/>
                <w:b/>
                <w:bCs/>
                <w:szCs w:val="21"/>
              </w:rPr>
              <w:t>自评分</w:t>
            </w:r>
          </w:p>
          <w:p>
            <w:pPr>
              <w:ind w:left="105" w:leftChars="50" w:right="105" w:rightChars="50"/>
              <w:jc w:val="center"/>
              <w:rPr>
                <w:rFonts w:hint="default" w:ascii="仿宋_GB2312" w:eastAsia="仿宋_GB2312"/>
                <w:b/>
                <w:bCs/>
                <w:szCs w:val="21"/>
                <w:lang w:val="en-US" w:eastAsia="zh-CN"/>
              </w:rPr>
            </w:pPr>
            <w:r>
              <w:rPr>
                <w:rFonts w:hint="eastAsia" w:ascii="仿宋_GB2312" w:eastAsia="仿宋_GB2312"/>
                <w:b/>
                <w:bCs/>
                <w:szCs w:val="21"/>
                <w:lang w:val="en-US" w:eastAsia="zh-CN"/>
              </w:rPr>
              <w:t>87分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val="en-US" w:eastAsia="zh-CN"/>
        </w:rPr>
        <w:t>鹤城区工商联</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9</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ind w:firstLine="420" w:firstLineChars="200"/>
              <w:jc w:val="center"/>
              <w:rPr>
                <w:rFonts w:hint="default" w:ascii="仿宋" w:hAnsi="仿宋" w:eastAsia="仿宋"/>
                <w:lang w:val="en-US" w:eastAsia="zh-CN"/>
              </w:rPr>
            </w:pPr>
            <w:r>
              <w:rPr>
                <w:rFonts w:hint="eastAsia" w:ascii="仿宋" w:hAnsi="仿宋" w:eastAsia="仿宋"/>
                <w:lang w:val="en-US" w:eastAsia="zh-CN"/>
              </w:rPr>
              <w:t>13266.00</w:t>
            </w:r>
          </w:p>
        </w:tc>
        <w:tc>
          <w:tcPr>
            <w:tcW w:w="2292" w:type="dxa"/>
            <w:tcBorders>
              <w:top w:val="single" w:color="000000" w:sz="4" w:space="0"/>
              <w:left w:val="nil"/>
              <w:bottom w:val="single" w:color="000000" w:sz="4" w:space="0"/>
              <w:right w:val="single" w:color="000000" w:sz="4" w:space="0"/>
            </w:tcBorders>
          </w:tcPr>
          <w:p>
            <w:pPr>
              <w:spacing w:line="440" w:lineRule="exact"/>
              <w:ind w:firstLine="630" w:firstLineChars="300"/>
              <w:jc w:val="center"/>
              <w:rPr>
                <w:rFonts w:hint="default" w:ascii="仿宋" w:hAnsi="仿宋" w:eastAsia="仿宋"/>
                <w:lang w:val="en-US" w:eastAsia="zh-CN"/>
              </w:rPr>
            </w:pPr>
            <w:r>
              <w:rPr>
                <w:rFonts w:hint="eastAsia" w:ascii="仿宋" w:hAnsi="仿宋" w:eastAsia="仿宋"/>
                <w:lang w:val="en-US" w:eastAsia="zh-CN"/>
              </w:rPr>
              <w:t>46000.00</w:t>
            </w:r>
          </w:p>
        </w:tc>
        <w:tc>
          <w:tcPr>
            <w:tcW w:w="2244" w:type="dxa"/>
            <w:tcBorders>
              <w:top w:val="single" w:color="000000" w:sz="4" w:space="0"/>
              <w:left w:val="nil"/>
              <w:bottom w:val="single" w:color="000000" w:sz="4" w:space="0"/>
              <w:right w:val="single" w:color="000000" w:sz="4" w:space="0"/>
            </w:tcBorders>
          </w:tcPr>
          <w:p>
            <w:pPr>
              <w:spacing w:line="440" w:lineRule="exact"/>
              <w:ind w:firstLine="420" w:firstLineChars="200"/>
              <w:jc w:val="center"/>
              <w:rPr>
                <w:rFonts w:hint="default" w:ascii="仿宋" w:hAnsi="仿宋" w:eastAsia="仿宋"/>
                <w:lang w:val="en-US" w:eastAsia="zh-CN"/>
              </w:rPr>
            </w:pPr>
            <w:r>
              <w:rPr>
                <w:rFonts w:hint="eastAsia" w:ascii="仿宋" w:hAnsi="仿宋" w:eastAsia="仿宋"/>
                <w:lang w:val="en-US" w:eastAsia="zh-CN"/>
              </w:rPr>
              <w:t>16000.00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13266.00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16000.00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357037.25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320000.00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319198.03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127506.75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130000.00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130706.03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23850.5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60000.00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59290.00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205680.00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130000.00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129202.00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keepNext w:val="0"/>
        <w:keepLines w:val="0"/>
        <w:pageBreakBefore w:val="0"/>
        <w:widowControl/>
        <w:kinsoku/>
        <w:wordWrap/>
        <w:autoSpaceDE/>
        <w:autoSpaceDN/>
        <w:bidi w:val="0"/>
        <w:adjustRightInd/>
        <w:snapToGrid/>
        <w:spacing w:line="580" w:lineRule="exact"/>
        <w:ind w:left="0"/>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keepNext w:val="0"/>
        <w:keepLines w:val="0"/>
        <w:pageBreakBefore w:val="0"/>
        <w:widowControl/>
        <w:kinsoku/>
        <w:wordWrap/>
        <w:autoSpaceDE/>
        <w:autoSpaceDN/>
        <w:bidi w:val="0"/>
        <w:adjustRightInd/>
        <w:snapToGrid/>
        <w:spacing w:line="580" w:lineRule="exact"/>
        <w:ind w:left="0"/>
        <w:jc w:val="center"/>
        <w:rPr>
          <w:rFonts w:hint="eastAsia" w:ascii="黑体" w:hAnsi="黑体" w:eastAsia="黑体" w:cs="黑体"/>
          <w:kern w:val="0"/>
          <w:sz w:val="44"/>
          <w:szCs w:val="44"/>
          <w:lang w:val="en-US" w:eastAsia="zh-CN"/>
        </w:rPr>
      </w:pPr>
      <w:r>
        <w:rPr>
          <w:rFonts w:hint="eastAsia" w:ascii="黑体" w:hAnsi="黑体" w:eastAsia="黑体" w:cs="黑体"/>
          <w:kern w:val="0"/>
          <w:sz w:val="44"/>
          <w:szCs w:val="44"/>
          <w:lang w:val="en-US" w:eastAsia="zh-CN"/>
        </w:rPr>
        <w:t>鹤城区工商联</w:t>
      </w:r>
    </w:p>
    <w:p>
      <w:pPr>
        <w:keepNext w:val="0"/>
        <w:keepLines w:val="0"/>
        <w:pageBreakBefore w:val="0"/>
        <w:kinsoku/>
        <w:wordWrap/>
        <w:autoSpaceDE/>
        <w:autoSpaceDN/>
        <w:bidi w:val="0"/>
        <w:adjustRightInd/>
        <w:snapToGrid/>
        <w:spacing w:line="580" w:lineRule="exact"/>
        <w:ind w:left="0"/>
        <w:jc w:val="center"/>
        <w:rPr>
          <w:rFonts w:hint="eastAsia" w:ascii="黑体" w:hAnsi="黑体" w:eastAsia="黑体" w:cs="黑体"/>
          <w:sz w:val="44"/>
          <w:szCs w:val="44"/>
        </w:rPr>
      </w:pPr>
      <w:r>
        <w:rPr>
          <w:rFonts w:hint="eastAsia" w:ascii="黑体" w:hAnsi="黑体" w:eastAsia="黑体" w:cs="黑体"/>
          <w:sz w:val="44"/>
          <w:szCs w:val="44"/>
          <w:lang w:val="en-US" w:eastAsia="zh-CN"/>
        </w:rPr>
        <w:t>2019年</w:t>
      </w:r>
      <w:r>
        <w:rPr>
          <w:rFonts w:hint="eastAsia" w:ascii="黑体" w:hAnsi="黑体" w:eastAsia="黑体" w:cs="黑体"/>
          <w:sz w:val="44"/>
          <w:szCs w:val="44"/>
        </w:rPr>
        <w:t>部门整体支出绩效评价报告</w:t>
      </w:r>
    </w:p>
    <w:p>
      <w:pPr>
        <w:keepNext w:val="0"/>
        <w:keepLines w:val="0"/>
        <w:pageBreakBefore w:val="0"/>
        <w:kinsoku/>
        <w:wordWrap/>
        <w:autoSpaceDE/>
        <w:autoSpaceDN/>
        <w:bidi w:val="0"/>
        <w:adjustRightInd/>
        <w:snapToGrid/>
        <w:spacing w:line="580" w:lineRule="exact"/>
        <w:ind w:left="0"/>
        <w:jc w:val="center"/>
        <w:rPr>
          <w:rFonts w:eastAsia="方正小标宋_GBK"/>
          <w:sz w:val="36"/>
          <w:szCs w:val="36"/>
        </w:rPr>
      </w:pPr>
    </w:p>
    <w:p>
      <w:pPr>
        <w:pStyle w:val="4"/>
        <w:keepNext w:val="0"/>
        <w:keepLines w:val="0"/>
        <w:pageBreakBefore w:val="0"/>
        <w:widowControl/>
        <w:shd w:val="clear" w:color="auto" w:fill="FFFFFF"/>
        <w:kinsoku/>
        <w:wordWrap/>
        <w:autoSpaceDE/>
        <w:autoSpaceDN/>
        <w:bidi w:val="0"/>
        <w:adjustRightInd/>
        <w:snapToGrid/>
        <w:spacing w:line="580" w:lineRule="exact"/>
        <w:ind w:left="0" w:firstLine="774" w:firstLineChars="242"/>
        <w:rPr>
          <w:rFonts w:hint="eastAsia" w:ascii="仿宋" w:hAnsi="仿宋" w:eastAsia="仿宋" w:cs="仿宋"/>
          <w:sz w:val="32"/>
          <w:szCs w:val="32"/>
        </w:rPr>
      </w:pPr>
      <w:r>
        <w:rPr>
          <w:rFonts w:hint="eastAsia" w:ascii="仿宋" w:hAnsi="仿宋" w:eastAsia="仿宋" w:cs="仿宋"/>
          <w:color w:val="000000"/>
          <w:kern w:val="21"/>
          <w:sz w:val="32"/>
          <w:szCs w:val="32"/>
          <w:shd w:val="clear" w:color="auto" w:fill="FFFFFF"/>
        </w:rPr>
        <w:t>为进一步规范财政资金管理，树立决算绩效理念，强化支出责任，提高财政资金使用效益，认真组织开展了2019年度工商联部门决算绩效自评工作，现将我联2019年度部门整体支出绩效评价情况报告如下：</w:t>
      </w:r>
    </w:p>
    <w:p>
      <w:pPr>
        <w:pStyle w:val="9"/>
        <w:keepNext w:val="0"/>
        <w:keepLines w:val="0"/>
        <w:pageBreakBefore w:val="0"/>
        <w:widowControl/>
        <w:numPr>
          <w:numId w:val="0"/>
        </w:numPr>
        <w:kinsoku/>
        <w:wordWrap/>
        <w:autoSpaceDE/>
        <w:autoSpaceDN/>
        <w:bidi w:val="0"/>
        <w:adjustRightInd/>
        <w:snapToGrid/>
        <w:spacing w:line="580" w:lineRule="exact"/>
        <w:ind w:leftChars="0" w:firstLine="640" w:firstLineChars="200"/>
        <w:rPr>
          <w:rFonts w:ascii="Times New Roman" w:hAnsi="Times New Roman" w:eastAsia="黑体"/>
          <w:sz w:val="32"/>
          <w:szCs w:val="32"/>
        </w:rPr>
      </w:pPr>
      <w:r>
        <w:rPr>
          <w:rFonts w:hint="eastAsia" w:ascii="Times New Roman" w:hAnsi="Times New Roman" w:eastAsia="黑体"/>
          <w:sz w:val="32"/>
          <w:szCs w:val="32"/>
          <w:lang w:val="en-US" w:eastAsia="zh-CN"/>
        </w:rPr>
        <w:t>一、</w:t>
      </w:r>
      <w:r>
        <w:rPr>
          <w:rFonts w:ascii="Times New Roman" w:hAnsi="Times New Roman" w:eastAsia="黑体"/>
          <w:sz w:val="32"/>
          <w:szCs w:val="32"/>
        </w:rPr>
        <w:t>部门、单位基本情况</w:t>
      </w:r>
    </w:p>
    <w:p>
      <w:pPr>
        <w:pStyle w:val="9"/>
        <w:keepNext w:val="0"/>
        <w:keepLines w:val="0"/>
        <w:pageBreakBefore w:val="0"/>
        <w:widowControl/>
        <w:numPr>
          <w:numId w:val="0"/>
        </w:numPr>
        <w:kinsoku/>
        <w:wordWrap/>
        <w:autoSpaceDE/>
        <w:autoSpaceDN/>
        <w:bidi w:val="0"/>
        <w:adjustRightInd/>
        <w:snapToGrid/>
        <w:spacing w:line="580" w:lineRule="exact"/>
        <w:ind w:left="0" w:firstLine="643" w:firstLineChars="200"/>
        <w:rPr>
          <w:rFonts w:hint="eastAsia" w:ascii="仿宋" w:hAnsi="仿宋" w:eastAsia="仿宋" w:cs="仿宋"/>
          <w:lang w:eastAsia="zh-CN"/>
        </w:rPr>
      </w:pPr>
      <w:r>
        <w:rPr>
          <w:rFonts w:hint="eastAsia" w:ascii="Times New Roman" w:hAnsi="Times New Roman" w:eastAsia="仿宋_GB2312" w:cs="Times New Roman"/>
          <w:b/>
          <w:bCs/>
          <w:kern w:val="2"/>
          <w:sz w:val="32"/>
          <w:szCs w:val="32"/>
          <w:lang w:val="en-US" w:eastAsia="zh-CN" w:bidi="ar-SA"/>
        </w:rPr>
        <w:t>机构和人数：</w:t>
      </w:r>
      <w:r>
        <w:rPr>
          <w:rFonts w:hint="eastAsia" w:ascii="仿宋" w:hAnsi="仿宋" w:eastAsia="仿宋" w:cs="仿宋"/>
          <w:color w:val="000000"/>
          <w:kern w:val="21"/>
          <w:sz w:val="31"/>
          <w:szCs w:val="31"/>
          <w:shd w:val="clear" w:color="auto" w:fill="FFFFFF"/>
        </w:rPr>
        <w:t>区工商联</w:t>
      </w:r>
      <w:r>
        <w:rPr>
          <w:rFonts w:hint="eastAsia" w:ascii="仿宋" w:hAnsi="仿宋" w:eastAsia="仿宋" w:cs="仿宋"/>
          <w:sz w:val="32"/>
          <w:szCs w:val="32"/>
        </w:rPr>
        <w:t>作为一级部门预算单位</w:t>
      </w:r>
      <w:r>
        <w:rPr>
          <w:rFonts w:hint="eastAsia" w:ascii="仿宋" w:hAnsi="仿宋" w:eastAsia="仿宋" w:cs="仿宋"/>
          <w:color w:val="000000"/>
          <w:kern w:val="21"/>
          <w:sz w:val="31"/>
          <w:szCs w:val="31"/>
          <w:shd w:val="clear" w:color="auto" w:fill="FFFFFF"/>
        </w:rPr>
        <w:t>内设三个职能股室：1.办公室、</w:t>
      </w:r>
      <w:r>
        <w:rPr>
          <w:rFonts w:hint="eastAsia" w:ascii="仿宋" w:hAnsi="仿宋" w:eastAsia="仿宋" w:cs="仿宋"/>
          <w:kern w:val="0"/>
          <w:sz w:val="32"/>
          <w:szCs w:val="32"/>
        </w:rPr>
        <w:t>2.会员发展股、 3.会员维权股</w:t>
      </w:r>
      <w:r>
        <w:rPr>
          <w:rFonts w:hint="eastAsia" w:ascii="仿宋" w:hAnsi="仿宋" w:eastAsia="仿宋" w:cs="仿宋"/>
          <w:color w:val="000000"/>
          <w:kern w:val="21"/>
          <w:sz w:val="31"/>
          <w:szCs w:val="31"/>
          <w:shd w:val="clear" w:color="auto" w:fill="FFFFFF"/>
        </w:rPr>
        <w:t>。我联现有在职人员 9 人，退休人员 4 人。根据区政府机构改革“三定”方案;我联编制为10 个，其中行政编 5 个、事业编 5 个</w:t>
      </w:r>
      <w:r>
        <w:rPr>
          <w:rFonts w:hint="eastAsia" w:ascii="仿宋" w:hAnsi="仿宋" w:eastAsia="仿宋" w:cs="仿宋"/>
          <w:color w:val="000000"/>
          <w:kern w:val="21"/>
          <w:sz w:val="31"/>
          <w:szCs w:val="31"/>
          <w:shd w:val="clear" w:color="auto" w:fill="FFFFFF"/>
          <w:lang w:eastAsia="zh-CN"/>
        </w:rPr>
        <w:t>，</w:t>
      </w:r>
      <w:r>
        <w:rPr>
          <w:rFonts w:hint="eastAsia" w:ascii="仿宋" w:hAnsi="仿宋" w:eastAsia="仿宋" w:cs="仿宋"/>
          <w:sz w:val="32"/>
          <w:szCs w:val="32"/>
        </w:rPr>
        <w:t>财政供应人员控制率</w:t>
      </w:r>
      <w:r>
        <w:rPr>
          <w:rFonts w:hint="eastAsia" w:ascii="仿宋" w:hAnsi="仿宋" w:eastAsia="仿宋" w:cs="仿宋"/>
          <w:sz w:val="32"/>
          <w:szCs w:val="32"/>
          <w:lang w:val="en-US" w:eastAsia="zh-CN"/>
        </w:rPr>
        <w:t>90</w:t>
      </w:r>
      <w:r>
        <w:rPr>
          <w:rFonts w:hint="eastAsia" w:ascii="仿宋" w:hAnsi="仿宋" w:eastAsia="仿宋" w:cs="仿宋"/>
          <w:sz w:val="32"/>
          <w:szCs w:val="32"/>
        </w:rPr>
        <w:t>%，未超过编制，控制较好。</w:t>
      </w:r>
    </w:p>
    <w:p>
      <w:pPr>
        <w:keepNext w:val="0"/>
        <w:keepLines w:val="0"/>
        <w:pageBreakBefore w:val="0"/>
        <w:kinsoku/>
        <w:wordWrap/>
        <w:overflowPunct w:val="0"/>
        <w:topLinePunct/>
        <w:autoSpaceDE/>
        <w:autoSpaceDN/>
        <w:bidi w:val="0"/>
        <w:adjustRightInd/>
        <w:snapToGrid/>
        <w:spacing w:line="580" w:lineRule="exact"/>
        <w:ind w:left="0" w:firstLine="643" w:firstLineChars="200"/>
        <w:textAlignment w:val="baseline"/>
      </w:pPr>
      <w:r>
        <w:rPr>
          <w:rFonts w:hint="eastAsia" w:ascii="仿宋" w:hAnsi="仿宋" w:eastAsia="仿宋" w:cs="仿宋"/>
          <w:b/>
          <w:bCs/>
          <w:color w:val="000000"/>
          <w:kern w:val="21"/>
          <w:sz w:val="32"/>
          <w:szCs w:val="32"/>
          <w:shd w:val="clear" w:color="auto" w:fill="FFFFFF"/>
        </w:rPr>
        <w:t>部门职能职责</w:t>
      </w:r>
      <w:r>
        <w:rPr>
          <w:rFonts w:ascii="仿宋_GB2312" w:hAnsi="仿宋_GB2312"/>
          <w:color w:val="000000"/>
          <w:kern w:val="21"/>
          <w:sz w:val="31"/>
          <w:szCs w:val="31"/>
          <w:shd w:val="clear" w:color="auto" w:fill="FFFFFF"/>
        </w:rPr>
        <w:t>：</w:t>
      </w:r>
    </w:p>
    <w:p>
      <w:pPr>
        <w:keepNext w:val="0"/>
        <w:keepLines w:val="0"/>
        <w:pageBreakBefore w:val="0"/>
        <w:widowControl/>
        <w:kinsoku/>
        <w:wordWrap/>
        <w:autoSpaceDE/>
        <w:autoSpaceDN/>
        <w:bidi w:val="0"/>
        <w:adjustRightInd/>
        <w:snapToGrid/>
        <w:spacing w:line="580" w:lineRule="exact"/>
        <w:ind w:left="0"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1.办公室。负责机关日常运转工作。</w:t>
      </w:r>
    </w:p>
    <w:p>
      <w:pPr>
        <w:keepNext w:val="0"/>
        <w:keepLines w:val="0"/>
        <w:pageBreakBefore w:val="0"/>
        <w:widowControl/>
        <w:kinsoku/>
        <w:wordWrap/>
        <w:autoSpaceDE/>
        <w:autoSpaceDN/>
        <w:bidi w:val="0"/>
        <w:adjustRightInd/>
        <w:snapToGrid/>
        <w:spacing w:line="580" w:lineRule="exact"/>
        <w:ind w:left="0"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2.会员发展股，参与政治协商， 发挥民主监督作用，积极参政议政:负责会员发展。管理和服务工作:原办区工商联换届的具体组织工作和届中的常。抗委调整工作:负责区工商联领导班子和领导机构中的非公有制经济代表人士的日常联系:协助做好区工商联领导机构人选的推荐、考察;负责区工商联执委人选的推荐、考察、呈报工作;加强和改进非公有制经济人士思想政治工作;促进行业协会商会改革发展;协助做好非公有制经济代表人士政治安排的其他有关工作.</w:t>
      </w:r>
    </w:p>
    <w:p>
      <w:pPr>
        <w:keepNext w:val="0"/>
        <w:keepLines w:val="0"/>
        <w:pageBreakBefore w:val="0"/>
        <w:widowControl/>
        <w:kinsoku/>
        <w:wordWrap/>
        <w:autoSpaceDE/>
        <w:autoSpaceDN/>
        <w:bidi w:val="0"/>
        <w:adjustRightInd/>
        <w:snapToGrid/>
        <w:spacing w:line="580" w:lineRule="exact"/>
        <w:ind w:left="0"/>
        <w:rPr>
          <w:rFonts w:hint="eastAsia" w:ascii="仿宋" w:hAnsi="仿宋" w:eastAsia="仿宋" w:cs="仿宋"/>
          <w:kern w:val="0"/>
          <w:sz w:val="32"/>
          <w:szCs w:val="32"/>
        </w:rPr>
      </w:pPr>
      <w:r>
        <w:rPr>
          <w:rFonts w:hint="eastAsia" w:ascii="仿宋" w:hAnsi="仿宋" w:eastAsia="仿宋" w:cs="仿宋"/>
          <w:kern w:val="0"/>
          <w:sz w:val="32"/>
          <w:szCs w:val="32"/>
        </w:rPr>
        <w:t xml:space="preserve">     3.会员维权股。协助政府管理和服务非公有制经济;负责会员信息资料的收集、整理和统计工作，建设会员信息库;指导乡镇商会、经济类行业协会、异地商会的规范化管理;组织商协会和非公企业相互或对外联系交流，增进非公经济人士的联谊沟通;引导非公有制企业和非公有制经济人士依法诚信经营，了解反映非公有制企业和非公有制经济人士诉求，帮助其依法维护合法权益，推动各种所有制经济依法平等使用生产要素、公开公平公正参与市场竞争、同等受到法律保护，促进权利平等、机会平等、规则平等，参与经济纠纷的调解、仲裁;参与协调劳动关系，协同社会治理，促进社会和谐稳定;依法加强会产管理、经营和保护:实施政策咨询、法律提助、走访慰问、信息传递等服务，加大非公经济人士的关爱力度。</w:t>
      </w:r>
    </w:p>
    <w:p>
      <w:pPr>
        <w:pStyle w:val="9"/>
        <w:keepNext w:val="0"/>
        <w:keepLines w:val="0"/>
        <w:pageBreakBefore w:val="0"/>
        <w:widowControl/>
        <w:kinsoku/>
        <w:wordWrap/>
        <w:autoSpaceDE/>
        <w:autoSpaceDN/>
        <w:bidi w:val="0"/>
        <w:adjustRightInd/>
        <w:snapToGrid/>
        <w:spacing w:line="580" w:lineRule="exact"/>
        <w:ind w:left="0" w:leftChars="0" w:firstLine="361" w:firstLineChars="100"/>
        <w:rPr>
          <w:rFonts w:hint="default" w:ascii="仿宋" w:hAnsi="仿宋" w:eastAsia="仿宋" w:cs="仿宋"/>
          <w:b/>
          <w:bCs/>
          <w:sz w:val="32"/>
          <w:szCs w:val="32"/>
          <w:lang w:val="en-US" w:eastAsia="zh-CN"/>
        </w:rPr>
      </w:pPr>
      <w:r>
        <w:rPr>
          <w:rFonts w:hint="eastAsia" w:ascii="仿宋" w:hAnsi="仿宋" w:eastAsia="仿宋" w:cs="仿宋"/>
          <w:b/>
          <w:bCs/>
          <w:sz w:val="36"/>
          <w:szCs w:val="36"/>
        </w:rPr>
        <w:t xml:space="preserve"> </w:t>
      </w:r>
      <w:r>
        <w:rPr>
          <w:rFonts w:hint="eastAsia" w:ascii="黑体" w:hAnsi="黑体" w:eastAsia="黑体" w:cs="黑体"/>
          <w:b w:val="0"/>
          <w:bCs w:val="0"/>
          <w:sz w:val="32"/>
          <w:szCs w:val="32"/>
        </w:rPr>
        <w:t>二、一般公共预算支出情况</w:t>
      </w:r>
      <w:r>
        <w:rPr>
          <w:rFonts w:hint="eastAsia" w:ascii="黑体" w:hAnsi="黑体" w:eastAsia="黑体" w:cs="黑体"/>
          <w:b w:val="0"/>
          <w:bCs w:val="0"/>
          <w:sz w:val="32"/>
          <w:szCs w:val="32"/>
          <w:lang w:eastAsia="zh-CN"/>
        </w:rPr>
        <w:t>：</w:t>
      </w:r>
      <w:r>
        <w:rPr>
          <w:rFonts w:hint="eastAsia" w:ascii="仿宋" w:hAnsi="仿宋" w:eastAsia="仿宋" w:cs="仿宋"/>
          <w:b/>
          <w:bCs/>
          <w:sz w:val="36"/>
          <w:szCs w:val="36"/>
          <w:lang w:val="en-US" w:eastAsia="zh-CN"/>
        </w:rPr>
        <w:t xml:space="preserve"> </w:t>
      </w:r>
    </w:p>
    <w:p>
      <w:pPr>
        <w:pStyle w:val="9"/>
        <w:keepNext w:val="0"/>
        <w:keepLines w:val="0"/>
        <w:pageBreakBefore w:val="0"/>
        <w:widowControl/>
        <w:kinsoku/>
        <w:wordWrap/>
        <w:autoSpaceDE/>
        <w:autoSpaceDN/>
        <w:bidi w:val="0"/>
        <w:adjustRightInd/>
        <w:snapToGrid/>
        <w:spacing w:line="580" w:lineRule="exact"/>
        <w:ind w:left="0" w:firstLine="0" w:firstLineChars="0"/>
        <w:rPr>
          <w:rFonts w:hint="eastAsia" w:ascii="仿宋" w:hAnsi="仿宋" w:eastAsia="仿宋" w:cs="仿宋"/>
          <w:sz w:val="32"/>
          <w:szCs w:val="32"/>
        </w:rPr>
      </w:pPr>
      <w:r>
        <w:rPr>
          <w:rFonts w:hint="eastAsia" w:ascii="仿宋" w:hAnsi="仿宋" w:eastAsia="仿宋" w:cs="仿宋"/>
          <w:color w:val="000000"/>
          <w:kern w:val="21"/>
          <w:sz w:val="32"/>
          <w:szCs w:val="32"/>
          <w:shd w:val="clear" w:color="auto" w:fill="FFFFFF"/>
        </w:rPr>
        <w:t xml:space="preserve"> </w:t>
      </w:r>
      <w:r>
        <w:rPr>
          <w:rFonts w:hint="eastAsia" w:ascii="仿宋" w:hAnsi="仿宋" w:eastAsia="仿宋" w:cs="仿宋"/>
          <w:color w:val="000000"/>
          <w:kern w:val="21"/>
          <w:sz w:val="32"/>
          <w:szCs w:val="32"/>
          <w:shd w:val="clear" w:color="auto" w:fill="FFFFFF"/>
          <w:lang w:val="en-US" w:eastAsia="zh-CN"/>
        </w:rPr>
        <w:t xml:space="preserve">  </w:t>
      </w:r>
      <w:r>
        <w:rPr>
          <w:rFonts w:hint="eastAsia" w:ascii="仿宋" w:hAnsi="仿宋" w:eastAsia="仿宋" w:cs="仿宋"/>
          <w:color w:val="000000"/>
          <w:kern w:val="21"/>
          <w:sz w:val="32"/>
          <w:szCs w:val="32"/>
          <w:shd w:val="clear" w:color="auto" w:fill="FFFFFF"/>
        </w:rPr>
        <w:t>收入决算：2019年度年初决数173.41万元，其中：工商联部门预算收入中没有非税收入项目，全部来源于预算内拨款，决算收入完成率100%。支出决算：2019年年决算数173.41万元，其中：基本支出142.41万元，项目支出31万元。预算支出完成率100%</w:t>
      </w:r>
    </w:p>
    <w:p>
      <w:pPr>
        <w:pStyle w:val="9"/>
        <w:keepNext w:val="0"/>
        <w:keepLines w:val="0"/>
        <w:pageBreakBefore w:val="0"/>
        <w:widowControl/>
        <w:kinsoku/>
        <w:wordWrap/>
        <w:autoSpaceDE/>
        <w:autoSpaceDN/>
        <w:bidi w:val="0"/>
        <w:adjustRightInd/>
        <w:snapToGrid/>
        <w:spacing w:line="580" w:lineRule="exact"/>
        <w:rPr>
          <w:rFonts w:hint="eastAsia" w:ascii="仿宋" w:hAnsi="仿宋" w:eastAsia="仿宋" w:cs="仿宋"/>
          <w:sz w:val="32"/>
          <w:szCs w:val="32"/>
          <w:lang w:eastAsia="zh-CN"/>
        </w:rPr>
      </w:pPr>
      <w:r>
        <w:rPr>
          <w:rFonts w:hint="eastAsia" w:ascii="仿宋" w:hAnsi="仿宋" w:eastAsia="仿宋" w:cs="仿宋"/>
          <w:sz w:val="32"/>
          <w:szCs w:val="32"/>
        </w:rPr>
        <w:t>（一）基本支出情况</w:t>
      </w:r>
      <w:r>
        <w:rPr>
          <w:rFonts w:hint="eastAsia" w:ascii="仿宋" w:hAnsi="仿宋" w:eastAsia="仿宋" w:cs="仿宋"/>
          <w:sz w:val="32"/>
          <w:szCs w:val="32"/>
          <w:lang w:eastAsia="zh-CN"/>
        </w:rPr>
        <w:t>：</w:t>
      </w:r>
    </w:p>
    <w:p>
      <w:pPr>
        <w:keepNext w:val="0"/>
        <w:keepLines w:val="0"/>
        <w:pageBreakBefore w:val="0"/>
        <w:widowControl/>
        <w:kinsoku/>
        <w:wordWrap/>
        <w:autoSpaceDE/>
        <w:autoSpaceDN/>
        <w:bidi w:val="0"/>
        <w:adjustRightInd/>
        <w:snapToGrid/>
        <w:spacing w:line="580" w:lineRule="exact"/>
        <w:ind w:left="0" w:firstLine="640" w:firstLineChars="200"/>
        <w:jc w:val="left"/>
        <w:rPr>
          <w:rFonts w:hint="eastAsia" w:eastAsia="仿宋_GB2312"/>
          <w:sz w:val="32"/>
          <w:szCs w:val="32"/>
        </w:rPr>
      </w:pPr>
      <w:r>
        <w:rPr>
          <w:rFonts w:hint="eastAsia" w:eastAsia="仿宋_GB2312"/>
          <w:sz w:val="32"/>
          <w:szCs w:val="32"/>
        </w:rPr>
        <w:t>2019年基本支出</w:t>
      </w:r>
      <w:r>
        <w:rPr>
          <w:rFonts w:hint="eastAsia" w:eastAsia="仿宋_GB2312"/>
          <w:sz w:val="32"/>
          <w:szCs w:val="32"/>
          <w:lang w:val="en-US" w:eastAsia="zh-CN"/>
        </w:rPr>
        <w:t>142.41</w:t>
      </w:r>
      <w:r>
        <w:rPr>
          <w:rFonts w:hint="eastAsia" w:eastAsia="仿宋_GB2312"/>
          <w:sz w:val="32"/>
          <w:szCs w:val="32"/>
        </w:rPr>
        <w:t>万元 ，具体包括：</w:t>
      </w:r>
    </w:p>
    <w:p>
      <w:pPr>
        <w:keepNext w:val="0"/>
        <w:keepLines w:val="0"/>
        <w:pageBreakBefore w:val="0"/>
        <w:widowControl/>
        <w:kinsoku/>
        <w:wordWrap/>
        <w:autoSpaceDE/>
        <w:autoSpaceDN/>
        <w:bidi w:val="0"/>
        <w:adjustRightInd/>
        <w:snapToGrid/>
        <w:spacing w:line="580" w:lineRule="exact"/>
        <w:ind w:left="0" w:firstLine="600" w:firstLineChars="200"/>
        <w:jc w:val="left"/>
        <w:rPr>
          <w:rFonts w:hint="eastAsia" w:ascii="仿宋" w:hAnsi="仿宋" w:eastAsia="仿宋" w:cs="仿宋"/>
          <w:sz w:val="32"/>
          <w:szCs w:val="32"/>
        </w:rPr>
      </w:pPr>
      <w:r>
        <w:rPr>
          <w:rFonts w:hint="eastAsia" w:ascii="仿宋" w:hAnsi="仿宋" w:eastAsia="仿宋" w:cs="仿宋"/>
          <w:w w:val="94"/>
          <w:sz w:val="32"/>
          <w:szCs w:val="32"/>
        </w:rPr>
        <w:t>1、工资福利支出</w:t>
      </w:r>
      <w:r>
        <w:rPr>
          <w:rFonts w:hint="eastAsia" w:ascii="仿宋" w:hAnsi="仿宋" w:eastAsia="仿宋" w:cs="仿宋"/>
          <w:w w:val="94"/>
          <w:sz w:val="32"/>
          <w:szCs w:val="32"/>
          <w:lang w:val="en-US" w:eastAsia="zh-CN"/>
        </w:rPr>
        <w:t>90.67</w:t>
      </w:r>
      <w:r>
        <w:rPr>
          <w:rFonts w:hint="eastAsia" w:ascii="仿宋" w:hAnsi="仿宋" w:eastAsia="仿宋" w:cs="仿宋"/>
          <w:w w:val="94"/>
          <w:sz w:val="32"/>
          <w:szCs w:val="32"/>
        </w:rPr>
        <w:t>万元。主要包括在职人员工资、津贴补贴、政策规定奖金、</w:t>
      </w:r>
      <w:r>
        <w:rPr>
          <w:rFonts w:hint="eastAsia" w:ascii="仿宋" w:hAnsi="仿宋" w:eastAsia="仿宋" w:cs="仿宋"/>
          <w:w w:val="94"/>
          <w:sz w:val="32"/>
          <w:szCs w:val="32"/>
          <w:lang w:eastAsia="zh-CN"/>
        </w:rPr>
        <w:t>伙食补助费</w:t>
      </w:r>
      <w:r>
        <w:rPr>
          <w:rFonts w:hint="eastAsia" w:ascii="仿宋" w:hAnsi="仿宋" w:eastAsia="仿宋" w:cs="仿宋"/>
          <w:w w:val="94"/>
          <w:sz w:val="32"/>
          <w:szCs w:val="32"/>
        </w:rPr>
        <w:t>、其他社会保障缴费等支出。</w:t>
      </w:r>
    </w:p>
    <w:p>
      <w:pPr>
        <w:keepNext w:val="0"/>
        <w:keepLines w:val="0"/>
        <w:pageBreakBefore w:val="0"/>
        <w:widowControl/>
        <w:kinsoku/>
        <w:wordWrap/>
        <w:autoSpaceDE/>
        <w:autoSpaceDN/>
        <w:bidi w:val="0"/>
        <w:adjustRightInd/>
        <w:snapToGrid/>
        <w:spacing w:line="580" w:lineRule="exact"/>
        <w:ind w:left="0" w:firstLine="640" w:firstLineChars="200"/>
        <w:jc w:val="left"/>
        <w:rPr>
          <w:rFonts w:hint="eastAsia" w:ascii="仿宋" w:hAnsi="仿宋" w:eastAsia="仿宋" w:cs="仿宋"/>
          <w:sz w:val="32"/>
          <w:szCs w:val="32"/>
        </w:rPr>
      </w:pPr>
      <w:r>
        <w:rPr>
          <w:rFonts w:hint="eastAsia" w:ascii="仿宋" w:hAnsi="仿宋" w:eastAsia="仿宋" w:cs="仿宋"/>
          <w:sz w:val="32"/>
          <w:szCs w:val="32"/>
        </w:rPr>
        <w:t>2、一般商品和服务支出</w:t>
      </w:r>
      <w:r>
        <w:rPr>
          <w:rFonts w:hint="eastAsia" w:ascii="仿宋" w:hAnsi="仿宋" w:eastAsia="仿宋" w:cs="仿宋"/>
          <w:sz w:val="32"/>
          <w:szCs w:val="32"/>
          <w:lang w:val="en-US" w:eastAsia="zh-CN"/>
        </w:rPr>
        <w:t>36.82</w:t>
      </w:r>
      <w:r>
        <w:rPr>
          <w:rFonts w:hint="eastAsia" w:ascii="仿宋" w:hAnsi="仿宋" w:eastAsia="仿宋" w:cs="仿宋"/>
          <w:sz w:val="32"/>
          <w:szCs w:val="32"/>
        </w:rPr>
        <w:t>万元。包括日常运行正常办公经费、水费、</w:t>
      </w:r>
      <w:r>
        <w:rPr>
          <w:rFonts w:hint="eastAsia" w:ascii="仿宋" w:hAnsi="仿宋" w:eastAsia="仿宋" w:cs="仿宋"/>
          <w:sz w:val="32"/>
          <w:szCs w:val="32"/>
          <w:lang w:eastAsia="zh-CN"/>
        </w:rPr>
        <w:t>电费、</w:t>
      </w:r>
      <w:r>
        <w:rPr>
          <w:rFonts w:hint="eastAsia" w:ascii="仿宋" w:hAnsi="仿宋" w:eastAsia="仿宋" w:cs="仿宋"/>
          <w:sz w:val="32"/>
          <w:szCs w:val="32"/>
        </w:rPr>
        <w:t>邮电费、差旅费、</w:t>
      </w:r>
      <w:r>
        <w:rPr>
          <w:rFonts w:hint="eastAsia" w:ascii="仿宋" w:hAnsi="仿宋" w:eastAsia="仿宋" w:cs="仿宋"/>
          <w:sz w:val="32"/>
          <w:szCs w:val="32"/>
          <w:lang w:eastAsia="zh-CN"/>
        </w:rPr>
        <w:t>专用材料费、工会经费、</w:t>
      </w:r>
      <w:r>
        <w:rPr>
          <w:rFonts w:hint="eastAsia" w:ascii="仿宋" w:hAnsi="仿宋" w:eastAsia="仿宋" w:cs="仿宋"/>
          <w:sz w:val="32"/>
          <w:szCs w:val="32"/>
        </w:rPr>
        <w:t>其他交通费及其他商品服务支出等。</w:t>
      </w:r>
    </w:p>
    <w:p>
      <w:pPr>
        <w:keepNext w:val="0"/>
        <w:keepLines w:val="0"/>
        <w:pageBreakBefore w:val="0"/>
        <w:widowControl/>
        <w:kinsoku/>
        <w:wordWrap/>
        <w:autoSpaceDE/>
        <w:autoSpaceDN/>
        <w:bidi w:val="0"/>
        <w:adjustRightInd/>
        <w:snapToGrid/>
        <w:spacing w:line="580" w:lineRule="exact"/>
        <w:ind w:left="0" w:firstLine="640" w:firstLineChars="200"/>
        <w:jc w:val="left"/>
        <w:rPr>
          <w:rFonts w:hint="eastAsia" w:ascii="仿宋" w:hAnsi="仿宋" w:eastAsia="仿宋" w:cs="仿宋"/>
          <w:sz w:val="32"/>
          <w:szCs w:val="32"/>
        </w:rPr>
      </w:pPr>
      <w:r>
        <w:rPr>
          <w:rFonts w:hint="eastAsia" w:ascii="仿宋" w:hAnsi="仿宋" w:eastAsia="仿宋" w:cs="仿宋"/>
          <w:sz w:val="32"/>
          <w:szCs w:val="32"/>
        </w:rPr>
        <w:t>“三公”经费方面。公务接待费实际开支</w:t>
      </w:r>
      <w:r>
        <w:rPr>
          <w:rFonts w:hint="eastAsia" w:ascii="仿宋" w:hAnsi="仿宋" w:eastAsia="仿宋" w:cs="仿宋"/>
          <w:sz w:val="32"/>
          <w:szCs w:val="32"/>
          <w:lang w:val="en-US" w:eastAsia="zh-CN"/>
        </w:rPr>
        <w:t>1.6</w:t>
      </w:r>
      <w:r>
        <w:rPr>
          <w:rFonts w:hint="eastAsia" w:ascii="仿宋" w:hAnsi="仿宋" w:eastAsia="仿宋" w:cs="仿宋"/>
          <w:sz w:val="32"/>
          <w:szCs w:val="32"/>
        </w:rPr>
        <w:t>万元，</w:t>
      </w:r>
      <w:r>
        <w:rPr>
          <w:rFonts w:hint="eastAsia" w:ascii="仿宋" w:hAnsi="仿宋" w:eastAsia="仿宋" w:cs="仿宋"/>
          <w:sz w:val="32"/>
          <w:szCs w:val="32"/>
          <w:lang w:val="en-US" w:eastAsia="zh-CN"/>
        </w:rPr>
        <w:t>厉行节约</w:t>
      </w:r>
      <w:r>
        <w:rPr>
          <w:rFonts w:hint="eastAsia" w:ascii="仿宋" w:hAnsi="仿宋" w:eastAsia="仿宋" w:cs="仿宋"/>
          <w:color w:val="000000"/>
          <w:kern w:val="21"/>
          <w:sz w:val="31"/>
          <w:szCs w:val="31"/>
          <w:shd w:val="clear" w:color="auto" w:fill="FFFFFF"/>
        </w:rPr>
        <w:t>取得了良好效果</w:t>
      </w:r>
      <w:r>
        <w:rPr>
          <w:rFonts w:hint="eastAsia" w:ascii="仿宋" w:hAnsi="仿宋" w:eastAsia="仿宋" w:cs="仿宋"/>
          <w:sz w:val="32"/>
          <w:szCs w:val="32"/>
        </w:rPr>
        <w:t>；车辆运行费实际开支</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b w:val="0"/>
          <w:bCs w:val="0"/>
          <w:color w:val="000000"/>
          <w:kern w:val="21"/>
          <w:sz w:val="32"/>
          <w:szCs w:val="32"/>
          <w:shd w:val="clear" w:color="auto" w:fill="FFFFFF"/>
        </w:rPr>
        <w:t>无公务用车运行维护费</w:t>
      </w:r>
      <w:r>
        <w:rPr>
          <w:rFonts w:hint="eastAsia" w:ascii="仿宋" w:hAnsi="仿宋" w:eastAsia="仿宋" w:cs="仿宋"/>
          <w:sz w:val="32"/>
          <w:szCs w:val="32"/>
        </w:rPr>
        <w:t>；无任何出国出境考察开支。</w:t>
      </w:r>
    </w:p>
    <w:p>
      <w:pPr>
        <w:keepNext w:val="0"/>
        <w:keepLines w:val="0"/>
        <w:pageBreakBefore w:val="0"/>
        <w:widowControl/>
        <w:kinsoku/>
        <w:wordWrap/>
        <w:autoSpaceDE/>
        <w:autoSpaceDN/>
        <w:bidi w:val="0"/>
        <w:adjustRightInd/>
        <w:snapToGrid/>
        <w:spacing w:line="580" w:lineRule="exact"/>
        <w:ind w:left="0" w:firstLine="640" w:firstLineChars="200"/>
        <w:jc w:val="left"/>
        <w:rPr>
          <w:rFonts w:hint="eastAsia" w:ascii="仿宋" w:hAnsi="仿宋" w:eastAsia="仿宋" w:cs="仿宋"/>
          <w:sz w:val="32"/>
          <w:szCs w:val="32"/>
        </w:rPr>
      </w:pPr>
      <w:r>
        <w:rPr>
          <w:rFonts w:hint="eastAsia" w:ascii="仿宋" w:hAnsi="仿宋" w:eastAsia="仿宋" w:cs="仿宋"/>
          <w:sz w:val="32"/>
          <w:szCs w:val="32"/>
        </w:rPr>
        <w:t>会议费、培训费。会议费开支</w:t>
      </w:r>
      <w:r>
        <w:rPr>
          <w:rFonts w:hint="eastAsia" w:ascii="仿宋" w:hAnsi="仿宋" w:eastAsia="仿宋" w:cs="仿宋"/>
          <w:sz w:val="32"/>
          <w:szCs w:val="32"/>
          <w:lang w:val="en-US" w:eastAsia="zh-CN"/>
        </w:rPr>
        <w:t>12.92</w:t>
      </w:r>
      <w:r>
        <w:rPr>
          <w:rFonts w:hint="eastAsia" w:ascii="仿宋" w:hAnsi="仿宋" w:eastAsia="仿宋" w:cs="仿宋"/>
          <w:sz w:val="32"/>
          <w:szCs w:val="32"/>
        </w:rPr>
        <w:t>万元，培训费</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pPr>
        <w:keepNext w:val="0"/>
        <w:keepLines w:val="0"/>
        <w:pageBreakBefore w:val="0"/>
        <w:widowControl/>
        <w:kinsoku/>
        <w:wordWrap/>
        <w:autoSpaceDE/>
        <w:autoSpaceDN/>
        <w:bidi w:val="0"/>
        <w:adjustRightInd/>
        <w:snapToGrid/>
        <w:spacing w:line="580" w:lineRule="exact"/>
        <w:ind w:left="0" w:firstLine="640" w:firstLineChars="200"/>
        <w:jc w:val="left"/>
        <w:rPr>
          <w:rFonts w:hint="eastAsia" w:ascii="仿宋" w:hAnsi="仿宋" w:eastAsia="仿宋" w:cs="仿宋"/>
          <w:sz w:val="32"/>
          <w:szCs w:val="32"/>
        </w:rPr>
      </w:pPr>
      <w:r>
        <w:rPr>
          <w:rFonts w:hint="eastAsia" w:ascii="仿宋" w:hAnsi="仿宋" w:eastAsia="仿宋" w:cs="仿宋"/>
          <w:sz w:val="32"/>
          <w:szCs w:val="32"/>
        </w:rPr>
        <w:t>3、对个人和家庭补助支出</w:t>
      </w:r>
      <w:r>
        <w:rPr>
          <w:rFonts w:hint="eastAsia" w:ascii="仿宋" w:hAnsi="仿宋" w:eastAsia="仿宋" w:cs="仿宋"/>
          <w:sz w:val="32"/>
          <w:szCs w:val="32"/>
          <w:lang w:val="en-US" w:eastAsia="zh-CN"/>
        </w:rPr>
        <w:t>0.4</w:t>
      </w:r>
      <w:r>
        <w:rPr>
          <w:rFonts w:hint="eastAsia" w:ascii="仿宋" w:hAnsi="仿宋" w:eastAsia="仿宋" w:cs="仿宋"/>
          <w:sz w:val="32"/>
          <w:szCs w:val="32"/>
        </w:rPr>
        <w:t>万元。主要包括退休人员春节一次性生活补助费等支出。</w:t>
      </w:r>
    </w:p>
    <w:p>
      <w:pPr>
        <w:pStyle w:val="9"/>
        <w:keepNext w:val="0"/>
        <w:keepLines w:val="0"/>
        <w:pageBreakBefore w:val="0"/>
        <w:widowControl/>
        <w:kinsoku/>
        <w:wordWrap/>
        <w:autoSpaceDE/>
        <w:autoSpaceDN/>
        <w:bidi w:val="0"/>
        <w:adjustRightInd/>
        <w:snapToGrid/>
        <w:spacing w:line="58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（二）项目支出情况</w:t>
      </w:r>
    </w:p>
    <w:p>
      <w:pPr>
        <w:pStyle w:val="9"/>
        <w:keepNext w:val="0"/>
        <w:keepLines w:val="0"/>
        <w:pageBreakBefore w:val="0"/>
        <w:widowControl/>
        <w:kinsoku/>
        <w:wordWrap/>
        <w:autoSpaceDE/>
        <w:autoSpaceDN/>
        <w:bidi w:val="0"/>
        <w:adjustRightInd/>
        <w:snapToGrid/>
        <w:spacing w:line="580" w:lineRule="exact"/>
        <w:ind w:left="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2019年年初预算数为31万元，主要用于招商引资会同有关部门组织筹备各项招商引资活动，协助相关部门归集和发布相关招商信息，参与重大项目的招商  制推介和对接讨论，合同相关职能部门优化营商环境。另外用于工商联事务加强和改进非公有制经济人士思想政治工作；参与政治协商，发挥民主监督作用，积极参政议政；协助政府管理和服务非公有制经济；促进行业协会商会改革发展；参与协调劳动关系、协同社会管理、促进社会和谐稳定；反映非公有制企业和非公有制经济人士利益诉求，维护其合法权益，参与经济纠纷调解及仲裁。</w:t>
      </w:r>
    </w:p>
    <w:p>
      <w:pPr>
        <w:pStyle w:val="9"/>
        <w:widowControl/>
        <w:numPr>
          <w:ilvl w:val="0"/>
          <w:numId w:val="0"/>
        </w:numPr>
        <w:spacing w:line="600" w:lineRule="exact"/>
        <w:ind w:left="640" w:leftChars="0"/>
        <w:rPr>
          <w:rFonts w:hint="eastAsia" w:ascii="Times New Roman" w:hAnsi="Times New Roman" w:eastAsia="黑体"/>
          <w:sz w:val="32"/>
          <w:szCs w:val="32"/>
          <w:lang w:eastAsia="zh-CN"/>
        </w:rPr>
      </w:pPr>
    </w:p>
    <w:p>
      <w:pPr>
        <w:pStyle w:val="9"/>
        <w:widowControl/>
        <w:numPr>
          <w:ilvl w:val="0"/>
          <w:numId w:val="0"/>
        </w:numPr>
        <w:spacing w:line="600" w:lineRule="exact"/>
        <w:ind w:left="640" w:leftChars="0"/>
        <w:rPr>
          <w:rFonts w:hint="eastAsia" w:ascii="仿宋" w:hAnsi="仿宋" w:eastAsia="仿宋" w:cs="仿宋"/>
          <w:sz w:val="32"/>
          <w:szCs w:val="32"/>
          <w:lang w:eastAsia="zh-CN"/>
        </w:rPr>
      </w:pPr>
    </w:p>
    <w:p>
      <w:pPr>
        <w:pStyle w:val="4"/>
        <w:widowControl/>
        <w:shd w:val="clear" w:color="auto" w:fill="FFFFFF"/>
        <w:spacing w:line="450" w:lineRule="atLeast"/>
        <w:ind w:firstLine="774" w:firstLineChars="242"/>
        <w:rPr>
          <w:rFonts w:hint="eastAsia" w:ascii="仿宋" w:hAnsi="仿宋" w:eastAsia="仿宋" w:cs="仿宋"/>
          <w:sz w:val="32"/>
          <w:szCs w:val="32"/>
        </w:rPr>
      </w:pPr>
      <w:r>
        <w:rPr>
          <w:rFonts w:hint="eastAsia" w:ascii="仿宋" w:hAnsi="仿宋" w:eastAsia="仿宋" w:cs="仿宋"/>
          <w:color w:val="000000"/>
          <w:kern w:val="21"/>
          <w:sz w:val="32"/>
          <w:szCs w:val="32"/>
          <w:shd w:val="clear" w:color="auto" w:fill="FFFFFF"/>
        </w:rPr>
        <w:t>预决算公开：2019年，按照上级的要求，我联在政府网站上进行了预决算公开。</w:t>
      </w:r>
    </w:p>
    <w:p>
      <w:pPr>
        <w:pStyle w:val="4"/>
        <w:widowControl/>
        <w:shd w:val="clear" w:color="auto" w:fill="FFFFFF"/>
        <w:spacing w:line="450" w:lineRule="atLeast"/>
        <w:ind w:firstLine="774" w:firstLineChars="242"/>
        <w:rPr>
          <w:rFonts w:hint="eastAsia" w:ascii="仿宋" w:hAnsi="仿宋" w:eastAsia="仿宋" w:cs="仿宋"/>
          <w:sz w:val="32"/>
          <w:szCs w:val="32"/>
        </w:rPr>
      </w:pPr>
      <w:r>
        <w:rPr>
          <w:rFonts w:hint="eastAsia" w:ascii="仿宋" w:hAnsi="仿宋" w:eastAsia="仿宋" w:cs="仿宋"/>
          <w:color w:val="000000"/>
          <w:kern w:val="21"/>
          <w:sz w:val="32"/>
          <w:szCs w:val="32"/>
          <w:shd w:val="clear" w:color="auto" w:fill="FFFFFF"/>
        </w:rPr>
        <w:t>资产管理：我们进一步加强资产的管理，制定了《机关资产管理使用制度》等制度，明确了具体责任人，完善了固定资产档案，严格报批、销审等手续，做好资产登记工作，单位无任何资产流失现象。</w:t>
      </w:r>
    </w:p>
    <w:p>
      <w:pPr>
        <w:pStyle w:val="4"/>
        <w:widowControl/>
        <w:shd w:val="clear" w:color="auto" w:fill="FFFFFF"/>
        <w:spacing w:line="450" w:lineRule="atLeast"/>
        <w:ind w:firstLine="774" w:firstLineChars="242"/>
        <w:rPr>
          <w:rFonts w:hint="eastAsia" w:ascii="仿宋" w:hAnsi="仿宋" w:eastAsia="仿宋" w:cs="仿宋"/>
          <w:sz w:val="32"/>
          <w:szCs w:val="32"/>
        </w:rPr>
      </w:pPr>
      <w:r>
        <w:rPr>
          <w:rFonts w:hint="eastAsia" w:ascii="仿宋" w:hAnsi="仿宋" w:eastAsia="仿宋" w:cs="仿宋"/>
          <w:color w:val="000000"/>
          <w:kern w:val="21"/>
          <w:sz w:val="32"/>
          <w:szCs w:val="32"/>
          <w:shd w:val="clear" w:color="auto" w:fill="FFFFFF"/>
        </w:rPr>
        <w:t>三公经费控制情况：我联贯彻落实上级有关精神，严格控制“三公经费”支出，取得了良好效果。具体情况如下：2019年“三公”经费1.6万元，其中公务接待费为1.6万元，无公务用车运行维护费和因公出国（境）费用。</w:t>
      </w:r>
    </w:p>
    <w:p>
      <w:pPr>
        <w:pStyle w:val="4"/>
        <w:widowControl/>
        <w:shd w:val="clear" w:color="auto" w:fill="FFFFFF"/>
        <w:spacing w:line="450" w:lineRule="atLeast"/>
        <w:ind w:firstLine="774" w:firstLineChars="242"/>
        <w:rPr>
          <w:rFonts w:hint="eastAsia" w:ascii="仿宋" w:hAnsi="仿宋" w:eastAsia="仿宋" w:cs="仿宋"/>
          <w:sz w:val="32"/>
          <w:szCs w:val="32"/>
        </w:rPr>
      </w:pPr>
      <w:r>
        <w:rPr>
          <w:rFonts w:hint="eastAsia" w:ascii="仿宋" w:hAnsi="仿宋" w:eastAsia="仿宋" w:cs="仿宋"/>
          <w:color w:val="000000"/>
          <w:kern w:val="21"/>
          <w:sz w:val="32"/>
          <w:szCs w:val="32"/>
          <w:shd w:val="clear" w:color="auto" w:fill="FFFFFF"/>
        </w:rPr>
        <w:t>项目绩效总目标完成情况：2019年，我联民主党派工商联事务和招商引资等各项业务工作任务圆满完成。</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imes New Roman" w:hAnsi="Times New Roman" w:eastAsia="黑体"/>
          <w:sz w:val="32"/>
          <w:szCs w:val="32"/>
        </w:rPr>
      </w:pPr>
      <w:r>
        <w:rPr>
          <w:rFonts w:hint="eastAsia" w:ascii="Times New Roman" w:hAnsi="Times New Roman" w:eastAsia="仿宋_GB2312" w:cs="Times New Roman"/>
          <w:color w:val="auto"/>
          <w:kern w:val="2"/>
          <w:sz w:val="32"/>
          <w:szCs w:val="32"/>
          <w:lang w:val="en-US" w:eastAsia="zh-CN" w:bidi="ar-SA"/>
        </w:rPr>
        <w:t xml:space="preserve">鹤城区工商联2019年度无政府性基金收支。 </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ascii="Times New Roman" w:hAnsi="Times New Roman" w:eastAsia="黑体"/>
          <w:sz w:val="32"/>
          <w:szCs w:val="32"/>
        </w:rPr>
      </w:pPr>
      <w:r>
        <w:rPr>
          <w:rFonts w:hint="eastAsia" w:ascii="Times New Roman" w:hAnsi="Times New Roman" w:eastAsia="仿宋_GB2312" w:cs="Times New Roman"/>
          <w:color w:val="auto"/>
          <w:kern w:val="2"/>
          <w:sz w:val="32"/>
          <w:szCs w:val="32"/>
          <w:lang w:val="en-US" w:eastAsia="zh-CN" w:bidi="ar-SA"/>
        </w:rPr>
        <w:t xml:space="preserve">鹤城区工商联2019年度无国有资本经营收支。 </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10"/>
        <w:keepNext w:val="0"/>
        <w:keepLines w:val="0"/>
        <w:pageBreakBefore w:val="0"/>
        <w:widowControl w:val="0"/>
        <w:kinsoku/>
        <w:wordWrap/>
        <w:overflowPunct/>
        <w:topLinePunct w:val="0"/>
        <w:autoSpaceDE w:val="0"/>
        <w:autoSpaceDN w:val="0"/>
        <w:bidi w:val="0"/>
        <w:adjustRightInd w:val="0"/>
        <w:snapToGrid/>
        <w:ind w:firstLine="640" w:firstLineChars="200"/>
        <w:textAlignment w:val="auto"/>
        <w:rPr>
          <w:rFonts w:hint="eastAsia" w:ascii="仿宋" w:hAnsi="仿宋" w:eastAsia="仿宋" w:cs="仿宋"/>
          <w:i w:val="0"/>
          <w:iCs w:val="0"/>
          <w:sz w:val="32"/>
          <w:szCs w:val="32"/>
        </w:rPr>
      </w:pPr>
      <w:r>
        <w:rPr>
          <w:rFonts w:hint="eastAsia" w:ascii="仿宋" w:hAnsi="仿宋" w:eastAsia="仿宋" w:cs="仿宋"/>
          <w:i w:val="0"/>
          <w:iCs w:val="0"/>
          <w:color w:val="auto"/>
          <w:kern w:val="2"/>
          <w:sz w:val="32"/>
          <w:szCs w:val="32"/>
          <w:lang w:val="en-US" w:eastAsia="zh-CN" w:bidi="ar-SA"/>
        </w:rPr>
        <w:t xml:space="preserve">鹤城区工商联2019年度无社会保险基金收支。 </w:t>
      </w:r>
    </w:p>
    <w:p>
      <w:pPr>
        <w:widowControl/>
        <w:spacing w:line="600" w:lineRule="exact"/>
        <w:ind w:firstLine="645"/>
        <w:jc w:val="left"/>
        <w:rPr>
          <w:rFonts w:eastAsia="黑体"/>
          <w:i w:val="0"/>
          <w:iCs w:val="0"/>
          <w:sz w:val="32"/>
          <w:szCs w:val="32"/>
        </w:rPr>
      </w:pPr>
      <w:r>
        <w:rPr>
          <w:rFonts w:eastAsia="黑体"/>
          <w:i w:val="0"/>
          <w:iCs w:val="0"/>
          <w:sz w:val="32"/>
          <w:szCs w:val="32"/>
        </w:rPr>
        <w:t>六、部门整体支出绩效情况</w:t>
      </w:r>
    </w:p>
    <w:p>
      <w:pPr>
        <w:widowControl/>
        <w:spacing w:line="600" w:lineRule="exact"/>
        <w:ind w:firstLine="645"/>
        <w:jc w:val="left"/>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对照鹤财绩〔2020〕35号文件规定的考核指标，我</w:t>
      </w:r>
      <w:r>
        <w:rPr>
          <w:rFonts w:hint="eastAsia" w:eastAsia="仿宋_GB2312" w:cs="Times New Roman"/>
          <w:color w:val="auto"/>
          <w:kern w:val="2"/>
          <w:sz w:val="32"/>
          <w:szCs w:val="32"/>
          <w:lang w:val="en-US" w:eastAsia="zh-CN" w:bidi="ar-SA"/>
        </w:rPr>
        <w:t>联</w:t>
      </w:r>
      <w:r>
        <w:rPr>
          <w:rFonts w:hint="eastAsia" w:ascii="Times New Roman" w:hAnsi="Times New Roman" w:eastAsia="仿宋_GB2312" w:cs="Times New Roman"/>
          <w:color w:val="auto"/>
          <w:kern w:val="2"/>
          <w:sz w:val="32"/>
          <w:szCs w:val="32"/>
          <w:lang w:val="en-US" w:eastAsia="zh-CN" w:bidi="ar-SA"/>
        </w:rPr>
        <w:t>从经济性、效率性、有效性和可持续性等对2019年部门整体支出绩效开展了评价，自评得分</w:t>
      </w:r>
      <w:r>
        <w:rPr>
          <w:rFonts w:hint="eastAsia" w:eastAsia="仿宋_GB2312" w:cs="Times New Roman"/>
          <w:color w:val="auto"/>
          <w:kern w:val="2"/>
          <w:sz w:val="32"/>
          <w:szCs w:val="32"/>
          <w:lang w:val="en-US" w:eastAsia="zh-CN" w:bidi="ar-SA"/>
        </w:rPr>
        <w:t>87</w:t>
      </w:r>
      <w:r>
        <w:rPr>
          <w:rFonts w:hint="eastAsia" w:ascii="Times New Roman" w:hAnsi="Times New Roman" w:eastAsia="仿宋_GB2312" w:cs="Times New Roman"/>
          <w:color w:val="auto"/>
          <w:kern w:val="2"/>
          <w:sz w:val="32"/>
          <w:szCs w:val="32"/>
          <w:lang w:val="en-US" w:eastAsia="zh-CN" w:bidi="ar-SA"/>
        </w:rPr>
        <w:t>分，具体情况如下：</w:t>
      </w:r>
    </w:p>
    <w:p>
      <w:pPr>
        <w:widowControl/>
        <w:numPr>
          <w:ilvl w:val="0"/>
          <w:numId w:val="1"/>
        </w:numPr>
        <w:shd w:val="clear" w:color="auto" w:fill="FFFFFF"/>
        <w:spacing w:line="600" w:lineRule="atLeast"/>
        <w:ind w:firstLine="640"/>
        <w:rPr>
          <w:rFonts w:ascii="仿宋" w:hAnsi="仿宋" w:eastAsia="仿宋"/>
          <w:b/>
          <w:bCs/>
          <w:spacing w:val="-2"/>
          <w:sz w:val="32"/>
          <w:szCs w:val="32"/>
        </w:rPr>
      </w:pPr>
      <w:r>
        <w:rPr>
          <w:rFonts w:ascii="仿宋" w:hAnsi="仿宋" w:eastAsia="仿宋"/>
          <w:b/>
          <w:bCs/>
          <w:spacing w:val="-2"/>
          <w:sz w:val="32"/>
          <w:szCs w:val="32"/>
        </w:rPr>
        <w:t>经济性分析</w:t>
      </w:r>
    </w:p>
    <w:p>
      <w:pPr>
        <w:widowControl/>
        <w:spacing w:line="600" w:lineRule="exact"/>
        <w:ind w:firstLine="645"/>
        <w:jc w:val="left"/>
        <w:rPr>
          <w:rFonts w:hint="eastAsia" w:ascii="仿宋" w:hAnsi="仿宋" w:eastAsia="仿宋"/>
          <w:spacing w:val="-2"/>
          <w:sz w:val="32"/>
          <w:szCs w:val="32"/>
          <w:lang w:val="en-US" w:eastAsia="zh-CN"/>
        </w:rPr>
      </w:pPr>
      <w:r>
        <w:rPr>
          <w:rFonts w:hint="eastAsia" w:ascii="Times New Roman" w:hAnsi="Times New Roman" w:eastAsia="仿宋_GB2312" w:cs="Times New Roman"/>
          <w:color w:val="auto"/>
          <w:kern w:val="2"/>
          <w:sz w:val="32"/>
          <w:szCs w:val="32"/>
          <w:lang w:val="en-US" w:eastAsia="zh-CN" w:bidi="ar-SA"/>
        </w:rPr>
        <w:t xml:space="preserve"> </w:t>
      </w:r>
      <w:r>
        <w:rPr>
          <w:rFonts w:hint="eastAsia" w:eastAsia="仿宋_GB2312" w:cs="Times New Roman"/>
          <w:color w:val="auto"/>
          <w:kern w:val="2"/>
          <w:sz w:val="32"/>
          <w:szCs w:val="32"/>
          <w:lang w:val="en-US" w:eastAsia="zh-CN" w:bidi="ar-SA"/>
        </w:rPr>
        <w:t>从预算配置情况来看：</w:t>
      </w:r>
      <w:r>
        <w:rPr>
          <w:rFonts w:hint="eastAsia" w:ascii="Times New Roman" w:hAnsi="Times New Roman" w:eastAsia="仿宋_GB2312" w:cs="Times New Roman"/>
          <w:color w:val="auto"/>
          <w:kern w:val="2"/>
          <w:sz w:val="32"/>
          <w:szCs w:val="32"/>
          <w:lang w:val="en-US" w:eastAsia="zh-CN" w:bidi="ar-SA"/>
        </w:rPr>
        <w:t>2019年年初预算</w:t>
      </w:r>
      <w:r>
        <w:rPr>
          <w:rFonts w:ascii="仿宋_GB2312" w:hAnsi="Times New Roman"/>
          <w:color w:val="000000"/>
          <w:kern w:val="21"/>
          <w:sz w:val="31"/>
          <w:szCs w:val="31"/>
          <w:shd w:val="clear" w:color="auto" w:fill="FFFFFF"/>
        </w:rPr>
        <w:t>173.41</w:t>
      </w:r>
      <w:r>
        <w:rPr>
          <w:rFonts w:hint="eastAsia" w:ascii="Times New Roman" w:hAnsi="Times New Roman" w:eastAsia="仿宋_GB2312" w:cs="Times New Roman"/>
          <w:color w:val="auto"/>
          <w:kern w:val="2"/>
          <w:sz w:val="32"/>
          <w:szCs w:val="32"/>
          <w:lang w:val="en-US" w:eastAsia="zh-CN" w:bidi="ar-SA"/>
        </w:rPr>
        <w:t>万元，</w:t>
      </w:r>
      <w:r>
        <w:rPr>
          <w:rFonts w:hint="eastAsia" w:eastAsia="仿宋_GB2312" w:cs="Times New Roman"/>
          <w:color w:val="auto"/>
          <w:kern w:val="2"/>
          <w:sz w:val="32"/>
          <w:szCs w:val="32"/>
          <w:lang w:val="en-US" w:eastAsia="zh-CN" w:bidi="ar-SA"/>
        </w:rPr>
        <w:t>预算资金覆盖了民主党派工商联事务工作各方面的需求，能保证单位正常运转需要，通过科学分配、统筹协调，基本保证了人员经费支出和单位全年工商联工作任务的完成</w:t>
      </w:r>
      <w:r>
        <w:rPr>
          <w:rFonts w:hint="eastAsia" w:ascii="Times New Roman" w:hAnsi="Times New Roman" w:eastAsia="仿宋_GB2312" w:cs="Times New Roman"/>
          <w:color w:val="auto"/>
          <w:kern w:val="2"/>
          <w:sz w:val="32"/>
          <w:szCs w:val="32"/>
          <w:lang w:val="en-US" w:eastAsia="zh-CN" w:bidi="ar-SA"/>
        </w:rPr>
        <w:t>。</w:t>
      </w:r>
      <w:r>
        <w:rPr>
          <w:rFonts w:hint="eastAsia" w:ascii="仿宋" w:hAnsi="仿宋" w:eastAsia="仿宋"/>
          <w:spacing w:val="-2"/>
          <w:sz w:val="32"/>
          <w:szCs w:val="32"/>
        </w:rPr>
        <w:t xml:space="preserve"> </w:t>
      </w:r>
    </w:p>
    <w:p>
      <w:pPr>
        <w:widowControl/>
        <w:numPr>
          <w:ilvl w:val="0"/>
          <w:numId w:val="0"/>
        </w:numPr>
        <w:shd w:val="clear" w:color="auto" w:fill="FFFFFF"/>
        <w:tabs>
          <w:tab w:val="left" w:pos="1281"/>
        </w:tabs>
        <w:spacing w:line="600" w:lineRule="atLeast"/>
        <w:ind w:firstLine="622" w:firstLineChars="200"/>
        <w:rPr>
          <w:rFonts w:ascii="仿宋" w:hAnsi="仿宋" w:eastAsia="仿宋"/>
          <w:b/>
          <w:bCs/>
          <w:spacing w:val="-2"/>
          <w:sz w:val="32"/>
          <w:szCs w:val="32"/>
        </w:rPr>
      </w:pPr>
      <w:r>
        <w:rPr>
          <w:rFonts w:ascii="仿宋_GB2312" w:hAnsi="仿宋_GB2312"/>
          <w:b/>
          <w:bCs/>
          <w:color w:val="000000"/>
          <w:kern w:val="21"/>
          <w:sz w:val="31"/>
          <w:szCs w:val="31"/>
          <w:shd w:val="clear" w:color="auto" w:fill="FFFFFF"/>
        </w:rPr>
        <w:t>（二）</w:t>
      </w:r>
      <w:r>
        <w:rPr>
          <w:rFonts w:ascii="仿宋" w:hAnsi="仿宋" w:eastAsia="仿宋"/>
          <w:b/>
          <w:bCs/>
          <w:spacing w:val="-2"/>
          <w:sz w:val="32"/>
          <w:szCs w:val="32"/>
        </w:rPr>
        <w:t>效率性分析</w:t>
      </w:r>
    </w:p>
    <w:p>
      <w:pPr>
        <w:widowControl/>
        <w:autoSpaceDE w:val="0"/>
        <w:adjustRightInd w:val="0"/>
        <w:snapToGrid w:val="0"/>
        <w:spacing w:line="600" w:lineRule="exact"/>
        <w:ind w:firstLine="640" w:firstLineChars="200"/>
        <w:rPr>
          <w:rFonts w:hint="eastAsia" w:ascii="仿宋" w:hAnsi="仿宋" w:eastAsia="仿宋" w:cs="仿宋"/>
          <w:color w:val="0C0C0C"/>
          <w:sz w:val="32"/>
          <w:szCs w:val="32"/>
        </w:rPr>
      </w:pPr>
      <w:r>
        <w:rPr>
          <w:rFonts w:hint="eastAsia" w:ascii="仿宋" w:hAnsi="仿宋" w:eastAsia="仿宋" w:cs="仿宋"/>
          <w:color w:val="0C0C0C"/>
          <w:sz w:val="32"/>
          <w:szCs w:val="32"/>
        </w:rPr>
        <w:t>1、加强商会联谊交流。加强与异地商会的联系，加深与外县工商联之间的交往，今年以来，我联组织基层商协会赴长沙县、浏阳市、望城县、宁乡县等地学习考察，分别与宁乡县、望城县、长沙县工商联缔结友好工商联，并组织黄岩商会和长沙县黄兴商会缔结友好商会。</w:t>
      </w:r>
    </w:p>
    <w:p>
      <w:pPr>
        <w:widowControl/>
        <w:autoSpaceDE w:val="0"/>
        <w:adjustRightInd w:val="0"/>
        <w:snapToGrid w:val="0"/>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2、</w:t>
      </w:r>
      <w:r>
        <w:rPr>
          <w:rFonts w:hint="eastAsia" w:ascii="仿宋" w:hAnsi="仿宋" w:eastAsia="仿宋" w:cs="仿宋"/>
          <w:color w:val="000000"/>
          <w:sz w:val="32"/>
          <w:szCs w:val="32"/>
          <w:shd w:val="clear" w:color="auto" w:fill="FFFFFF"/>
        </w:rPr>
        <w:t>深入贯彻实施“创新引领、开放崛起”战略，加快推进“对接湘商会，建设新家乡”“迎老乡、回故乡、建家乡”等专项行动，</w:t>
      </w:r>
      <w:r>
        <w:rPr>
          <w:rFonts w:hint="eastAsia" w:ascii="仿宋" w:hAnsi="仿宋" w:eastAsia="仿宋" w:cs="仿宋"/>
          <w:color w:val="000000"/>
          <w:sz w:val="32"/>
          <w:szCs w:val="32"/>
        </w:rPr>
        <w:t>今年我联领导班子亲赴青岛商会、深圳商会等多地挖掘湘商资源，邀请了8名有实力、有号召力的企业来怀参加首届怀商大会。并邀请来怀客商代表们参观了解鹤城文旅产业发展优势，支持鹤城经济社会发展，促进我区“承接产业转移示范区”建设。</w:t>
      </w:r>
    </w:p>
    <w:p>
      <w:pPr>
        <w:widowControl/>
        <w:autoSpaceDE w:val="0"/>
        <w:adjustRightInd w:val="0"/>
        <w:snapToGrid w:val="0"/>
        <w:spacing w:line="600" w:lineRule="exact"/>
        <w:ind w:firstLine="643" w:firstLineChars="200"/>
        <w:rPr>
          <w:rFonts w:hint="eastAsia" w:ascii="仿宋" w:hAnsi="仿宋" w:eastAsia="仿宋" w:cs="仿宋"/>
          <w:b/>
          <w:bCs w:val="0"/>
          <w:color w:val="0C0C0C"/>
          <w:sz w:val="32"/>
          <w:szCs w:val="32"/>
        </w:rPr>
      </w:pPr>
      <w:r>
        <w:rPr>
          <w:rFonts w:hint="eastAsia" w:ascii="仿宋" w:hAnsi="仿宋" w:eastAsia="仿宋" w:cs="仿宋"/>
          <w:b/>
          <w:bCs w:val="0"/>
          <w:color w:val="0C0C0C"/>
          <w:sz w:val="32"/>
          <w:szCs w:val="32"/>
        </w:rPr>
        <w:t>创建“四好”商会，突出自身建设</w:t>
      </w:r>
    </w:p>
    <w:p>
      <w:pPr>
        <w:widowControl/>
        <w:autoSpaceDE w:val="0"/>
        <w:adjustRightInd w:val="0"/>
        <w:snapToGrid w:val="0"/>
        <w:spacing w:line="600" w:lineRule="exact"/>
        <w:ind w:firstLine="640" w:firstLineChars="200"/>
        <w:rPr>
          <w:rFonts w:hint="eastAsia" w:ascii="仿宋" w:hAnsi="仿宋" w:eastAsia="仿宋" w:cs="仿宋"/>
          <w:color w:val="0C0C0C"/>
          <w:sz w:val="32"/>
          <w:szCs w:val="32"/>
        </w:rPr>
      </w:pPr>
      <w:r>
        <w:rPr>
          <w:rFonts w:hint="eastAsia" w:ascii="仿宋" w:hAnsi="仿宋" w:eastAsia="仿宋" w:cs="仿宋"/>
          <w:color w:val="0C0C0C"/>
          <w:sz w:val="32"/>
          <w:szCs w:val="32"/>
        </w:rPr>
        <w:t>1、持续推进创先争优。巩固我联工商联全国“五好”县级工商联的建设成果，发挥应有的示范引领作用。进一步完善机关工作和管理制度。牢固树立“四个意识”，坚定“四个自信”，坚决做到“两个维护”。</w:t>
      </w:r>
    </w:p>
    <w:p>
      <w:pPr>
        <w:widowControl/>
        <w:autoSpaceDE w:val="0"/>
        <w:adjustRightInd w:val="0"/>
        <w:snapToGrid w:val="0"/>
        <w:spacing w:line="600" w:lineRule="exact"/>
        <w:ind w:firstLine="640" w:firstLineChars="200"/>
        <w:rPr>
          <w:rFonts w:hint="eastAsia" w:ascii="仿宋" w:hAnsi="仿宋" w:eastAsia="仿宋" w:cs="仿宋"/>
          <w:color w:val="0C0C0C"/>
          <w:sz w:val="32"/>
          <w:szCs w:val="32"/>
        </w:rPr>
      </w:pPr>
      <w:r>
        <w:rPr>
          <w:rFonts w:hint="eastAsia" w:ascii="仿宋" w:hAnsi="仿宋" w:eastAsia="仿宋" w:cs="仿宋"/>
          <w:color w:val="0C0C0C"/>
          <w:sz w:val="32"/>
          <w:szCs w:val="32"/>
        </w:rPr>
        <w:t>2、积极创建“四好”商会。基层商协会现有会员数达655人，比上年增长2.6%，在服务全区经济社会发展中发挥了积极作用。始终坚持商会的正确发展方向，按照全国工商联建设“四好”商会的要求，加强和促进商会规范化建设。引导黄岩、迎丰、河西商会创建“四好”商会。黄岩商会引导商会会员参与旅游扶贫开发，打造了具有影响力的怀化大峡谷、千亩花海旅游品牌，黄岩商会创新“商会+旅游”带动模式，得到了省联领导的高度肯定和认可。迎丰商会成立了怀化市图书馆流动图书室，不定期开展“阅读会”、“茗智漫谈”等读书学习交流活动，吸纳上万人次社会各界人士参加活动。</w:t>
      </w:r>
    </w:p>
    <w:p>
      <w:pPr>
        <w:widowControl/>
        <w:autoSpaceDE w:val="0"/>
        <w:adjustRightInd w:val="0"/>
        <w:snapToGrid w:val="0"/>
        <w:spacing w:line="600" w:lineRule="exact"/>
        <w:rPr>
          <w:rFonts w:hint="eastAsia" w:ascii="仿宋" w:hAnsi="仿宋" w:eastAsia="仿宋" w:cs="仿宋"/>
          <w:bCs/>
          <w:color w:val="0C0C0C"/>
          <w:sz w:val="32"/>
          <w:szCs w:val="32"/>
        </w:rPr>
      </w:pPr>
      <w:r>
        <w:rPr>
          <w:rFonts w:hint="eastAsia" w:ascii="仿宋" w:hAnsi="仿宋" w:eastAsia="仿宋" w:cs="仿宋"/>
          <w:color w:val="0C0C0C"/>
          <w:sz w:val="32"/>
          <w:szCs w:val="32"/>
        </w:rPr>
        <w:t xml:space="preserve">  </w:t>
      </w:r>
      <w:r>
        <w:rPr>
          <w:rFonts w:hint="eastAsia" w:ascii="仿宋" w:hAnsi="仿宋" w:eastAsia="仿宋" w:cs="仿宋"/>
          <w:bCs/>
          <w:color w:val="0C0C0C"/>
          <w:sz w:val="32"/>
          <w:szCs w:val="32"/>
        </w:rPr>
        <w:t xml:space="preserve"> </w:t>
      </w:r>
      <w:r>
        <w:rPr>
          <w:rFonts w:hint="eastAsia" w:ascii="仿宋" w:hAnsi="仿宋" w:eastAsia="仿宋" w:cs="仿宋"/>
          <w:bCs/>
          <w:color w:val="0C0C0C"/>
          <w:sz w:val="32"/>
          <w:szCs w:val="32"/>
          <w:lang w:val="en-US" w:eastAsia="zh-CN"/>
        </w:rPr>
        <w:t xml:space="preserve"> </w:t>
      </w:r>
      <w:r>
        <w:rPr>
          <w:rFonts w:hint="eastAsia" w:ascii="仿宋" w:hAnsi="仿宋" w:eastAsia="仿宋" w:cs="仿宋"/>
          <w:b/>
          <w:bCs w:val="0"/>
          <w:color w:val="0C0C0C"/>
          <w:sz w:val="32"/>
          <w:szCs w:val="32"/>
        </w:rPr>
        <w:t>强化服务意识，调查研究精准有力</w:t>
      </w:r>
    </w:p>
    <w:p>
      <w:pPr>
        <w:widowControl/>
        <w:autoSpaceDE w:val="0"/>
        <w:adjustRightInd w:val="0"/>
        <w:snapToGrid w:val="0"/>
        <w:spacing w:line="600" w:lineRule="exact"/>
        <w:ind w:firstLine="640" w:firstLineChars="200"/>
        <w:rPr>
          <w:rFonts w:hint="eastAsia" w:ascii="仿宋" w:hAnsi="仿宋" w:eastAsia="仿宋" w:cs="仿宋"/>
          <w:color w:val="0C0C0C"/>
          <w:sz w:val="32"/>
          <w:szCs w:val="32"/>
        </w:rPr>
      </w:pPr>
      <w:r>
        <w:rPr>
          <w:rFonts w:hint="eastAsia" w:ascii="仿宋" w:hAnsi="仿宋" w:eastAsia="仿宋" w:cs="仿宋"/>
          <w:color w:val="0C0C0C"/>
          <w:sz w:val="32"/>
          <w:szCs w:val="32"/>
        </w:rPr>
        <w:t>1、深入开展“访民企、办实事、树信心”活动，积极开展“万企帮万村”调研考察，多次组织考察团赴湖南振鑫科技有限公司、怀化鹤城宏兴农业综合开发有限公司、黄金坳座岩陶器厂、湖南芭颉生态农牧有限公司实地调研，收集意见建议30余条，抓住产业扶贫、中小微企业发展等重点，关注商会建设、非公经济队伍建设等热点，聚焦企业融资难、产能过剩等难点，开展专题调研4次，解决问题10余个。</w:t>
      </w:r>
    </w:p>
    <w:p>
      <w:pPr>
        <w:widowControl/>
        <w:autoSpaceDE w:val="0"/>
        <w:adjustRightInd w:val="0"/>
        <w:snapToGrid w:val="0"/>
        <w:spacing w:line="600" w:lineRule="exact"/>
        <w:ind w:firstLine="640" w:firstLineChars="200"/>
        <w:rPr>
          <w:rFonts w:hint="eastAsia" w:ascii="仿宋" w:hAnsi="仿宋" w:eastAsia="仿宋" w:cs="仿宋"/>
          <w:color w:val="0C0C0C"/>
          <w:sz w:val="32"/>
          <w:szCs w:val="32"/>
        </w:rPr>
      </w:pPr>
      <w:r>
        <w:rPr>
          <w:rFonts w:hint="eastAsia" w:ascii="仿宋" w:hAnsi="仿宋" w:eastAsia="仿宋" w:cs="仿宋"/>
          <w:color w:val="0C0C0C"/>
          <w:sz w:val="32"/>
          <w:szCs w:val="32"/>
        </w:rPr>
        <w:t>2、为了能更好的优化营商环境，</w:t>
      </w:r>
      <w:r>
        <w:rPr>
          <w:rFonts w:hint="eastAsia" w:ascii="仿宋" w:hAnsi="仿宋" w:eastAsia="仿宋" w:cs="仿宋"/>
          <w:sz w:val="32"/>
          <w:szCs w:val="32"/>
        </w:rPr>
        <w:t>落实民营经济简政减税降费政策效果第三方评估调研工作。</w:t>
      </w:r>
      <w:r>
        <w:rPr>
          <w:rFonts w:hint="eastAsia" w:ascii="仿宋" w:hAnsi="仿宋" w:eastAsia="仿宋" w:cs="仿宋"/>
          <w:color w:val="0C0C0C"/>
          <w:sz w:val="32"/>
          <w:szCs w:val="32"/>
        </w:rPr>
        <w:t>7月，我联组织召开了“简政减税降费”座谈会会议，并在会上收集整理了企业代表的意见建议共11条，集中了解对与民营企业密切相关的税费负担、融资成本、政府服务、营商环境等方面的落实情况和实施效果。</w:t>
      </w:r>
    </w:p>
    <w:p>
      <w:pPr>
        <w:widowControl/>
        <w:autoSpaceDE w:val="0"/>
        <w:spacing w:line="60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3、 深入开展“万企帮万村”精准扶贫行动，77家企业实施帮扶项目100个，累计投入帮扶资金5650.6万元，精准帮扶贫困人口13708人，解决就业669人。湖南永通预计投资6亿元，现已投资4亿元修建怀化郡永实验学校，免除贫困生学费30万元，扶持特困家庭60户，向社会弱势群体爱心捐款32万元。投资350余万元，在鹤城区江垅湾村建设肉牛养殖基地，带动贫困户145户，572人实现脱贫；怀仁集团公司在湖南医药学院等高校创办怀仁才子班，共资助贫困大学生1000余人，扶持特困家庭660户，向社会弱势群体爱心捐款12万多元。</w:t>
      </w:r>
    </w:p>
    <w:p>
      <w:pPr>
        <w:ind w:firstLine="643" w:firstLineChars="200"/>
        <w:rPr>
          <w:rFonts w:hint="eastAsia" w:ascii="Times New Roman" w:hAnsi="Times New Roman" w:eastAsia="仿宋_GB2312" w:cs="Times New Roman"/>
          <w:b/>
          <w:bCs/>
          <w:color w:val="auto"/>
          <w:kern w:val="2"/>
          <w:sz w:val="32"/>
          <w:szCs w:val="32"/>
          <w:lang w:val="en-US" w:eastAsia="zh-CN" w:bidi="ar-SA"/>
        </w:rPr>
      </w:pPr>
      <w:r>
        <w:rPr>
          <w:rFonts w:hint="eastAsia" w:ascii="Times New Roman" w:hAnsi="Times New Roman" w:eastAsia="仿宋_GB2312" w:cs="Times New Roman"/>
          <w:b/>
          <w:bCs/>
          <w:color w:val="auto"/>
          <w:kern w:val="2"/>
          <w:sz w:val="32"/>
          <w:szCs w:val="32"/>
          <w:lang w:val="en-US" w:eastAsia="zh-CN" w:bidi="ar-SA"/>
        </w:rPr>
        <w:t>（三）有效性分析</w:t>
      </w:r>
    </w:p>
    <w:p>
      <w:pPr>
        <w:widowControl/>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1、预算完成率。2019年上年结转万元，年初预算</w:t>
      </w:r>
      <w:r>
        <w:rPr>
          <w:rFonts w:hint="eastAsia" w:ascii="仿宋" w:hAnsi="仿宋" w:eastAsia="仿宋" w:cs="仿宋"/>
          <w:color w:val="000000"/>
          <w:kern w:val="21"/>
          <w:sz w:val="32"/>
          <w:szCs w:val="32"/>
          <w:shd w:val="clear" w:color="auto" w:fill="FFFFFF"/>
        </w:rPr>
        <w:t>173.41</w:t>
      </w:r>
      <w:r>
        <w:rPr>
          <w:rFonts w:hint="eastAsia" w:ascii="仿宋" w:hAnsi="仿宋" w:eastAsia="仿宋" w:cs="仿宋"/>
          <w:color w:val="auto"/>
          <w:kern w:val="2"/>
          <w:sz w:val="32"/>
          <w:szCs w:val="32"/>
          <w:lang w:val="en-US" w:eastAsia="zh-CN" w:bidi="ar-SA"/>
        </w:rPr>
        <w:t>万元，调整预算10.02万元，年末结转0.0051万元，预算完成率94.5%。</w:t>
      </w:r>
    </w:p>
    <w:p>
      <w:pPr>
        <w:widowControl/>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2、预算调整率。2019年预算控制率低于100%，预算控制未达到预期目标。</w:t>
      </w:r>
    </w:p>
    <w:p>
      <w:pPr>
        <w:widowControl/>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3、公用经费控制率。2019年我联预算管理（按部门预算经济分类）各项指标控制良好，实际支出公用经费总额36.82万元，预算安排公用经费总额31.13万元，公用经费控制率118.28%。</w:t>
      </w:r>
    </w:p>
    <w:p>
      <w:pPr>
        <w:widowControl/>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4、“三公经费”控制率。“三公经费”实际支出数为1.6万元，预算安排4.6万元，“三公经费”控制率为0.35%。</w:t>
      </w:r>
    </w:p>
    <w:p>
      <w:pPr>
        <w:widowControl/>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5、政府采购执行率。政府采购预算0万元，实际政府采购金额0万元，预算执行率0%。</w:t>
      </w:r>
    </w:p>
    <w:p>
      <w:pPr>
        <w:widowControl/>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6、管理制度健全性。严格落实《鹤城区工商联财务管理办法》等有关管理制度，规范财务审批程序，推行公务卡结算，严格差旅费和接待费支出标准、范围和程序的审核。</w:t>
      </w:r>
    </w:p>
    <w:p>
      <w:pPr>
        <w:widowControl/>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w w:val="99"/>
          <w:kern w:val="2"/>
          <w:sz w:val="32"/>
          <w:szCs w:val="32"/>
          <w:lang w:val="en-US" w:eastAsia="zh-CN" w:bidi="ar-SA"/>
        </w:rPr>
        <w:t>7、 资金使用合规性。严格落实中央八项规定和有关公务支出标准。加强经费合法合规性审核和预算控制，严格按制度政策办事，资金使用合法合规，支出手续齐全，程序到位。</w:t>
      </w:r>
    </w:p>
    <w:p>
      <w:pPr>
        <w:widowControl/>
        <w:numPr>
          <w:ilvl w:val="0"/>
          <w:numId w:val="2"/>
        </w:numPr>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基础信息完善性。基础数据信息和会计信息资料真实、完整、准确。</w:t>
      </w:r>
    </w:p>
    <w:p>
      <w:pPr>
        <w:widowControl/>
        <w:numPr>
          <w:ilvl w:val="0"/>
          <w:numId w:val="2"/>
        </w:numPr>
        <w:spacing w:line="600" w:lineRule="exact"/>
        <w:ind w:firstLine="645"/>
        <w:jc w:val="left"/>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资产管理安全性。我联</w:t>
      </w:r>
      <w:r>
        <w:rPr>
          <w:rFonts w:hint="eastAsia" w:ascii="仿宋" w:hAnsi="仿宋" w:eastAsia="仿宋" w:cs="仿宋"/>
          <w:spacing w:val="-2"/>
          <w:sz w:val="32"/>
          <w:szCs w:val="32"/>
        </w:rPr>
        <w:t>严格按照《</w:t>
      </w:r>
      <w:r>
        <w:rPr>
          <w:rFonts w:hint="eastAsia" w:ascii="仿宋" w:hAnsi="仿宋" w:eastAsia="仿宋" w:cs="仿宋"/>
          <w:spacing w:val="-2"/>
          <w:sz w:val="32"/>
          <w:szCs w:val="32"/>
          <w:lang w:eastAsia="zh-CN"/>
        </w:rPr>
        <w:t>鹤城区</w:t>
      </w:r>
      <w:r>
        <w:rPr>
          <w:rFonts w:hint="eastAsia" w:ascii="仿宋" w:hAnsi="仿宋" w:eastAsia="仿宋" w:cs="仿宋"/>
          <w:spacing w:val="-2"/>
          <w:sz w:val="32"/>
          <w:szCs w:val="32"/>
        </w:rPr>
        <w:t>资产管理办法》和《政府采购</w:t>
      </w:r>
      <w:r>
        <w:rPr>
          <w:rFonts w:hint="eastAsia" w:ascii="仿宋" w:hAnsi="仿宋" w:eastAsia="仿宋" w:cs="仿宋"/>
          <w:spacing w:val="-2"/>
          <w:sz w:val="32"/>
          <w:szCs w:val="32"/>
          <w:lang w:eastAsia="zh-CN"/>
        </w:rPr>
        <w:t>管理制度</w:t>
      </w:r>
      <w:r>
        <w:rPr>
          <w:rFonts w:hint="eastAsia" w:ascii="仿宋" w:hAnsi="仿宋" w:eastAsia="仿宋" w:cs="仿宋"/>
          <w:spacing w:val="-2"/>
          <w:sz w:val="32"/>
          <w:szCs w:val="32"/>
        </w:rPr>
        <w:t>》</w:t>
      </w:r>
      <w:r>
        <w:rPr>
          <w:rFonts w:hint="eastAsia" w:ascii="仿宋" w:hAnsi="仿宋" w:eastAsia="仿宋" w:cs="仿宋"/>
          <w:spacing w:val="-2"/>
          <w:sz w:val="32"/>
          <w:szCs w:val="32"/>
          <w:lang w:eastAsia="zh-CN"/>
        </w:rPr>
        <w:t>对固定资产</w:t>
      </w:r>
      <w:r>
        <w:rPr>
          <w:rFonts w:hint="eastAsia" w:ascii="仿宋" w:hAnsi="仿宋" w:eastAsia="仿宋" w:cs="仿宋"/>
          <w:spacing w:val="-2"/>
          <w:sz w:val="32"/>
          <w:szCs w:val="32"/>
        </w:rPr>
        <w:t>进行配置和处置，按计划购置办公用</w:t>
      </w:r>
      <w:r>
        <w:rPr>
          <w:rFonts w:hint="eastAsia" w:ascii="仿宋" w:hAnsi="仿宋" w:eastAsia="仿宋" w:cs="仿宋"/>
          <w:spacing w:val="-2"/>
          <w:sz w:val="32"/>
          <w:szCs w:val="32"/>
          <w:lang w:eastAsia="zh-CN"/>
        </w:rPr>
        <w:t>品。</w:t>
      </w:r>
    </w:p>
    <w:p>
      <w:pPr>
        <w:widowControl/>
        <w:spacing w:line="600" w:lineRule="exact"/>
        <w:ind w:firstLine="645"/>
        <w:jc w:val="left"/>
        <w:rPr>
          <w:rFonts w:hint="eastAsia" w:ascii="仿宋" w:hAnsi="仿宋" w:eastAsia="仿宋" w:cs="仿宋"/>
          <w:color w:val="000000"/>
          <w:sz w:val="32"/>
          <w:szCs w:val="32"/>
        </w:rPr>
      </w:pPr>
      <w:r>
        <w:rPr>
          <w:rFonts w:hint="eastAsia" w:ascii="仿宋" w:hAnsi="仿宋" w:eastAsia="仿宋" w:cs="仿宋"/>
          <w:color w:val="auto"/>
          <w:w w:val="99"/>
          <w:kern w:val="2"/>
          <w:sz w:val="32"/>
          <w:szCs w:val="32"/>
          <w:lang w:val="en-US" w:eastAsia="zh-CN" w:bidi="ar-SA"/>
        </w:rPr>
        <w:t>10、预决算信息公开性。真实准确编制部门预算和决算，按时上报基础数据资料。对上年度部门整体支出进行了绩效评价，对标找差距。按规定时限和规定内容公开部门预算、部门决算以及绩效自评报告。各项应向社会公开的信息及时、完整、真实，更加细化，部门预决算信息透明度进一步提高。 </w:t>
      </w:r>
    </w:p>
    <w:p>
      <w:pPr>
        <w:widowControl/>
        <w:shd w:val="clear" w:color="auto" w:fill="FFFFFF"/>
        <w:spacing w:line="600" w:lineRule="atLeast"/>
        <w:ind w:firstLine="624"/>
        <w:rPr>
          <w:rFonts w:hint="eastAsia" w:ascii="仿宋" w:hAnsi="仿宋" w:eastAsia="仿宋"/>
          <w:b/>
          <w:bCs/>
          <w:spacing w:val="-2"/>
          <w:sz w:val="32"/>
          <w:szCs w:val="32"/>
        </w:rPr>
      </w:pPr>
      <w:r>
        <w:rPr>
          <w:rFonts w:hint="eastAsia" w:ascii="仿宋" w:hAnsi="仿宋" w:eastAsia="仿宋"/>
          <w:b/>
          <w:bCs/>
          <w:spacing w:val="-2"/>
          <w:sz w:val="32"/>
          <w:szCs w:val="32"/>
        </w:rPr>
        <w:t>（四）可持续性分析</w:t>
      </w:r>
    </w:p>
    <w:p>
      <w:pPr>
        <w:widowControl/>
        <w:autoSpaceDE w:val="0"/>
        <w:adjustRightInd w:val="0"/>
        <w:snapToGrid w:val="0"/>
        <w:spacing w:line="600" w:lineRule="exact"/>
        <w:ind w:firstLine="640" w:firstLineChars="200"/>
        <w:rPr>
          <w:rFonts w:hint="eastAsia" w:ascii="仿宋" w:hAnsi="仿宋" w:eastAsia="仿宋" w:cs="仿宋"/>
          <w:color w:val="0C0C0C"/>
          <w:sz w:val="32"/>
          <w:szCs w:val="32"/>
        </w:rPr>
      </w:pPr>
      <w:r>
        <w:rPr>
          <w:rFonts w:hint="eastAsia" w:ascii="仿宋" w:hAnsi="仿宋" w:eastAsia="仿宋" w:cs="仿宋"/>
          <w:color w:val="0C0C0C"/>
          <w:sz w:val="32"/>
          <w:szCs w:val="32"/>
        </w:rPr>
        <w:t>1、深入开展机关意识形态工作。我联积极开展学习区委区政府关于意识形态相关文件精神，力求体悟透彻、体会深刻。意识形态工作是党的一项重要工作，关乎旗帜、关乎道路、关乎国家政治安全。我联负责人以对党负责的态度，旗帜鲜明地站在意识形态工作第一线，时刻履行监督责任，带头批评错误观点和错误倾向，加强组织领导，塑造坚定政治立场。</w:t>
      </w:r>
    </w:p>
    <w:p>
      <w:pPr>
        <w:widowControl/>
        <w:autoSpaceDE w:val="0"/>
        <w:adjustRightInd w:val="0"/>
        <w:snapToGrid w:val="0"/>
        <w:spacing w:line="600" w:lineRule="exact"/>
        <w:ind w:firstLine="643" w:firstLineChars="200"/>
        <w:rPr>
          <w:rFonts w:hint="eastAsia" w:ascii="仿宋" w:hAnsi="仿宋" w:eastAsia="仿宋" w:cs="仿宋"/>
          <w:color w:val="0C0C0C"/>
          <w:sz w:val="32"/>
          <w:szCs w:val="32"/>
        </w:rPr>
      </w:pPr>
      <w:r>
        <w:rPr>
          <w:rFonts w:hint="eastAsia" w:ascii="仿宋" w:hAnsi="仿宋" w:eastAsia="仿宋" w:cs="仿宋"/>
          <w:b/>
          <w:bCs/>
          <w:color w:val="0C0C0C"/>
          <w:sz w:val="32"/>
          <w:szCs w:val="32"/>
        </w:rPr>
        <w:t>2、</w:t>
      </w:r>
      <w:r>
        <w:rPr>
          <w:rFonts w:hint="eastAsia" w:ascii="仿宋" w:hAnsi="仿宋" w:eastAsia="仿宋" w:cs="仿宋"/>
          <w:color w:val="0C0C0C"/>
          <w:sz w:val="32"/>
          <w:szCs w:val="32"/>
        </w:rPr>
        <w:t xml:space="preserve">深入开展非公企业意识形态工作。继续推进非公企业意识形态工作，加强新媒体对非公有制经济领域意识形态影响的研究和应对，积极主动宣传中央和国家的方针、政策，加大对错误思潮的批判，引导非公有制经济领域人士认清一些网络误导甚至主动驳斥错误言论。坚持“团结、服务、引导、教育”的方针，一手抓鼓励支持，一手抓教育引导，关注他们的思想，关注他们的困难，有针对性地进行帮助引导，引导非公有制经济人士特别是年轻一代致富思源、富而思进，做到爱国、敬业、创新、守法、诚信、贡献。 </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ind w:firstLine="640" w:firstLineChars="200"/>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2019年我</w:t>
      </w:r>
      <w:r>
        <w:rPr>
          <w:rFonts w:hint="eastAsia" w:eastAsia="仿宋_GB2312" w:cs="Times New Roman"/>
          <w:color w:val="auto"/>
          <w:kern w:val="2"/>
          <w:sz w:val="32"/>
          <w:szCs w:val="32"/>
          <w:lang w:val="en-US" w:eastAsia="zh-CN" w:bidi="ar-SA"/>
        </w:rPr>
        <w:t>联</w:t>
      </w:r>
      <w:r>
        <w:rPr>
          <w:rFonts w:hint="eastAsia" w:ascii="Times New Roman" w:hAnsi="Times New Roman" w:eastAsia="仿宋_GB2312" w:cs="Times New Roman"/>
          <w:color w:val="auto"/>
          <w:kern w:val="2"/>
          <w:sz w:val="32"/>
          <w:szCs w:val="32"/>
          <w:lang w:val="en-US" w:eastAsia="zh-CN" w:bidi="ar-SA"/>
        </w:rPr>
        <w:t>的部门整体绩效评价工作还存在一些问题和不足需要进一步完善。在资金安排和使用上仍有不可预见性，在科学设置预算绩效指标上还需进一步加强。</w:t>
      </w:r>
    </w:p>
    <w:p>
      <w:pPr>
        <w:widowControl/>
        <w:spacing w:line="600" w:lineRule="exact"/>
        <w:ind w:firstLine="640" w:firstLineChars="200"/>
        <w:jc w:val="left"/>
        <w:rPr>
          <w:rFonts w:ascii="仿宋" w:hAnsi="仿宋" w:eastAsia="仿宋"/>
          <w:spacing w:val="-2"/>
          <w:sz w:val="32"/>
          <w:szCs w:val="32"/>
        </w:rPr>
      </w:pPr>
      <w:r>
        <w:rPr>
          <w:rFonts w:eastAsia="黑体"/>
          <w:sz w:val="32"/>
          <w:szCs w:val="32"/>
        </w:rPr>
        <w:t>八、下一步改进措施</w:t>
      </w:r>
    </w:p>
    <w:p>
      <w:pPr>
        <w:ind w:firstLine="640" w:firstLineChars="200"/>
        <w:rPr>
          <w:rFonts w:eastAsia="黑体"/>
          <w:sz w:val="32"/>
          <w:szCs w:val="32"/>
        </w:rPr>
      </w:pPr>
      <w:r>
        <w:rPr>
          <w:rFonts w:hint="eastAsia" w:ascii="Times New Roman" w:hAnsi="Times New Roman" w:eastAsia="仿宋_GB2312" w:cs="Times New Roman"/>
          <w:color w:val="auto"/>
          <w:kern w:val="2"/>
          <w:sz w:val="32"/>
          <w:szCs w:val="32"/>
          <w:lang w:val="en-US" w:eastAsia="zh-CN" w:bidi="ar-SA"/>
        </w:rPr>
        <w:t>我</w:t>
      </w:r>
      <w:r>
        <w:rPr>
          <w:rFonts w:hint="eastAsia" w:eastAsia="仿宋_GB2312" w:cs="Times New Roman"/>
          <w:color w:val="auto"/>
          <w:kern w:val="2"/>
          <w:sz w:val="32"/>
          <w:szCs w:val="32"/>
          <w:lang w:val="en-US" w:eastAsia="zh-CN" w:bidi="ar-SA"/>
        </w:rPr>
        <w:t>联</w:t>
      </w:r>
      <w:r>
        <w:rPr>
          <w:rFonts w:hint="eastAsia" w:ascii="Times New Roman" w:hAnsi="Times New Roman" w:eastAsia="仿宋_GB2312" w:cs="Times New Roman"/>
          <w:color w:val="auto"/>
          <w:kern w:val="2"/>
          <w:sz w:val="32"/>
          <w:szCs w:val="32"/>
          <w:lang w:val="en-US" w:eastAsia="zh-CN" w:bidi="ar-SA"/>
        </w:rPr>
        <w:t>需要增强预算编制的全面性、准确性，强化预算执行的严肃性。对年初没有预算安排的支出原则上不安排支出。严格按预算批复的用途使用资金，减少预算调整事项。 </w:t>
      </w:r>
    </w:p>
    <w:p>
      <w:pPr>
        <w:widowControl/>
        <w:spacing w:line="600" w:lineRule="exact"/>
        <w:ind w:firstLine="645"/>
        <w:jc w:val="left"/>
        <w:rPr>
          <w:rFonts w:eastAsia="黑体"/>
          <w:sz w:val="32"/>
          <w:szCs w:val="32"/>
        </w:rPr>
      </w:pPr>
      <w:r>
        <w:rPr>
          <w:rFonts w:eastAsia="黑体"/>
          <w:sz w:val="32"/>
          <w:szCs w:val="32"/>
        </w:rPr>
        <w:t>九、其他需要说明的情况</w:t>
      </w:r>
    </w:p>
    <w:p>
      <w:pPr>
        <w:ind w:firstLine="640" w:firstLineChars="200"/>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无。</w:t>
      </w:r>
    </w:p>
    <w:p>
      <w:pPr>
        <w:widowControl/>
        <w:spacing w:line="600" w:lineRule="exact"/>
        <w:ind w:firstLine="640" w:firstLineChars="200"/>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hint="eastAsia" w:eastAsia="仿宋_GB2312"/>
          <w:sz w:val="32"/>
          <w:szCs w:val="32"/>
        </w:rPr>
      </w:pPr>
    </w:p>
    <w:p>
      <w:pPr>
        <w:pStyle w:val="4"/>
        <w:widowControl/>
        <w:shd w:val="clear" w:color="auto" w:fill="FFFFFF"/>
        <w:spacing w:line="450" w:lineRule="atLeast"/>
        <w:ind w:firstLine="300"/>
      </w:pPr>
      <w:r>
        <w:rPr>
          <w:rFonts w:ascii="Times New Roman" w:hAnsi="Times New Roman" w:eastAsia="仿宋_GB2312"/>
          <w:color w:val="000000"/>
          <w:kern w:val="21"/>
          <w:sz w:val="31"/>
          <w:szCs w:val="31"/>
          <w:shd w:val="clear" w:color="auto" w:fill="FFFFFF"/>
        </w:rPr>
        <w:t xml:space="preserve"> </w:t>
      </w: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hint="eastAsia" w:ascii="仿宋_GB2312" w:eastAsia="仿宋_GB2312"/>
                <w:b/>
                <w:bCs/>
                <w:szCs w:val="21"/>
              </w:rPr>
            </w:pPr>
            <w:r>
              <w:rPr>
                <w:rFonts w:hint="eastAsia" w:ascii="仿宋_GB2312" w:eastAsia="仿宋_GB2312"/>
                <w:b/>
                <w:bCs/>
                <w:szCs w:val="21"/>
              </w:rPr>
              <w:t>自评分</w:t>
            </w:r>
          </w:p>
          <w:p>
            <w:pPr>
              <w:jc w:val="center"/>
              <w:rPr>
                <w:rFonts w:hint="default" w:ascii="仿宋_GB2312" w:eastAsia="仿宋_GB2312"/>
                <w:b/>
                <w:bCs/>
                <w:szCs w:val="21"/>
                <w:lang w:val="en-US" w:eastAsia="zh-CN"/>
              </w:rPr>
            </w:pPr>
            <w:r>
              <w:rPr>
                <w:rFonts w:hint="eastAsia" w:ascii="仿宋_GB2312" w:eastAsia="仿宋_GB2312"/>
                <w:b/>
                <w:bCs/>
                <w:szCs w:val="21"/>
                <w:lang w:val="en-US" w:eastAsia="zh-CN"/>
              </w:rPr>
              <w:t>92分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hint="eastAsia" w:eastAsia="黑体"/>
          <w:sz w:val="32"/>
          <w:szCs w:val="32"/>
          <w:lang w:val="en-US" w:eastAsia="zh-CN"/>
        </w:rPr>
      </w:pPr>
    </w:p>
    <w:p>
      <w:pPr>
        <w:widowControl/>
        <w:spacing w:line="400" w:lineRule="exact"/>
        <w:jc w:val="left"/>
        <w:rPr>
          <w:rFonts w:hint="eastAsia" w:eastAsia="黑体"/>
          <w:sz w:val="32"/>
          <w:szCs w:val="32"/>
          <w:lang w:val="en-US" w:eastAsia="zh-CN"/>
        </w:rPr>
      </w:pPr>
    </w:p>
    <w:p>
      <w:pPr>
        <w:widowControl/>
        <w:spacing w:line="400" w:lineRule="exact"/>
        <w:jc w:val="left"/>
        <w:rPr>
          <w:rFonts w:hint="default" w:eastAsia="黑体"/>
          <w:sz w:val="32"/>
          <w:szCs w:val="32"/>
          <w:lang w:val="en-US" w:eastAsia="zh-CN"/>
        </w:rPr>
      </w:pPr>
      <w:r>
        <w:rPr>
          <w:rFonts w:hint="eastAsia" w:eastAsia="黑体"/>
          <w:sz w:val="32"/>
          <w:szCs w:val="32"/>
          <w:lang w:val="en-US" w:eastAsia="zh-CN"/>
        </w:rPr>
        <w:t>附件4-2</w:t>
      </w:r>
      <w:bookmarkStart w:id="0" w:name="_GoBack"/>
      <w:bookmarkEnd w:id="0"/>
    </w:p>
    <w:tbl>
      <w:tblPr>
        <w:tblStyle w:val="5"/>
        <w:tblpPr w:leftFromText="180" w:rightFromText="180" w:vertAnchor="text" w:horzAnchor="page" w:tblpX="1045" w:tblpY="1959"/>
        <w:tblOverlap w:val="never"/>
        <w:tblW w:w="9440" w:type="dxa"/>
        <w:tblInd w:w="0" w:type="dxa"/>
        <w:tblLayout w:type="fixed"/>
        <w:tblCellMar>
          <w:top w:w="0" w:type="dxa"/>
          <w:left w:w="108" w:type="dxa"/>
          <w:bottom w:w="0" w:type="dxa"/>
          <w:right w:w="108" w:type="dxa"/>
        </w:tblCellMar>
      </w:tblPr>
      <w:tblGrid>
        <w:gridCol w:w="1070"/>
        <w:gridCol w:w="935"/>
        <w:gridCol w:w="963"/>
        <w:gridCol w:w="1287"/>
        <w:gridCol w:w="1652"/>
        <w:gridCol w:w="1109"/>
        <w:gridCol w:w="433"/>
        <w:gridCol w:w="1106"/>
        <w:gridCol w:w="885"/>
      </w:tblGrid>
      <w:tr>
        <w:tblPrEx>
          <w:tblCellMar>
            <w:top w:w="0" w:type="dxa"/>
            <w:left w:w="108" w:type="dxa"/>
            <w:bottom w:w="0" w:type="dxa"/>
            <w:right w:w="108" w:type="dxa"/>
          </w:tblCellMar>
        </w:tblPrEx>
        <w:trPr>
          <w:trHeight w:val="728" w:hRule="atLeast"/>
        </w:trPr>
        <w:tc>
          <w:tcPr>
            <w:tcW w:w="9440" w:type="dxa"/>
            <w:gridSpan w:val="9"/>
            <w:tcBorders>
              <w:top w:val="nil"/>
              <w:left w:val="nil"/>
              <w:bottom w:val="nil"/>
              <w:right w:val="nil"/>
            </w:tcBorders>
            <w:shd w:val="clear" w:color="auto" w:fill="auto"/>
            <w:noWrap/>
            <w:vAlign w:val="center"/>
          </w:tcPr>
          <w:p>
            <w:pPr>
              <w:widowControl/>
              <w:spacing w:line="240" w:lineRule="auto"/>
              <w:ind w:firstLine="0" w:firstLineChars="0"/>
              <w:jc w:val="center"/>
              <w:rPr>
                <w:rFonts w:eastAsia="方正小标宋_GBK"/>
                <w:color w:val="000000"/>
                <w:kern w:val="0"/>
                <w:sz w:val="36"/>
                <w:szCs w:val="36"/>
              </w:rPr>
            </w:pPr>
            <w:r>
              <w:rPr>
                <w:rFonts w:eastAsia="方正小标宋_GBK"/>
                <w:color w:val="000000"/>
                <w:kern w:val="0"/>
                <w:sz w:val="32"/>
                <w:szCs w:val="32"/>
              </w:rPr>
              <w:t>预算支出绩效自评表</w:t>
            </w:r>
          </w:p>
        </w:tc>
      </w:tr>
      <w:tr>
        <w:tblPrEx>
          <w:tblCellMar>
            <w:top w:w="0" w:type="dxa"/>
            <w:left w:w="108" w:type="dxa"/>
            <w:bottom w:w="0" w:type="dxa"/>
            <w:right w:w="108" w:type="dxa"/>
          </w:tblCellMar>
        </w:tblPrEx>
        <w:trPr>
          <w:trHeight w:val="300" w:hRule="atLeast"/>
        </w:trPr>
        <w:tc>
          <w:tcPr>
            <w:tcW w:w="9440" w:type="dxa"/>
            <w:gridSpan w:val="9"/>
            <w:tcBorders>
              <w:top w:val="nil"/>
              <w:left w:val="nil"/>
              <w:bottom w:val="single" w:color="auto" w:sz="4" w:space="0"/>
              <w:right w:val="nil"/>
            </w:tcBorders>
            <w:shd w:val="clear" w:color="auto" w:fill="auto"/>
            <w:noWrap/>
            <w:vAlign w:val="center"/>
          </w:tcPr>
          <w:p>
            <w:pPr>
              <w:widowControl/>
              <w:spacing w:line="240" w:lineRule="auto"/>
              <w:ind w:firstLine="0" w:firstLineChars="0"/>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610" w:hRule="atLeast"/>
        </w:trPr>
        <w:tc>
          <w:tcPr>
            <w:tcW w:w="107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项目支</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出名称</w:t>
            </w:r>
          </w:p>
        </w:tc>
        <w:tc>
          <w:tcPr>
            <w:tcW w:w="8370"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hint="eastAsia" w:eastAsia="仿宋_GB2312"/>
                <w:color w:val="000000"/>
                <w:kern w:val="0"/>
                <w:sz w:val="21"/>
                <w:szCs w:val="21"/>
                <w:lang w:val="en-US" w:eastAsia="zh-CN"/>
              </w:rPr>
              <w:t>工商联事务招商引资</w:t>
            </w:r>
            <w:r>
              <w:rPr>
                <w:rFonts w:eastAsia="仿宋_GB2312"/>
                <w:color w:val="000000"/>
                <w:kern w:val="0"/>
                <w:sz w:val="21"/>
                <w:szCs w:val="21"/>
              </w:rPr>
              <w:t>　</w:t>
            </w:r>
          </w:p>
        </w:tc>
      </w:tr>
      <w:tr>
        <w:tblPrEx>
          <w:tblCellMar>
            <w:top w:w="0" w:type="dxa"/>
            <w:left w:w="108" w:type="dxa"/>
            <w:bottom w:w="0" w:type="dxa"/>
            <w:right w:w="108" w:type="dxa"/>
          </w:tblCellMar>
        </w:tblPrEx>
        <w:trPr>
          <w:trHeight w:val="310" w:hRule="atLeast"/>
        </w:trPr>
        <w:tc>
          <w:tcPr>
            <w:tcW w:w="107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主管部门</w:t>
            </w:r>
          </w:p>
        </w:tc>
        <w:tc>
          <w:tcPr>
            <w:tcW w:w="4837"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鹤城区区委统战部</w:t>
            </w:r>
          </w:p>
        </w:tc>
        <w:tc>
          <w:tcPr>
            <w:tcW w:w="1109" w:type="dxa"/>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实施单位</w:t>
            </w:r>
          </w:p>
        </w:tc>
        <w:tc>
          <w:tcPr>
            <w:tcW w:w="2424"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lang w:val="en-US" w:eastAsia="zh-CN"/>
              </w:rPr>
              <w:t>区工商联</w:t>
            </w:r>
            <w:r>
              <w:rPr>
                <w:rFonts w:eastAsia="仿宋_GB2312"/>
                <w:color w:val="000000"/>
                <w:kern w:val="0"/>
                <w:sz w:val="21"/>
                <w:szCs w:val="21"/>
              </w:rPr>
              <w:t>　</w:t>
            </w:r>
          </w:p>
        </w:tc>
      </w:tr>
      <w:tr>
        <w:tblPrEx>
          <w:tblCellMar>
            <w:top w:w="0" w:type="dxa"/>
            <w:left w:w="108" w:type="dxa"/>
            <w:bottom w:w="0" w:type="dxa"/>
            <w:right w:w="108" w:type="dxa"/>
          </w:tblCellMar>
        </w:tblPrEx>
        <w:trPr>
          <w:trHeight w:val="610" w:hRule="atLeast"/>
        </w:trPr>
        <w:tc>
          <w:tcPr>
            <w:tcW w:w="107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项目资金</w:t>
            </w:r>
            <w:r>
              <w:rPr>
                <w:rFonts w:eastAsia="仿宋_GB2312"/>
                <w:color w:val="000000"/>
                <w:kern w:val="0"/>
                <w:sz w:val="21"/>
                <w:szCs w:val="21"/>
              </w:rPr>
              <w:br w:type="textWrapping"/>
            </w:r>
            <w:r>
              <w:rPr>
                <w:rFonts w:eastAsia="仿宋_GB2312"/>
                <w:color w:val="000000"/>
                <w:kern w:val="0"/>
                <w:sz w:val="21"/>
                <w:szCs w:val="21"/>
              </w:rPr>
              <w:t>（万元）</w:t>
            </w:r>
          </w:p>
        </w:tc>
        <w:tc>
          <w:tcPr>
            <w:tcW w:w="1898"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2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年初预算数</w:t>
            </w:r>
          </w:p>
        </w:tc>
        <w:tc>
          <w:tcPr>
            <w:tcW w:w="165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全年预算数</w:t>
            </w:r>
          </w:p>
        </w:tc>
        <w:tc>
          <w:tcPr>
            <w:tcW w:w="1109" w:type="dxa"/>
            <w:tcBorders>
              <w:top w:val="nil"/>
              <w:left w:val="nil"/>
              <w:bottom w:val="single" w:color="auto" w:sz="4" w:space="0"/>
              <w:right w:val="single" w:color="auto" w:sz="4" w:space="0"/>
            </w:tcBorders>
            <w:shd w:val="clear" w:color="auto" w:fill="auto"/>
          </w:tcPr>
          <w:p>
            <w:pPr>
              <w:spacing w:line="240" w:lineRule="auto"/>
              <w:ind w:firstLine="0" w:firstLineChars="0"/>
              <w:rPr>
                <w:rFonts w:eastAsia="仿宋_GB2312"/>
                <w:sz w:val="21"/>
                <w:szCs w:val="21"/>
              </w:rPr>
            </w:pPr>
            <w:r>
              <w:rPr>
                <w:rFonts w:eastAsia="仿宋_GB2312"/>
                <w:sz w:val="21"/>
                <w:szCs w:val="21"/>
              </w:rPr>
              <w:t>全年执行数</w:t>
            </w:r>
          </w:p>
        </w:tc>
        <w:tc>
          <w:tcPr>
            <w:tcW w:w="433" w:type="dxa"/>
            <w:tcBorders>
              <w:top w:val="nil"/>
              <w:left w:val="nil"/>
              <w:bottom w:val="single" w:color="auto" w:sz="4" w:space="0"/>
              <w:right w:val="single" w:color="auto" w:sz="4" w:space="0"/>
            </w:tcBorders>
            <w:shd w:val="clear" w:color="auto" w:fill="auto"/>
          </w:tcPr>
          <w:p>
            <w:pPr>
              <w:spacing w:line="240" w:lineRule="auto"/>
              <w:ind w:firstLine="0" w:firstLineChars="0"/>
              <w:rPr>
                <w:rFonts w:eastAsia="仿宋_GB2312"/>
                <w:sz w:val="21"/>
                <w:szCs w:val="21"/>
              </w:rPr>
            </w:pPr>
            <w:r>
              <w:rPr>
                <w:rFonts w:eastAsia="仿宋_GB2312"/>
                <w:sz w:val="21"/>
                <w:szCs w:val="21"/>
              </w:rPr>
              <w:t>分值</w:t>
            </w:r>
          </w:p>
        </w:tc>
        <w:tc>
          <w:tcPr>
            <w:tcW w:w="1106" w:type="dxa"/>
            <w:tcBorders>
              <w:top w:val="nil"/>
              <w:left w:val="nil"/>
              <w:bottom w:val="single" w:color="auto" w:sz="4" w:space="0"/>
              <w:right w:val="single" w:color="auto" w:sz="4" w:space="0"/>
            </w:tcBorders>
            <w:shd w:val="clear" w:color="auto" w:fill="auto"/>
          </w:tcPr>
          <w:p>
            <w:pPr>
              <w:spacing w:line="240" w:lineRule="auto"/>
              <w:ind w:firstLine="0" w:firstLineChars="0"/>
              <w:rPr>
                <w:rFonts w:eastAsia="仿宋_GB2312"/>
                <w:sz w:val="21"/>
                <w:szCs w:val="21"/>
              </w:rPr>
            </w:pPr>
            <w:r>
              <w:rPr>
                <w:rFonts w:eastAsia="仿宋_GB2312"/>
                <w:sz w:val="21"/>
                <w:szCs w:val="21"/>
              </w:rPr>
              <w:t>执行率</w:t>
            </w:r>
          </w:p>
        </w:tc>
        <w:tc>
          <w:tcPr>
            <w:tcW w:w="885" w:type="dxa"/>
            <w:tcBorders>
              <w:top w:val="nil"/>
              <w:left w:val="nil"/>
              <w:bottom w:val="single" w:color="auto" w:sz="4" w:space="0"/>
              <w:right w:val="single" w:color="auto" w:sz="4" w:space="0"/>
            </w:tcBorders>
            <w:shd w:val="clear" w:color="auto" w:fill="auto"/>
          </w:tcPr>
          <w:p>
            <w:pPr>
              <w:spacing w:line="240" w:lineRule="auto"/>
              <w:ind w:firstLine="0" w:firstLineChars="0"/>
              <w:rPr>
                <w:rFonts w:eastAsia="仿宋_GB2312"/>
                <w:sz w:val="21"/>
                <w:szCs w:val="21"/>
              </w:rPr>
            </w:pPr>
            <w:r>
              <w:rPr>
                <w:rFonts w:eastAsia="仿宋_GB2312"/>
                <w:sz w:val="21"/>
                <w:szCs w:val="21"/>
              </w:rPr>
              <w:t>得分</w:t>
            </w:r>
          </w:p>
        </w:tc>
      </w:tr>
      <w:tr>
        <w:tblPrEx>
          <w:tblCellMar>
            <w:top w:w="0" w:type="dxa"/>
            <w:left w:w="108" w:type="dxa"/>
            <w:bottom w:w="0" w:type="dxa"/>
            <w:right w:w="108" w:type="dxa"/>
          </w:tblCellMar>
        </w:tblPrEx>
        <w:trPr>
          <w:trHeight w:val="610" w:hRule="atLeast"/>
        </w:trPr>
        <w:tc>
          <w:tcPr>
            <w:tcW w:w="1070" w:type="dxa"/>
            <w:vMerge w:val="continue"/>
            <w:tcBorders>
              <w:top w:val="nil"/>
              <w:left w:val="single" w:color="auto" w:sz="4" w:space="0"/>
              <w:bottom w:val="single" w:color="000000" w:sz="4" w:space="0"/>
              <w:right w:val="single" w:color="auto" w:sz="4" w:space="0"/>
            </w:tcBorders>
            <w:vAlign w:val="center"/>
          </w:tcPr>
          <w:p>
            <w:pPr>
              <w:widowControl/>
              <w:spacing w:line="240" w:lineRule="auto"/>
              <w:ind w:firstLine="0" w:firstLineChars="0"/>
              <w:jc w:val="left"/>
              <w:rPr>
                <w:rFonts w:eastAsia="仿宋_GB2312"/>
                <w:color w:val="000000"/>
                <w:kern w:val="0"/>
                <w:sz w:val="21"/>
                <w:szCs w:val="21"/>
              </w:rPr>
            </w:pPr>
          </w:p>
        </w:tc>
        <w:tc>
          <w:tcPr>
            <w:tcW w:w="1898"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年度资金总额　</w:t>
            </w:r>
          </w:p>
        </w:tc>
        <w:tc>
          <w:tcPr>
            <w:tcW w:w="12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310000.00</w:t>
            </w:r>
          </w:p>
        </w:tc>
        <w:tc>
          <w:tcPr>
            <w:tcW w:w="165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310000.00</w:t>
            </w:r>
          </w:p>
        </w:tc>
        <w:tc>
          <w:tcPr>
            <w:tcW w:w="110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310100.00</w:t>
            </w:r>
          </w:p>
        </w:tc>
        <w:tc>
          <w:tcPr>
            <w:tcW w:w="43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10</w:t>
            </w:r>
          </w:p>
        </w:tc>
        <w:tc>
          <w:tcPr>
            <w:tcW w:w="110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100.03%</w:t>
            </w:r>
          </w:p>
        </w:tc>
        <w:tc>
          <w:tcPr>
            <w:tcW w:w="8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100</w:t>
            </w:r>
          </w:p>
        </w:tc>
      </w:tr>
      <w:tr>
        <w:tblPrEx>
          <w:tblCellMar>
            <w:top w:w="0" w:type="dxa"/>
            <w:left w:w="108" w:type="dxa"/>
            <w:bottom w:w="0" w:type="dxa"/>
            <w:right w:w="108" w:type="dxa"/>
          </w:tblCellMar>
        </w:tblPrEx>
        <w:trPr>
          <w:trHeight w:val="503" w:hRule="atLeast"/>
        </w:trPr>
        <w:tc>
          <w:tcPr>
            <w:tcW w:w="1070" w:type="dxa"/>
            <w:vMerge w:val="continue"/>
            <w:tcBorders>
              <w:top w:val="nil"/>
              <w:left w:val="single" w:color="auto" w:sz="4" w:space="0"/>
              <w:bottom w:val="single" w:color="000000" w:sz="4" w:space="0"/>
              <w:right w:val="single" w:color="auto" w:sz="4" w:space="0"/>
            </w:tcBorders>
            <w:vAlign w:val="center"/>
          </w:tcPr>
          <w:p>
            <w:pPr>
              <w:widowControl/>
              <w:spacing w:line="240" w:lineRule="auto"/>
              <w:ind w:firstLine="0" w:firstLineChars="0"/>
              <w:jc w:val="left"/>
              <w:rPr>
                <w:rFonts w:eastAsia="仿宋_GB2312"/>
                <w:color w:val="000000"/>
                <w:kern w:val="0"/>
                <w:sz w:val="21"/>
                <w:szCs w:val="21"/>
              </w:rPr>
            </w:pPr>
          </w:p>
        </w:tc>
        <w:tc>
          <w:tcPr>
            <w:tcW w:w="1898"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其中：当年财政拨款　</w:t>
            </w:r>
          </w:p>
        </w:tc>
        <w:tc>
          <w:tcPr>
            <w:tcW w:w="12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 w:val="21"/>
                <w:szCs w:val="21"/>
              </w:rPr>
              <w:t>　</w:t>
            </w:r>
            <w:r>
              <w:rPr>
                <w:rFonts w:hint="eastAsia" w:eastAsia="仿宋_GB2312"/>
                <w:color w:val="000000"/>
                <w:kern w:val="0"/>
                <w:sz w:val="21"/>
                <w:szCs w:val="21"/>
                <w:lang w:val="en-US" w:eastAsia="zh-CN"/>
              </w:rPr>
              <w:t>310000.00</w:t>
            </w:r>
          </w:p>
        </w:tc>
        <w:tc>
          <w:tcPr>
            <w:tcW w:w="165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 w:val="21"/>
                <w:szCs w:val="21"/>
              </w:rPr>
              <w:t>　</w:t>
            </w:r>
            <w:r>
              <w:rPr>
                <w:rFonts w:hint="eastAsia" w:eastAsia="仿宋_GB2312"/>
                <w:color w:val="000000"/>
                <w:kern w:val="0"/>
                <w:sz w:val="21"/>
                <w:szCs w:val="21"/>
                <w:lang w:val="en-US" w:eastAsia="zh-CN"/>
              </w:rPr>
              <w:t>310000.00</w:t>
            </w:r>
          </w:p>
        </w:tc>
        <w:tc>
          <w:tcPr>
            <w:tcW w:w="110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 w:val="21"/>
                <w:szCs w:val="21"/>
              </w:rPr>
              <w:t>　</w:t>
            </w:r>
            <w:r>
              <w:rPr>
                <w:rFonts w:hint="eastAsia" w:eastAsia="仿宋_GB2312"/>
                <w:color w:val="000000"/>
                <w:kern w:val="0"/>
                <w:sz w:val="21"/>
                <w:szCs w:val="21"/>
                <w:lang w:val="en-US" w:eastAsia="zh-CN"/>
              </w:rPr>
              <w:t>310100.00</w:t>
            </w:r>
          </w:p>
        </w:tc>
        <w:tc>
          <w:tcPr>
            <w:tcW w:w="43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10" w:hRule="atLeast"/>
        </w:trPr>
        <w:tc>
          <w:tcPr>
            <w:tcW w:w="1070" w:type="dxa"/>
            <w:vMerge w:val="continue"/>
            <w:tcBorders>
              <w:top w:val="nil"/>
              <w:left w:val="single" w:color="auto" w:sz="4" w:space="0"/>
              <w:bottom w:val="single" w:color="000000" w:sz="4" w:space="0"/>
              <w:right w:val="single" w:color="auto" w:sz="4" w:space="0"/>
            </w:tcBorders>
            <w:vAlign w:val="center"/>
          </w:tcPr>
          <w:p>
            <w:pPr>
              <w:widowControl/>
              <w:spacing w:line="240" w:lineRule="auto"/>
              <w:ind w:firstLine="0" w:firstLineChars="0"/>
              <w:jc w:val="left"/>
              <w:rPr>
                <w:rFonts w:eastAsia="仿宋_GB2312"/>
                <w:color w:val="000000"/>
                <w:kern w:val="0"/>
                <w:sz w:val="21"/>
                <w:szCs w:val="21"/>
              </w:rPr>
            </w:pPr>
          </w:p>
        </w:tc>
        <w:tc>
          <w:tcPr>
            <w:tcW w:w="1898"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上年结转资金　</w:t>
            </w:r>
          </w:p>
        </w:tc>
        <w:tc>
          <w:tcPr>
            <w:tcW w:w="12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65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43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10" w:hRule="atLeast"/>
        </w:trPr>
        <w:tc>
          <w:tcPr>
            <w:tcW w:w="1070" w:type="dxa"/>
            <w:vMerge w:val="continue"/>
            <w:tcBorders>
              <w:top w:val="nil"/>
              <w:left w:val="single" w:color="auto" w:sz="4" w:space="0"/>
              <w:bottom w:val="single" w:color="000000" w:sz="4" w:space="0"/>
              <w:right w:val="single" w:color="auto" w:sz="4" w:space="0"/>
            </w:tcBorders>
            <w:vAlign w:val="center"/>
          </w:tcPr>
          <w:p>
            <w:pPr>
              <w:widowControl/>
              <w:spacing w:line="240" w:lineRule="auto"/>
              <w:ind w:firstLine="0" w:firstLineChars="0"/>
              <w:jc w:val="left"/>
              <w:rPr>
                <w:rFonts w:eastAsia="仿宋_GB2312"/>
                <w:color w:val="000000"/>
                <w:kern w:val="0"/>
                <w:sz w:val="21"/>
                <w:szCs w:val="21"/>
              </w:rPr>
            </w:pPr>
          </w:p>
        </w:tc>
        <w:tc>
          <w:tcPr>
            <w:tcW w:w="1898"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其他资金</w:t>
            </w:r>
          </w:p>
        </w:tc>
        <w:tc>
          <w:tcPr>
            <w:tcW w:w="12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65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43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10" w:hRule="atLeast"/>
        </w:trPr>
        <w:tc>
          <w:tcPr>
            <w:tcW w:w="107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年度总</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体目标</w:t>
            </w:r>
          </w:p>
        </w:tc>
        <w:tc>
          <w:tcPr>
            <w:tcW w:w="4837"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预期目标</w:t>
            </w:r>
          </w:p>
        </w:tc>
        <w:tc>
          <w:tcPr>
            <w:tcW w:w="353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实际完成情况　</w:t>
            </w:r>
          </w:p>
        </w:tc>
      </w:tr>
      <w:tr>
        <w:tblPrEx>
          <w:tblCellMar>
            <w:top w:w="0" w:type="dxa"/>
            <w:left w:w="108" w:type="dxa"/>
            <w:bottom w:w="0" w:type="dxa"/>
            <w:right w:w="108" w:type="dxa"/>
          </w:tblCellMar>
        </w:tblPrEx>
        <w:trPr>
          <w:trHeight w:val="1209" w:hRule="atLeast"/>
        </w:trPr>
        <w:tc>
          <w:tcPr>
            <w:tcW w:w="107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eastAsia="仿宋_GB2312"/>
                <w:color w:val="000000"/>
                <w:kern w:val="0"/>
                <w:sz w:val="21"/>
                <w:szCs w:val="21"/>
              </w:rPr>
            </w:pPr>
          </w:p>
        </w:tc>
        <w:tc>
          <w:tcPr>
            <w:tcW w:w="4837"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rPr>
              <w:t>全区非公企业提供管理、法律咨询、开展工商企业专业培训、协调关系、调解经济纠纷、对广大会员进行团引导、教育。为全区非公企业招商引资服务</w:t>
            </w:r>
            <w:r>
              <w:rPr>
                <w:rFonts w:eastAsia="仿宋_GB2312"/>
                <w:color w:val="000000"/>
                <w:kern w:val="0"/>
                <w:sz w:val="21"/>
                <w:szCs w:val="21"/>
              </w:rPr>
              <w:t>　　</w:t>
            </w:r>
          </w:p>
        </w:tc>
        <w:tc>
          <w:tcPr>
            <w:tcW w:w="353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rPr>
              <w:t>全区非公企业提供管理、法律咨询、开展工商企业专业培训、协调关系、调解经济纠纷、对广大会员进行团引导、教育。为全区非公企业招商引资服务</w:t>
            </w:r>
          </w:p>
        </w:tc>
      </w:tr>
      <w:tr>
        <w:tblPrEx>
          <w:tblCellMar>
            <w:top w:w="0" w:type="dxa"/>
            <w:left w:w="108" w:type="dxa"/>
            <w:bottom w:w="0" w:type="dxa"/>
            <w:right w:w="108" w:type="dxa"/>
          </w:tblCellMar>
        </w:tblPrEx>
        <w:trPr>
          <w:trHeight w:val="987" w:hRule="atLeast"/>
        </w:trPr>
        <w:tc>
          <w:tcPr>
            <w:tcW w:w="1070" w:type="dxa"/>
            <w:vMerge w:val="restart"/>
            <w:tcBorders>
              <w:top w:val="single" w:color="auto" w:sz="4" w:space="0"/>
              <w:left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绩</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效</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指</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标</w:t>
            </w:r>
          </w:p>
        </w:tc>
        <w:tc>
          <w:tcPr>
            <w:tcW w:w="93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一级指标</w:t>
            </w:r>
          </w:p>
        </w:tc>
        <w:tc>
          <w:tcPr>
            <w:tcW w:w="96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二级指标</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三级指标</w:t>
            </w:r>
          </w:p>
        </w:tc>
        <w:tc>
          <w:tcPr>
            <w:tcW w:w="16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年度</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指标值</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实际</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完成值</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分值</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得分</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both"/>
              <w:rPr>
                <w:rFonts w:eastAsia="仿宋_GB2312"/>
                <w:color w:val="000000"/>
                <w:kern w:val="0"/>
                <w:sz w:val="21"/>
                <w:szCs w:val="21"/>
              </w:rPr>
            </w:pPr>
            <w:r>
              <w:rPr>
                <w:rFonts w:eastAsia="仿宋_GB2312"/>
                <w:color w:val="000000"/>
                <w:kern w:val="0"/>
                <w:sz w:val="21"/>
                <w:szCs w:val="21"/>
              </w:rPr>
              <w:t>偏差原因分析及改进措施</w:t>
            </w:r>
          </w:p>
        </w:tc>
      </w:tr>
      <w:tr>
        <w:tblPrEx>
          <w:tblCellMar>
            <w:top w:w="0" w:type="dxa"/>
            <w:left w:w="108" w:type="dxa"/>
            <w:bottom w:w="0" w:type="dxa"/>
            <w:right w:w="108" w:type="dxa"/>
          </w:tblCellMar>
        </w:tblPrEx>
        <w:trPr>
          <w:trHeight w:val="1509"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产出</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指标</w:t>
            </w:r>
          </w:p>
          <w:p>
            <w:pPr>
              <w:widowControl/>
              <w:spacing w:line="240" w:lineRule="auto"/>
              <w:ind w:firstLine="0" w:firstLineChars="0"/>
              <w:jc w:val="center"/>
              <w:rPr>
                <w:rFonts w:eastAsia="仿宋_GB2312"/>
                <w:color w:val="000000"/>
                <w:kern w:val="0"/>
                <w:sz w:val="21"/>
                <w:szCs w:val="21"/>
              </w:rPr>
            </w:pP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(50分)</w:t>
            </w:r>
          </w:p>
        </w:tc>
        <w:tc>
          <w:tcPr>
            <w:tcW w:w="96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数量指标</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s="仿宋"/>
                <w:color w:val="0C0C0C" w:themeColor="text1" w:themeTint="F2"/>
                <w:sz w:val="21"/>
                <w:szCs w:val="21"/>
              </w:rPr>
              <w:t>“四好”商会</w:t>
            </w:r>
          </w:p>
        </w:tc>
        <w:tc>
          <w:tcPr>
            <w:tcW w:w="16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ascii="仿宋" w:hAnsi="仿宋" w:eastAsia="仿宋" w:cs="仿宋"/>
                <w:color w:val="0C0C0C" w:themeColor="text1" w:themeTint="F2"/>
                <w:sz w:val="21"/>
                <w:szCs w:val="21"/>
              </w:rPr>
              <w:t>基层商协会现有会员数达655人</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ascii="仿宋" w:hAnsi="仿宋" w:eastAsia="仿宋" w:cs="仿宋"/>
                <w:color w:val="0C0C0C" w:themeColor="text1" w:themeTint="F2"/>
                <w:sz w:val="21"/>
                <w:szCs w:val="21"/>
              </w:rPr>
              <w:t>基层商协会现有会员数达655人，比上年增长2.6%</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1509"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s="仿宋"/>
                <w:i w:val="0"/>
                <w:caps w:val="0"/>
                <w:color w:val="000000" w:themeColor="text1"/>
                <w:spacing w:val="0"/>
                <w:sz w:val="21"/>
                <w:szCs w:val="21"/>
                <w:shd w:val="clear" w:fill="FFFFFF"/>
              </w:rPr>
              <w:t>“迎老乡、回故乡、建家乡”</w:t>
            </w:r>
          </w:p>
        </w:tc>
        <w:tc>
          <w:tcPr>
            <w:tcW w:w="16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ascii="仿宋" w:hAnsi="仿宋" w:eastAsia="仿宋" w:cs="仿宋"/>
                <w:color w:val="000000" w:themeColor="text1"/>
                <w:sz w:val="21"/>
                <w:szCs w:val="21"/>
                <w:lang w:eastAsia="zh-CN"/>
              </w:rPr>
              <w:t>多地挖掘湘商资源，邀请了</w:t>
            </w:r>
            <w:r>
              <w:rPr>
                <w:rFonts w:hint="eastAsia" w:ascii="仿宋" w:hAnsi="仿宋" w:eastAsia="仿宋" w:cs="仿宋"/>
                <w:color w:val="000000" w:themeColor="text1"/>
                <w:sz w:val="21"/>
                <w:szCs w:val="21"/>
                <w:lang w:val="en-US" w:eastAsia="zh-CN"/>
              </w:rPr>
              <w:t>8名有实力、有号召力的企业来怀参加首届怀商大会</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ascii="仿宋" w:hAnsi="仿宋" w:eastAsia="仿宋" w:cs="仿宋"/>
                <w:color w:val="000000" w:themeColor="text1"/>
                <w:sz w:val="21"/>
                <w:szCs w:val="21"/>
                <w:lang w:val="en-US" w:eastAsia="zh-CN"/>
              </w:rPr>
              <w:t>促进我区“承接产业转移示范区”建设</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009"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p>
        </w:tc>
        <w:tc>
          <w:tcPr>
            <w:tcW w:w="1287"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rPr>
                <w:rFonts w:hint="eastAsia"/>
                <w:sz w:val="21"/>
                <w:szCs w:val="21"/>
              </w:rPr>
            </w:pPr>
            <w:r>
              <w:rPr>
                <w:rFonts w:hint="eastAsia" w:ascii="仿宋" w:hAnsi="仿宋" w:eastAsia="仿宋" w:cs="仿宋"/>
                <w:color w:val="000000" w:themeColor="text1"/>
                <w:sz w:val="21"/>
                <w:szCs w:val="21"/>
                <w:lang w:eastAsia="zh-CN"/>
              </w:rPr>
              <w:t>万企帮万村</w:t>
            </w:r>
          </w:p>
        </w:tc>
        <w:tc>
          <w:tcPr>
            <w:tcW w:w="16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olor w:val="000000" w:themeColor="text1"/>
                <w:sz w:val="21"/>
                <w:szCs w:val="21"/>
                <w:lang w:val="en-US" w:eastAsia="zh-CN"/>
              </w:rPr>
              <w:t>77</w:t>
            </w:r>
            <w:r>
              <w:rPr>
                <w:rFonts w:hint="eastAsia" w:ascii="仿宋" w:hAnsi="仿宋" w:eastAsia="仿宋"/>
                <w:color w:val="000000" w:themeColor="text1"/>
                <w:sz w:val="21"/>
                <w:szCs w:val="21"/>
              </w:rPr>
              <w:t>家企业实施帮扶项目</w:t>
            </w:r>
            <w:r>
              <w:rPr>
                <w:rFonts w:hint="eastAsia" w:ascii="仿宋" w:hAnsi="仿宋" w:eastAsia="仿宋"/>
                <w:color w:val="000000" w:themeColor="text1"/>
                <w:sz w:val="21"/>
                <w:szCs w:val="21"/>
                <w:lang w:val="en-US" w:eastAsia="zh-CN"/>
              </w:rPr>
              <w:t>100</w:t>
            </w:r>
            <w:r>
              <w:rPr>
                <w:rFonts w:hint="eastAsia" w:ascii="仿宋" w:hAnsi="仿宋" w:eastAsia="仿宋"/>
                <w:color w:val="000000" w:themeColor="text1"/>
                <w:sz w:val="21"/>
                <w:szCs w:val="21"/>
              </w:rPr>
              <w:t>个，累计投入帮扶资金</w:t>
            </w:r>
            <w:r>
              <w:rPr>
                <w:rFonts w:hint="eastAsia" w:ascii="仿宋" w:hAnsi="仿宋" w:eastAsia="仿宋"/>
                <w:color w:val="000000" w:themeColor="text1"/>
                <w:sz w:val="21"/>
                <w:szCs w:val="21"/>
                <w:lang w:val="en-US" w:eastAsia="zh-CN"/>
              </w:rPr>
              <w:t>5650.6</w:t>
            </w:r>
            <w:r>
              <w:rPr>
                <w:rFonts w:hint="eastAsia" w:ascii="仿宋" w:hAnsi="仿宋" w:eastAsia="仿宋"/>
                <w:color w:val="000000" w:themeColor="text1"/>
                <w:sz w:val="21"/>
                <w:szCs w:val="21"/>
                <w:lang w:eastAsia="zh-CN"/>
              </w:rPr>
              <w:t>万</w:t>
            </w:r>
            <w:r>
              <w:rPr>
                <w:rFonts w:hint="eastAsia" w:ascii="仿宋" w:hAnsi="仿宋" w:eastAsia="仿宋"/>
                <w:color w:val="000000" w:themeColor="text1"/>
                <w:sz w:val="21"/>
                <w:szCs w:val="21"/>
              </w:rPr>
              <w:t>元，精准帮扶贫困人口</w:t>
            </w:r>
            <w:r>
              <w:rPr>
                <w:rFonts w:hint="eastAsia" w:ascii="仿宋" w:hAnsi="仿宋" w:eastAsia="仿宋"/>
                <w:color w:val="000000" w:themeColor="text1"/>
                <w:sz w:val="21"/>
                <w:szCs w:val="21"/>
                <w:lang w:val="en-US" w:eastAsia="zh-CN"/>
              </w:rPr>
              <w:t>13708</w:t>
            </w:r>
            <w:r>
              <w:rPr>
                <w:rFonts w:hint="eastAsia" w:ascii="仿宋" w:hAnsi="仿宋" w:eastAsia="仿宋"/>
                <w:color w:val="000000" w:themeColor="text1"/>
                <w:sz w:val="21"/>
                <w:szCs w:val="21"/>
              </w:rPr>
              <w:t>人，</w:t>
            </w:r>
            <w:r>
              <w:rPr>
                <w:rFonts w:hint="eastAsia" w:ascii="仿宋" w:hAnsi="仿宋" w:eastAsia="仿宋"/>
                <w:color w:val="000000" w:themeColor="text1"/>
                <w:sz w:val="21"/>
                <w:szCs w:val="21"/>
                <w:lang w:eastAsia="zh-CN"/>
              </w:rPr>
              <w:t>解决</w:t>
            </w:r>
            <w:r>
              <w:rPr>
                <w:rFonts w:hint="eastAsia" w:ascii="仿宋" w:hAnsi="仿宋" w:eastAsia="仿宋"/>
                <w:color w:val="000000" w:themeColor="text1"/>
                <w:sz w:val="21"/>
                <w:szCs w:val="21"/>
              </w:rPr>
              <w:t>就业</w:t>
            </w:r>
            <w:r>
              <w:rPr>
                <w:rFonts w:hint="eastAsia" w:ascii="仿宋" w:hAnsi="仿宋" w:eastAsia="仿宋"/>
                <w:color w:val="000000" w:themeColor="text1"/>
                <w:sz w:val="21"/>
                <w:szCs w:val="21"/>
                <w:lang w:val="en-US" w:eastAsia="zh-CN"/>
              </w:rPr>
              <w:t>669</w:t>
            </w:r>
            <w:r>
              <w:rPr>
                <w:rFonts w:hint="eastAsia" w:ascii="仿宋" w:hAnsi="仿宋" w:eastAsia="仿宋"/>
                <w:color w:val="000000" w:themeColor="text1"/>
                <w:sz w:val="21"/>
                <w:szCs w:val="21"/>
              </w:rPr>
              <w:t>人</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olor w:val="000000" w:themeColor="text1"/>
                <w:sz w:val="21"/>
                <w:szCs w:val="21"/>
                <w:lang w:val="en-US" w:eastAsia="zh-CN"/>
              </w:rPr>
              <w:t>77</w:t>
            </w:r>
            <w:r>
              <w:rPr>
                <w:rFonts w:hint="eastAsia" w:ascii="仿宋" w:hAnsi="仿宋" w:eastAsia="仿宋"/>
                <w:color w:val="000000" w:themeColor="text1"/>
                <w:sz w:val="21"/>
                <w:szCs w:val="21"/>
              </w:rPr>
              <w:t>家企业实施帮扶项目</w:t>
            </w:r>
            <w:r>
              <w:rPr>
                <w:rFonts w:hint="eastAsia" w:ascii="仿宋" w:hAnsi="仿宋" w:eastAsia="仿宋"/>
                <w:color w:val="000000" w:themeColor="text1"/>
                <w:sz w:val="21"/>
                <w:szCs w:val="21"/>
                <w:lang w:val="en-US" w:eastAsia="zh-CN"/>
              </w:rPr>
              <w:t>100</w:t>
            </w:r>
            <w:r>
              <w:rPr>
                <w:rFonts w:hint="eastAsia" w:ascii="仿宋" w:hAnsi="仿宋" w:eastAsia="仿宋"/>
                <w:color w:val="000000" w:themeColor="text1"/>
                <w:sz w:val="21"/>
                <w:szCs w:val="21"/>
              </w:rPr>
              <w:t>个，累计投入帮扶资金</w:t>
            </w:r>
            <w:r>
              <w:rPr>
                <w:rFonts w:hint="eastAsia" w:ascii="仿宋" w:hAnsi="仿宋" w:eastAsia="仿宋"/>
                <w:color w:val="000000" w:themeColor="text1"/>
                <w:sz w:val="21"/>
                <w:szCs w:val="21"/>
                <w:lang w:val="en-US" w:eastAsia="zh-CN"/>
              </w:rPr>
              <w:t>5650.6</w:t>
            </w:r>
            <w:r>
              <w:rPr>
                <w:rFonts w:hint="eastAsia" w:ascii="仿宋" w:hAnsi="仿宋" w:eastAsia="仿宋"/>
                <w:color w:val="000000" w:themeColor="text1"/>
                <w:sz w:val="21"/>
                <w:szCs w:val="21"/>
                <w:lang w:eastAsia="zh-CN"/>
              </w:rPr>
              <w:t>万</w:t>
            </w:r>
            <w:r>
              <w:rPr>
                <w:rFonts w:hint="eastAsia" w:ascii="仿宋" w:hAnsi="仿宋" w:eastAsia="仿宋"/>
                <w:color w:val="000000" w:themeColor="text1"/>
                <w:sz w:val="21"/>
                <w:szCs w:val="21"/>
              </w:rPr>
              <w:t>元，精准帮扶贫困人口</w:t>
            </w:r>
            <w:r>
              <w:rPr>
                <w:rFonts w:hint="eastAsia" w:ascii="仿宋" w:hAnsi="仿宋" w:eastAsia="仿宋"/>
                <w:color w:val="000000" w:themeColor="text1"/>
                <w:sz w:val="21"/>
                <w:szCs w:val="21"/>
                <w:lang w:val="en-US" w:eastAsia="zh-CN"/>
              </w:rPr>
              <w:t>13708</w:t>
            </w:r>
            <w:r>
              <w:rPr>
                <w:rFonts w:hint="eastAsia" w:ascii="仿宋" w:hAnsi="仿宋" w:eastAsia="仿宋"/>
                <w:color w:val="000000" w:themeColor="text1"/>
                <w:sz w:val="21"/>
                <w:szCs w:val="21"/>
              </w:rPr>
              <w:t>人，</w:t>
            </w:r>
            <w:r>
              <w:rPr>
                <w:rFonts w:hint="eastAsia" w:ascii="仿宋" w:hAnsi="仿宋" w:eastAsia="仿宋"/>
                <w:color w:val="000000" w:themeColor="text1"/>
                <w:sz w:val="21"/>
                <w:szCs w:val="21"/>
                <w:lang w:eastAsia="zh-CN"/>
              </w:rPr>
              <w:t>解决</w:t>
            </w:r>
            <w:r>
              <w:rPr>
                <w:rFonts w:hint="eastAsia" w:ascii="仿宋" w:hAnsi="仿宋" w:eastAsia="仿宋"/>
                <w:color w:val="000000" w:themeColor="text1"/>
                <w:sz w:val="21"/>
                <w:szCs w:val="21"/>
              </w:rPr>
              <w:t>就业</w:t>
            </w:r>
            <w:r>
              <w:rPr>
                <w:rFonts w:hint="eastAsia" w:ascii="仿宋" w:hAnsi="仿宋" w:eastAsia="仿宋"/>
                <w:color w:val="000000" w:themeColor="text1"/>
                <w:sz w:val="21"/>
                <w:szCs w:val="21"/>
                <w:lang w:val="en-US" w:eastAsia="zh-CN"/>
              </w:rPr>
              <w:t>669</w:t>
            </w:r>
            <w:r>
              <w:rPr>
                <w:rFonts w:hint="eastAsia" w:ascii="仿宋" w:hAnsi="仿宋" w:eastAsia="仿宋"/>
                <w:color w:val="000000" w:themeColor="text1"/>
                <w:sz w:val="21"/>
                <w:szCs w:val="21"/>
              </w:rPr>
              <w:t>人</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hint="eastAsia" w:eastAsia="仿宋_GB2312"/>
                <w:color w:val="000000"/>
                <w:kern w:val="0"/>
                <w:sz w:val="21"/>
                <w:szCs w:val="21"/>
                <w:lang w:val="en-US" w:eastAsia="zh-CN"/>
              </w:rPr>
              <w:t>7</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hint="eastAsia" w:eastAsia="仿宋_GB2312"/>
                <w:color w:val="000000"/>
                <w:kern w:val="0"/>
                <w:sz w:val="21"/>
                <w:szCs w:val="21"/>
                <w:lang w:val="en-US" w:eastAsia="zh-CN"/>
              </w:rPr>
              <w:t>7</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r>
      <w:tr>
        <w:tblPrEx>
          <w:tblCellMar>
            <w:top w:w="0" w:type="dxa"/>
            <w:left w:w="108" w:type="dxa"/>
            <w:bottom w:w="0" w:type="dxa"/>
            <w:right w:w="108" w:type="dxa"/>
          </w:tblCellMar>
        </w:tblPrEx>
        <w:trPr>
          <w:trHeight w:val="1714"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质量指标</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rPr>
              <w:t>增加税收</w:t>
            </w:r>
          </w:p>
        </w:tc>
        <w:tc>
          <w:tcPr>
            <w:tcW w:w="16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rPr>
              <w:t>提高地方经济发展及税收收入，扩大就业成功率</w:t>
            </w:r>
            <w:r>
              <w:rPr>
                <w:rFonts w:hint="default" w:eastAsia="仿宋_GB2312"/>
                <w:color w:val="000000"/>
                <w:kern w:val="0"/>
                <w:sz w:val="21"/>
                <w:szCs w:val="21"/>
              </w:rPr>
              <w:t>≥</w:t>
            </w:r>
            <w:r>
              <w:rPr>
                <w:rFonts w:hint="eastAsia" w:eastAsia="仿宋_GB2312"/>
                <w:color w:val="000000"/>
                <w:kern w:val="0"/>
                <w:sz w:val="21"/>
                <w:szCs w:val="21"/>
                <w:lang w:val="en-US" w:eastAsia="zh-CN"/>
              </w:rPr>
              <w:t>80%</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rPr>
              <w:t>提高地方经济发展及税收收入，扩大就业成功率达</w:t>
            </w:r>
            <w:r>
              <w:rPr>
                <w:rFonts w:hint="eastAsia" w:eastAsia="仿宋_GB2312"/>
                <w:color w:val="000000"/>
                <w:kern w:val="0"/>
                <w:sz w:val="21"/>
                <w:szCs w:val="21"/>
                <w:lang w:val="en-US" w:eastAsia="zh-CN"/>
              </w:rPr>
              <w:t>8</w:t>
            </w:r>
            <w:r>
              <w:rPr>
                <w:rFonts w:hint="eastAsia" w:eastAsia="仿宋_GB2312"/>
                <w:color w:val="000000"/>
                <w:kern w:val="0"/>
                <w:sz w:val="21"/>
                <w:szCs w:val="21"/>
              </w:rPr>
              <w:t>0%以上</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987"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olor w:val="000000" w:themeColor="text1"/>
                <w:sz w:val="21"/>
                <w:szCs w:val="21"/>
              </w:rPr>
              <w:t>精准扶贫</w:t>
            </w:r>
          </w:p>
        </w:tc>
        <w:tc>
          <w:tcPr>
            <w:tcW w:w="16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ascii="仿宋" w:hAnsi="仿宋" w:eastAsia="仿宋"/>
                <w:color w:val="000000" w:themeColor="text1"/>
                <w:sz w:val="21"/>
                <w:szCs w:val="21"/>
              </w:rPr>
              <w:t>精准帮扶贫困人口</w:t>
            </w:r>
            <w:r>
              <w:rPr>
                <w:rFonts w:hint="eastAsia" w:eastAsia="仿宋_GB2312"/>
                <w:color w:val="000000"/>
                <w:kern w:val="0"/>
                <w:sz w:val="21"/>
                <w:szCs w:val="21"/>
                <w:lang w:eastAsia="zh-CN"/>
              </w:rPr>
              <w:t>率</w:t>
            </w:r>
            <w:r>
              <w:rPr>
                <w:rFonts w:hint="default" w:eastAsia="仿宋_GB2312"/>
                <w:color w:val="000000"/>
                <w:kern w:val="0"/>
                <w:sz w:val="21"/>
                <w:szCs w:val="21"/>
                <w:lang w:eastAsia="zh-CN"/>
              </w:rPr>
              <w:t>≥</w:t>
            </w:r>
            <w:r>
              <w:rPr>
                <w:rFonts w:hint="eastAsia" w:eastAsia="仿宋_GB2312"/>
                <w:color w:val="000000"/>
                <w:kern w:val="0"/>
                <w:sz w:val="21"/>
                <w:szCs w:val="21"/>
                <w:lang w:val="en-US" w:eastAsia="zh-CN"/>
              </w:rPr>
              <w:t>95%</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rPr>
            </w:pPr>
            <w:r>
              <w:rPr>
                <w:rFonts w:eastAsia="仿宋_GB2312"/>
                <w:color w:val="000000"/>
                <w:kern w:val="0"/>
                <w:sz w:val="21"/>
                <w:szCs w:val="21"/>
              </w:rPr>
              <w:t>　</w:t>
            </w:r>
            <w:r>
              <w:rPr>
                <w:rFonts w:hint="eastAsia" w:ascii="仿宋" w:hAnsi="仿宋" w:eastAsia="仿宋"/>
                <w:color w:val="000000" w:themeColor="text1"/>
                <w:sz w:val="21"/>
                <w:szCs w:val="21"/>
              </w:rPr>
              <w:t>精准帮扶贫困人口</w:t>
            </w:r>
            <w:r>
              <w:rPr>
                <w:rFonts w:hint="eastAsia" w:eastAsia="仿宋_GB2312"/>
                <w:color w:val="000000"/>
                <w:kern w:val="0"/>
                <w:sz w:val="21"/>
                <w:szCs w:val="21"/>
                <w:lang w:eastAsia="zh-CN"/>
              </w:rPr>
              <w:t>率</w:t>
            </w:r>
            <w:r>
              <w:rPr>
                <w:rFonts w:hint="default" w:eastAsia="仿宋_GB2312"/>
                <w:color w:val="000000"/>
                <w:kern w:val="0"/>
                <w:sz w:val="21"/>
                <w:szCs w:val="21"/>
                <w:lang w:eastAsia="zh-CN"/>
              </w:rPr>
              <w:t>≥</w:t>
            </w:r>
            <w:r>
              <w:rPr>
                <w:rFonts w:hint="eastAsia" w:eastAsia="仿宋_GB2312"/>
                <w:color w:val="000000"/>
                <w:kern w:val="0"/>
                <w:sz w:val="21"/>
                <w:szCs w:val="21"/>
                <w:lang w:val="en-US" w:eastAsia="zh-CN"/>
              </w:rPr>
              <w:t>95%以上</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6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时效指标</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s="仿宋"/>
                <w:color w:val="0C0C0C" w:themeColor="text1" w:themeTint="F2"/>
                <w:sz w:val="21"/>
                <w:szCs w:val="21"/>
              </w:rPr>
              <w:t>四好商会</w:t>
            </w:r>
          </w:p>
        </w:tc>
        <w:tc>
          <w:tcPr>
            <w:tcW w:w="16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lang w:val="en-US" w:eastAsia="zh-CN"/>
              </w:rPr>
              <w:t>2019年完成</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lang w:val="en-US" w:eastAsia="zh-CN"/>
              </w:rPr>
              <w:t>2019年基本完成</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6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s="仿宋"/>
                <w:color w:val="000000" w:themeColor="text1"/>
                <w:sz w:val="21"/>
                <w:szCs w:val="21"/>
                <w:lang w:eastAsia="zh-CN"/>
              </w:rPr>
              <w:t>万企帮万村</w:t>
            </w:r>
          </w:p>
        </w:tc>
        <w:tc>
          <w:tcPr>
            <w:tcW w:w="16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lang w:val="en-US" w:eastAsia="zh-CN"/>
              </w:rPr>
              <w:t>2019年完成</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lang w:val="en-US" w:eastAsia="zh-CN"/>
              </w:rPr>
              <w:t>2019年全部完成</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7</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成本指标</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16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6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96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rPr>
              <w:t>运行成本</w:t>
            </w:r>
          </w:p>
        </w:tc>
        <w:tc>
          <w:tcPr>
            <w:tcW w:w="16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31万元</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31.01万元</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6</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123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restart"/>
            <w:tcBorders>
              <w:top w:val="single" w:color="auto" w:sz="4" w:space="0"/>
              <w:left w:val="nil"/>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效益</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指标</w:t>
            </w:r>
          </w:p>
          <w:p>
            <w:pPr>
              <w:widowControl/>
              <w:spacing w:line="240" w:lineRule="auto"/>
              <w:ind w:firstLine="0" w:firstLineChars="0"/>
              <w:jc w:val="left"/>
              <w:rPr>
                <w:rFonts w:eastAsia="仿宋_GB2312"/>
                <w:color w:val="000000"/>
                <w:kern w:val="0"/>
                <w:sz w:val="21"/>
                <w:szCs w:val="21"/>
              </w:rPr>
            </w:pPr>
          </w:p>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（30分）</w:t>
            </w:r>
          </w:p>
          <w:p>
            <w:pPr>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96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经济效</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益指标</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rPr>
              <w:t>增加税收</w:t>
            </w:r>
          </w:p>
        </w:tc>
        <w:tc>
          <w:tcPr>
            <w:tcW w:w="16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rPr>
              <w:t>提高地方经济发展及税收收入，扩大就业</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rPr>
              <w:t>提高地方经济发展及税收收入，扩大就业</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4</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987"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left w:val="nil"/>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olor w:val="000000" w:themeColor="text1"/>
                <w:sz w:val="21"/>
                <w:szCs w:val="21"/>
              </w:rPr>
              <w:t>精准扶贫</w:t>
            </w:r>
          </w:p>
        </w:tc>
        <w:tc>
          <w:tcPr>
            <w:tcW w:w="16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ascii="仿宋" w:hAnsi="仿宋" w:eastAsia="仿宋"/>
                <w:color w:val="000000" w:themeColor="text1"/>
                <w:sz w:val="21"/>
                <w:szCs w:val="21"/>
              </w:rPr>
              <w:t>精准帮扶贫困人口</w:t>
            </w:r>
            <w:r>
              <w:rPr>
                <w:rFonts w:hint="eastAsia" w:ascii="仿宋" w:hAnsi="仿宋" w:eastAsia="仿宋"/>
                <w:color w:val="000000" w:themeColor="text1"/>
                <w:sz w:val="21"/>
                <w:szCs w:val="21"/>
                <w:lang w:val="en-US" w:eastAsia="zh-CN"/>
              </w:rPr>
              <w:t>13708</w:t>
            </w:r>
            <w:r>
              <w:rPr>
                <w:rFonts w:hint="eastAsia" w:ascii="仿宋" w:hAnsi="仿宋" w:eastAsia="仿宋"/>
                <w:color w:val="000000" w:themeColor="text1"/>
                <w:sz w:val="21"/>
                <w:szCs w:val="21"/>
              </w:rPr>
              <w:t>人</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ascii="仿宋" w:hAnsi="仿宋" w:eastAsia="仿宋"/>
                <w:color w:val="000000" w:themeColor="text1"/>
                <w:sz w:val="21"/>
                <w:szCs w:val="21"/>
              </w:rPr>
              <w:t>精准帮扶贫困人口</w:t>
            </w:r>
            <w:r>
              <w:rPr>
                <w:rFonts w:hint="eastAsia" w:ascii="仿宋" w:hAnsi="仿宋" w:eastAsia="仿宋"/>
                <w:color w:val="000000" w:themeColor="text1"/>
                <w:sz w:val="21"/>
                <w:szCs w:val="21"/>
                <w:lang w:val="en-US" w:eastAsia="zh-CN"/>
              </w:rPr>
              <w:t>13708</w:t>
            </w:r>
            <w:r>
              <w:rPr>
                <w:rFonts w:hint="eastAsia" w:ascii="仿宋" w:hAnsi="仿宋" w:eastAsia="仿宋"/>
                <w:color w:val="000000" w:themeColor="text1"/>
                <w:sz w:val="21"/>
                <w:szCs w:val="21"/>
              </w:rPr>
              <w:t>人</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745"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left w:val="nil"/>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社会效</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益指标</w:t>
            </w: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rPr>
              <w:t>带动就业</w:t>
            </w:r>
          </w:p>
        </w:tc>
        <w:tc>
          <w:tcPr>
            <w:tcW w:w="16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hint="eastAsia" w:eastAsia="仿宋_GB2312"/>
                <w:color w:val="000000"/>
                <w:kern w:val="0"/>
                <w:sz w:val="21"/>
                <w:szCs w:val="21"/>
                <w:lang w:val="en-US" w:eastAsia="zh-CN"/>
              </w:rPr>
              <w:t>解决民生问题</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解决就业6千多人次</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4</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left w:val="nil"/>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16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43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9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left w:val="nil"/>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生态效</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益指标</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ascii="仿宋" w:hAnsi="仿宋" w:eastAsia="仿宋" w:cs="仿宋"/>
                <w:color w:val="0C0C0C" w:themeColor="text1" w:themeTint="F2"/>
                <w:sz w:val="21"/>
                <w:szCs w:val="21"/>
                <w:lang w:val="en-US" w:eastAsia="zh-CN"/>
              </w:rPr>
              <w:t>优化营商环境</w:t>
            </w:r>
          </w:p>
        </w:tc>
        <w:tc>
          <w:tcPr>
            <w:tcW w:w="16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lang w:val="en-US" w:eastAsia="zh-CN"/>
              </w:rPr>
              <w:t>优化非公企业环境及服务</w:t>
            </w:r>
            <w:r>
              <w:rPr>
                <w:rFonts w:eastAsia="仿宋_GB2312"/>
                <w:color w:val="000000"/>
                <w:kern w:val="0"/>
                <w:sz w:val="21"/>
                <w:szCs w:val="21"/>
              </w:rPr>
              <w:t>　</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lang w:val="en-US" w:eastAsia="zh-CN"/>
              </w:rPr>
              <w:t>优化非公企业环境及服务</w:t>
            </w:r>
            <w:r>
              <w:rPr>
                <w:rFonts w:eastAsia="仿宋_GB2312"/>
                <w:color w:val="000000"/>
                <w:kern w:val="0"/>
                <w:sz w:val="21"/>
                <w:szCs w:val="21"/>
              </w:rPr>
              <w:t>　</w:t>
            </w:r>
          </w:p>
        </w:tc>
        <w:tc>
          <w:tcPr>
            <w:tcW w:w="4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8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center"/>
              <w:rPr>
                <w:rFonts w:eastAsia="仿宋_GB2312"/>
                <w:color w:val="000000"/>
                <w:kern w:val="0"/>
                <w:sz w:val="21"/>
                <w:szCs w:val="21"/>
              </w:rPr>
            </w:pPr>
          </w:p>
        </w:tc>
        <w:tc>
          <w:tcPr>
            <w:tcW w:w="935" w:type="dxa"/>
            <w:vMerge w:val="continue"/>
            <w:tcBorders>
              <w:left w:val="nil"/>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6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12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16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43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745" w:hRule="atLeast"/>
        </w:trPr>
        <w:tc>
          <w:tcPr>
            <w:tcW w:w="1070" w:type="dxa"/>
            <w:vMerge w:val="continue"/>
            <w:tcBorders>
              <w:left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p>
        </w:tc>
        <w:tc>
          <w:tcPr>
            <w:tcW w:w="935" w:type="dxa"/>
            <w:vMerge w:val="continue"/>
            <w:tcBorders>
              <w:left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963" w:type="dxa"/>
            <w:vMerge w:val="restart"/>
            <w:tcBorders>
              <w:top w:val="single" w:color="auto" w:sz="4" w:space="0"/>
              <w:left w:val="single" w:color="auto" w:sz="4" w:space="0"/>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可持续影响指标</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hint="eastAsia" w:eastAsia="仿宋_GB2312"/>
                <w:color w:val="000000"/>
                <w:kern w:val="0"/>
                <w:sz w:val="21"/>
                <w:szCs w:val="21"/>
                <w:lang w:val="en-US" w:eastAsia="zh-CN"/>
              </w:rPr>
              <w:t>招商引资宣传</w:t>
            </w:r>
          </w:p>
        </w:tc>
        <w:tc>
          <w:tcPr>
            <w:tcW w:w="16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rPr>
              <w:t>给企业提供优质服务</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rPr>
              <w:t>给企业提供优质服务</w:t>
            </w:r>
          </w:p>
        </w:tc>
        <w:tc>
          <w:tcPr>
            <w:tcW w:w="4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11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8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6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35"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963"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12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hint="eastAsia" w:eastAsia="仿宋_GB2312"/>
                <w:color w:val="000000"/>
                <w:kern w:val="0"/>
                <w:sz w:val="21"/>
                <w:szCs w:val="21"/>
                <w:lang w:val="en-US" w:eastAsia="zh-CN"/>
              </w:rPr>
              <w:t>工商联事务</w:t>
            </w:r>
          </w:p>
        </w:tc>
        <w:tc>
          <w:tcPr>
            <w:tcW w:w="165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hint="eastAsia" w:eastAsia="仿宋_GB2312"/>
                <w:color w:val="000000"/>
                <w:kern w:val="0"/>
                <w:sz w:val="21"/>
                <w:szCs w:val="21"/>
              </w:rPr>
              <w:t>建立长效机制</w:t>
            </w:r>
          </w:p>
        </w:tc>
        <w:tc>
          <w:tcPr>
            <w:tcW w:w="110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rPr>
              <w:t>建立长效机制</w:t>
            </w:r>
          </w:p>
        </w:tc>
        <w:tc>
          <w:tcPr>
            <w:tcW w:w="43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110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5</w:t>
            </w:r>
          </w:p>
        </w:tc>
        <w:tc>
          <w:tcPr>
            <w:tcW w:w="8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10" w:hRule="atLeast"/>
        </w:trPr>
        <w:tc>
          <w:tcPr>
            <w:tcW w:w="1070" w:type="dxa"/>
            <w:vMerge w:val="continue"/>
            <w:tcBorders>
              <w:left w:val="single" w:color="auto" w:sz="4" w:space="0"/>
              <w:right w:val="single" w:color="auto" w:sz="4" w:space="0"/>
            </w:tcBorders>
            <w:shd w:val="clear" w:color="auto" w:fill="auto"/>
            <w:vAlign w:val="center"/>
          </w:tcPr>
          <w:p>
            <w:pPr>
              <w:spacing w:line="240" w:lineRule="auto"/>
              <w:ind w:firstLine="0" w:firstLineChars="0"/>
              <w:jc w:val="left"/>
              <w:rPr>
                <w:rFonts w:eastAsia="仿宋_GB2312"/>
                <w:color w:val="000000"/>
                <w:kern w:val="0"/>
                <w:sz w:val="21"/>
                <w:szCs w:val="21"/>
              </w:rPr>
            </w:pPr>
          </w:p>
        </w:tc>
        <w:tc>
          <w:tcPr>
            <w:tcW w:w="935" w:type="dxa"/>
            <w:vMerge w:val="restart"/>
            <w:tcBorders>
              <w:top w:val="nil"/>
              <w:left w:val="nil"/>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满意度</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指标</w:t>
            </w:r>
          </w:p>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（10分）</w:t>
            </w:r>
          </w:p>
        </w:tc>
        <w:tc>
          <w:tcPr>
            <w:tcW w:w="963" w:type="dxa"/>
            <w:vMerge w:val="restart"/>
            <w:tcBorders>
              <w:top w:val="nil"/>
              <w:left w:val="nil"/>
              <w:right w:val="single" w:color="auto" w:sz="4" w:space="0"/>
            </w:tcBorders>
            <w:shd w:val="clear" w:color="auto" w:fill="auto"/>
            <w:vAlign w:val="center"/>
          </w:tcPr>
          <w:p>
            <w:pPr>
              <w:widowControl/>
              <w:spacing w:line="240" w:lineRule="auto"/>
              <w:ind w:firstLine="0" w:firstLineChars="0"/>
              <w:jc w:val="center"/>
              <w:rPr>
                <w:rFonts w:eastAsia="仿宋_GB2312"/>
                <w:color w:val="000000"/>
                <w:kern w:val="0"/>
                <w:sz w:val="21"/>
                <w:szCs w:val="21"/>
              </w:rPr>
            </w:pPr>
            <w:r>
              <w:rPr>
                <w:rFonts w:eastAsia="仿宋_GB2312"/>
                <w:color w:val="000000"/>
                <w:kern w:val="0"/>
                <w:sz w:val="21"/>
                <w:szCs w:val="21"/>
              </w:rPr>
              <w:t>服务对象满意度指标</w:t>
            </w:r>
          </w:p>
        </w:tc>
        <w:tc>
          <w:tcPr>
            <w:tcW w:w="12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165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43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110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c>
          <w:tcPr>
            <w:tcW w:w="8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1230" w:hRule="atLeast"/>
        </w:trPr>
        <w:tc>
          <w:tcPr>
            <w:tcW w:w="1070"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935" w:type="dxa"/>
            <w:vMerge w:val="continue"/>
            <w:tcBorders>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963" w:type="dxa"/>
            <w:vMerge w:val="continue"/>
            <w:tcBorders>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p>
        </w:tc>
        <w:tc>
          <w:tcPr>
            <w:tcW w:w="12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hint="eastAsia" w:eastAsia="仿宋_GB2312"/>
                <w:color w:val="000000"/>
                <w:kern w:val="0"/>
                <w:sz w:val="21"/>
                <w:szCs w:val="21"/>
                <w:lang w:val="en-US" w:eastAsia="zh-CN"/>
              </w:rPr>
              <w:t>非公企业</w:t>
            </w:r>
          </w:p>
        </w:tc>
        <w:tc>
          <w:tcPr>
            <w:tcW w:w="165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lang w:val="en-US" w:eastAsia="zh-CN"/>
              </w:rPr>
              <w:t>非公企业</w:t>
            </w:r>
            <w:r>
              <w:rPr>
                <w:rFonts w:hint="eastAsia" w:eastAsia="仿宋_GB2312"/>
                <w:color w:val="000000"/>
                <w:kern w:val="0"/>
                <w:sz w:val="21"/>
                <w:szCs w:val="21"/>
              </w:rPr>
              <w:t>服务满意度达9</w:t>
            </w:r>
            <w:r>
              <w:rPr>
                <w:rFonts w:hint="eastAsia" w:eastAsia="仿宋_GB2312"/>
                <w:color w:val="000000"/>
                <w:kern w:val="0"/>
                <w:sz w:val="21"/>
                <w:szCs w:val="21"/>
                <w:lang w:val="en-US" w:eastAsia="zh-CN"/>
              </w:rPr>
              <w:t>8</w:t>
            </w:r>
            <w:r>
              <w:rPr>
                <w:rFonts w:hint="eastAsia" w:eastAsia="仿宋_GB2312"/>
                <w:color w:val="000000"/>
                <w:kern w:val="0"/>
                <w:sz w:val="21"/>
                <w:szCs w:val="21"/>
              </w:rPr>
              <w:t>%以上。</w:t>
            </w:r>
          </w:p>
        </w:tc>
        <w:tc>
          <w:tcPr>
            <w:tcW w:w="110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r>
              <w:rPr>
                <w:rFonts w:hint="eastAsia" w:eastAsia="仿宋_GB2312"/>
                <w:color w:val="000000"/>
                <w:kern w:val="0"/>
                <w:sz w:val="21"/>
                <w:szCs w:val="21"/>
                <w:lang w:val="en-US" w:eastAsia="zh-CN"/>
              </w:rPr>
              <w:t>非公企业</w:t>
            </w:r>
            <w:r>
              <w:rPr>
                <w:rFonts w:hint="eastAsia" w:eastAsia="仿宋_GB2312"/>
                <w:color w:val="000000"/>
                <w:kern w:val="0"/>
                <w:sz w:val="21"/>
                <w:szCs w:val="21"/>
              </w:rPr>
              <w:t>服务满意度达</w:t>
            </w:r>
            <w:r>
              <w:rPr>
                <w:rFonts w:hint="eastAsia" w:eastAsia="仿宋_GB2312"/>
                <w:color w:val="000000"/>
                <w:kern w:val="0"/>
                <w:sz w:val="21"/>
                <w:szCs w:val="21"/>
                <w:lang w:val="en-US" w:eastAsia="zh-CN"/>
              </w:rPr>
              <w:t>100</w:t>
            </w:r>
            <w:r>
              <w:rPr>
                <w:rFonts w:hint="eastAsia" w:eastAsia="仿宋_GB2312"/>
                <w:color w:val="000000"/>
                <w:kern w:val="0"/>
                <w:sz w:val="21"/>
                <w:szCs w:val="21"/>
              </w:rPr>
              <w:t>%以上。</w:t>
            </w:r>
          </w:p>
        </w:tc>
        <w:tc>
          <w:tcPr>
            <w:tcW w:w="43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10</w:t>
            </w:r>
          </w:p>
        </w:tc>
        <w:tc>
          <w:tcPr>
            <w:tcW w:w="110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hint="default" w:eastAsia="仿宋_GB2312"/>
                <w:color w:val="000000"/>
                <w:kern w:val="0"/>
                <w:sz w:val="21"/>
                <w:szCs w:val="21"/>
                <w:lang w:val="en-US" w:eastAsia="zh-CN"/>
              </w:rPr>
            </w:pPr>
            <w:r>
              <w:rPr>
                <w:rFonts w:eastAsia="仿宋_GB2312"/>
                <w:color w:val="000000"/>
                <w:kern w:val="0"/>
                <w:sz w:val="21"/>
                <w:szCs w:val="21"/>
              </w:rPr>
              <w:t>　</w:t>
            </w:r>
            <w:r>
              <w:rPr>
                <w:rFonts w:hint="eastAsia" w:eastAsia="仿宋_GB2312"/>
                <w:color w:val="000000"/>
                <w:kern w:val="0"/>
                <w:sz w:val="21"/>
                <w:szCs w:val="21"/>
                <w:lang w:val="en-US" w:eastAsia="zh-CN"/>
              </w:rPr>
              <w:t>10</w:t>
            </w:r>
          </w:p>
        </w:tc>
        <w:tc>
          <w:tcPr>
            <w:tcW w:w="8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仿宋_GB2312"/>
                <w:color w:val="000000"/>
                <w:kern w:val="0"/>
                <w:sz w:val="21"/>
                <w:szCs w:val="21"/>
              </w:rPr>
            </w:pPr>
            <w:r>
              <w:rPr>
                <w:rFonts w:eastAsia="仿宋_GB2312"/>
                <w:color w:val="000000"/>
                <w:kern w:val="0"/>
                <w:sz w:val="21"/>
                <w:szCs w:val="21"/>
              </w:rPr>
              <w:t>　</w:t>
            </w:r>
          </w:p>
        </w:tc>
      </w:tr>
      <w:tr>
        <w:tblPrEx>
          <w:tblCellMar>
            <w:top w:w="0" w:type="dxa"/>
            <w:left w:w="108" w:type="dxa"/>
            <w:bottom w:w="0" w:type="dxa"/>
            <w:right w:w="108" w:type="dxa"/>
          </w:tblCellMar>
        </w:tblPrEx>
        <w:trPr>
          <w:trHeight w:val="320" w:hRule="atLeast"/>
        </w:trPr>
        <w:tc>
          <w:tcPr>
            <w:tcW w:w="425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eastAsia="仿宋_GB2312"/>
                <w:color w:val="000000"/>
                <w:kern w:val="0"/>
                <w:sz w:val="21"/>
                <w:szCs w:val="21"/>
                <w:lang w:val="en-US" w:eastAsia="zh-CN"/>
              </w:rPr>
            </w:pPr>
            <w:r>
              <w:rPr>
                <w:rFonts w:hint="eastAsia" w:eastAsia="仿宋_GB2312"/>
                <w:color w:val="000000"/>
                <w:kern w:val="0"/>
                <w:sz w:val="21"/>
                <w:szCs w:val="21"/>
                <w:lang w:val="en-US" w:eastAsia="zh-CN"/>
              </w:rPr>
              <w:t>总分93分</w:t>
            </w:r>
          </w:p>
        </w:tc>
        <w:tc>
          <w:tcPr>
            <w:tcW w:w="518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eastAsia="仿宋_GB2312"/>
                <w:color w:val="000000"/>
                <w:kern w:val="0"/>
                <w:sz w:val="21"/>
                <w:szCs w:val="21"/>
                <w:lang w:val="en-US" w:eastAsia="zh-CN"/>
              </w:rPr>
            </w:pPr>
            <w:r>
              <w:rPr>
                <w:rFonts w:hint="eastAsia" w:eastAsia="仿宋_GB2312"/>
                <w:color w:val="000000"/>
                <w:kern w:val="0"/>
                <w:sz w:val="21"/>
                <w:szCs w:val="21"/>
                <w:lang w:val="en-US" w:eastAsia="zh-CN"/>
              </w:rPr>
              <w:t>100</w:t>
            </w:r>
          </w:p>
        </w:tc>
      </w:tr>
    </w:tbl>
    <w:p>
      <w:pPr>
        <w:widowControl/>
        <w:spacing w:line="600" w:lineRule="exact"/>
        <w:jc w:val="left"/>
        <w:rPr>
          <w:rFonts w:hint="default" w:eastAsia="仿宋_GB2312"/>
          <w:sz w:val="24"/>
          <w:lang w:val="en-US" w:eastAsia="zh-CN"/>
        </w:rPr>
      </w:pPr>
      <w:r>
        <w:rPr>
          <w:rFonts w:eastAsia="仿宋_GB2312"/>
          <w:sz w:val="24"/>
        </w:rPr>
        <w:t>填表人</w:t>
      </w:r>
      <w:r>
        <w:rPr>
          <w:rFonts w:hint="eastAsia" w:eastAsia="仿宋_GB2312"/>
          <w:sz w:val="24"/>
          <w:lang w:eastAsia="zh-CN"/>
        </w:rPr>
        <w:t>：</w:t>
      </w:r>
      <w:r>
        <w:rPr>
          <w:rFonts w:hint="eastAsia" w:eastAsia="仿宋_GB2312"/>
          <w:sz w:val="24"/>
          <w:lang w:val="en-US" w:eastAsia="zh-CN"/>
        </w:rPr>
        <w:t>曾萍</w:t>
      </w:r>
      <w:r>
        <w:rPr>
          <w:rFonts w:eastAsia="仿宋_GB2312"/>
          <w:sz w:val="24"/>
        </w:rPr>
        <w:t>填报日期</w:t>
      </w:r>
      <w:r>
        <w:rPr>
          <w:rFonts w:hint="eastAsia" w:eastAsia="仿宋_GB2312"/>
          <w:sz w:val="24"/>
          <w:lang w:eastAsia="zh-CN"/>
        </w:rPr>
        <w:t>：</w:t>
      </w:r>
      <w:r>
        <w:rPr>
          <w:rFonts w:hint="eastAsia" w:eastAsia="仿宋_GB2312"/>
          <w:sz w:val="24"/>
          <w:lang w:val="en-US" w:eastAsia="zh-CN"/>
        </w:rPr>
        <w:t>2020.9.18</w:t>
      </w:r>
      <w:r>
        <w:rPr>
          <w:rFonts w:eastAsia="仿宋_GB2312"/>
          <w:sz w:val="24"/>
        </w:rPr>
        <w:t>联系电话：</w:t>
      </w:r>
      <w:r>
        <w:rPr>
          <w:rFonts w:hint="eastAsia" w:eastAsia="仿宋_GB2312"/>
          <w:sz w:val="24"/>
          <w:lang w:val="en-US" w:eastAsia="zh-CN"/>
        </w:rPr>
        <w:t>2255831</w:t>
      </w:r>
      <w:r>
        <w:rPr>
          <w:rFonts w:eastAsia="仿宋_GB2312"/>
          <w:sz w:val="24"/>
        </w:rPr>
        <w:t>单位负责人签字：</w:t>
      </w:r>
      <w:r>
        <w:rPr>
          <w:rFonts w:hint="eastAsia" w:eastAsia="仿宋_GB2312"/>
          <w:sz w:val="24"/>
          <w:lang w:val="en-US" w:eastAsia="zh-CN"/>
        </w:rPr>
        <w:t>陈海霞</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“2019年工商联业务工作经费”</w:t>
      </w:r>
    </w:p>
    <w:p>
      <w:pPr>
        <w:spacing w:line="600" w:lineRule="exact"/>
        <w:jc w:val="center"/>
        <w:rPr>
          <w:rFonts w:hint="eastAsia" w:ascii="黑体" w:hAnsi="黑体" w:eastAsia="黑体" w:cs="黑体"/>
          <w:sz w:val="44"/>
          <w:szCs w:val="44"/>
        </w:rPr>
      </w:pPr>
      <w:r>
        <w:rPr>
          <w:rFonts w:hint="eastAsia" w:ascii="黑体" w:hAnsi="黑体" w:eastAsia="黑体" w:cs="黑体"/>
          <w:sz w:val="44"/>
          <w:szCs w:val="44"/>
          <w:lang w:eastAsia="zh-CN"/>
        </w:rPr>
        <w:t>专项资金</w:t>
      </w:r>
      <w:r>
        <w:rPr>
          <w:rFonts w:hint="eastAsia" w:ascii="黑体" w:hAnsi="黑体" w:eastAsia="黑体" w:cs="黑体"/>
          <w:sz w:val="44"/>
          <w:szCs w:val="44"/>
        </w:rPr>
        <w:t>支出绩效评价报告</w:t>
      </w:r>
    </w:p>
    <w:p>
      <w:pPr>
        <w:spacing w:line="600" w:lineRule="exact"/>
        <w:jc w:val="center"/>
        <w:rPr>
          <w:rFonts w:hint="eastAsia" w:ascii="黑体" w:hAnsi="黑体" w:eastAsia="黑体" w:cs="黑体"/>
          <w:sz w:val="44"/>
          <w:szCs w:val="44"/>
        </w:rPr>
      </w:pPr>
    </w:p>
    <w:p>
      <w:pPr>
        <w:spacing w:line="600" w:lineRule="exact"/>
        <w:ind w:firstLine="1280" w:firstLineChars="400"/>
        <w:rPr>
          <w:rFonts w:hint="eastAsia" w:ascii="仿宋" w:hAnsi="仿宋" w:eastAsia="仿宋" w:cs="仿宋"/>
          <w:sz w:val="32"/>
          <w:szCs w:val="32"/>
        </w:rPr>
      </w:pPr>
      <w:r>
        <w:rPr>
          <w:rFonts w:hint="eastAsia" w:ascii="仿宋" w:hAnsi="仿宋" w:eastAsia="仿宋" w:cs="仿宋"/>
          <w:sz w:val="32"/>
          <w:szCs w:val="32"/>
        </w:rPr>
        <w:t>一、预算支出基本情况</w:t>
      </w:r>
    </w:p>
    <w:p>
      <w:pPr>
        <w:spacing w:line="600" w:lineRule="exact"/>
        <w:ind w:firstLine="964" w:firstLineChars="300"/>
        <w:jc w:val="both"/>
        <w:rPr>
          <w:rFonts w:hint="eastAsia" w:ascii="仿宋" w:hAnsi="仿宋" w:eastAsia="仿宋" w:cs="仿宋"/>
          <w:sz w:val="32"/>
          <w:szCs w:val="32"/>
        </w:rPr>
      </w:pPr>
      <w:r>
        <w:rPr>
          <w:rFonts w:hint="eastAsia" w:ascii="仿宋" w:hAnsi="仿宋" w:eastAsia="仿宋" w:cs="仿宋"/>
          <w:b/>
          <w:sz w:val="32"/>
          <w:szCs w:val="32"/>
        </w:rPr>
        <w:t>（一）预算支出概况。</w:t>
      </w:r>
    </w:p>
    <w:p>
      <w:pPr>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ascii="仿宋" w:hAnsi="仿宋" w:eastAsia="仿宋" w:cs="仿宋"/>
          <w:kern w:val="0"/>
          <w:sz w:val="32"/>
          <w:szCs w:val="32"/>
        </w:rPr>
      </w:pPr>
      <w:r>
        <w:rPr>
          <w:rFonts w:hint="eastAsia" w:ascii="仿宋" w:hAnsi="仿宋" w:eastAsia="仿宋" w:cs="仿宋"/>
          <w:kern w:val="2"/>
          <w:sz w:val="32"/>
          <w:szCs w:val="32"/>
          <w:lang w:val="en-US" w:eastAsia="zh-CN" w:bidi="ar-SA"/>
        </w:rPr>
        <w:t>2019年年初预算数为31万元，</w:t>
      </w:r>
      <w:r>
        <w:rPr>
          <w:rFonts w:hint="eastAsia" w:ascii="仿宋" w:hAnsi="仿宋" w:eastAsia="仿宋" w:cs="仿宋"/>
          <w:w w:val="99"/>
          <w:sz w:val="32"/>
          <w:szCs w:val="32"/>
          <w:lang w:val="en-US" w:eastAsia="zh-CN"/>
        </w:rPr>
        <w:t>实际支出31.01万元，</w:t>
      </w:r>
      <w:r>
        <w:rPr>
          <w:rFonts w:hint="eastAsia" w:ascii="仿宋" w:hAnsi="仿宋" w:eastAsia="仿宋" w:cs="仿宋"/>
          <w:kern w:val="2"/>
          <w:sz w:val="32"/>
          <w:szCs w:val="32"/>
          <w:lang w:val="en-US" w:eastAsia="zh-CN" w:bidi="ar-SA"/>
        </w:rPr>
        <w:t>主要用于招商引资会同有关部门组织筹备各项招商引资活动，协助相关部门归集和发布相关招商信息，参与重大项目的招商  制推介和对接讨论，合同相关职能部门优化营商环境。另外用于工商联事务加强和改进非公有制经济人士思想政治工作；参与政治协商，发挥民主监督作用，积极参政议政；协助政府管理和服务非公有制经济；促进行业协会商会改革发展；参与协调劳动关系、协同社会管理、促进社会和谐稳定；反映非公有制企业</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left="0" w:leftChars="0" w:firstLine="640" w:firstLineChars="0"/>
        <w:textAlignment w:val="auto"/>
        <w:rPr>
          <w:rFonts w:hint="eastAsia" w:ascii="仿宋" w:hAnsi="仿宋" w:eastAsia="仿宋" w:cs="仿宋"/>
          <w:b/>
          <w:sz w:val="32"/>
          <w:szCs w:val="32"/>
        </w:rPr>
      </w:pPr>
      <w:r>
        <w:rPr>
          <w:rFonts w:hint="eastAsia" w:ascii="仿宋" w:hAnsi="仿宋" w:eastAsia="仿宋" w:cs="仿宋"/>
          <w:b/>
          <w:sz w:val="32"/>
          <w:szCs w:val="32"/>
        </w:rPr>
        <w:t>预算资金使用管理情况。</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640" w:leftChars="0"/>
        <w:textAlignment w:val="auto"/>
        <w:rPr>
          <w:rFonts w:hint="eastAsia" w:ascii="仿宋" w:hAnsi="仿宋" w:eastAsia="仿宋" w:cs="仿宋"/>
          <w:w w:val="100"/>
          <w:sz w:val="32"/>
          <w:szCs w:val="32"/>
          <w:lang w:eastAsia="zh-CN"/>
        </w:rPr>
      </w:pPr>
      <w:r>
        <w:rPr>
          <w:rFonts w:hint="eastAsia" w:ascii="仿宋" w:hAnsi="仿宋" w:eastAsia="仿宋" w:cs="仿宋"/>
          <w:w w:val="100"/>
          <w:sz w:val="32"/>
          <w:szCs w:val="32"/>
          <w:lang w:val="en-US" w:eastAsia="zh-CN"/>
        </w:rPr>
        <w:t>1、</w:t>
      </w:r>
      <w:r>
        <w:rPr>
          <w:rFonts w:hint="eastAsia" w:ascii="仿宋" w:hAnsi="仿宋" w:eastAsia="仿宋" w:cs="仿宋"/>
          <w:w w:val="100"/>
          <w:sz w:val="32"/>
          <w:szCs w:val="32"/>
        </w:rPr>
        <w:t>预算支出组织管理机构</w:t>
      </w:r>
      <w:r>
        <w:rPr>
          <w:rFonts w:hint="eastAsia" w:ascii="仿宋" w:hAnsi="仿宋" w:eastAsia="仿宋" w:cs="仿宋"/>
          <w:w w:val="100"/>
          <w:sz w:val="32"/>
          <w:szCs w:val="32"/>
          <w:lang w:eastAsia="zh-CN"/>
        </w:rPr>
        <w:t>：由鹤城区</w:t>
      </w:r>
      <w:r>
        <w:rPr>
          <w:rFonts w:hint="eastAsia" w:ascii="仿宋" w:hAnsi="仿宋" w:eastAsia="仿宋" w:cs="仿宋"/>
          <w:w w:val="100"/>
          <w:sz w:val="32"/>
          <w:szCs w:val="32"/>
          <w:lang w:val="en-US" w:eastAsia="zh-CN"/>
        </w:rPr>
        <w:t>工商联</w:t>
      </w:r>
      <w:r>
        <w:rPr>
          <w:rFonts w:hint="eastAsia" w:ascii="仿宋" w:hAnsi="仿宋" w:eastAsia="仿宋" w:cs="仿宋"/>
          <w:w w:val="100"/>
          <w:sz w:val="32"/>
          <w:szCs w:val="32"/>
          <w:lang w:eastAsia="zh-CN"/>
        </w:rPr>
        <w:t>负责实施。</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w w:val="100"/>
          <w:sz w:val="32"/>
          <w:szCs w:val="32"/>
          <w:lang w:eastAsia="zh-CN"/>
        </w:rPr>
      </w:pPr>
      <w:r>
        <w:rPr>
          <w:rFonts w:hint="eastAsia" w:ascii="仿宋" w:hAnsi="仿宋" w:eastAsia="仿宋" w:cs="仿宋"/>
          <w:w w:val="100"/>
          <w:sz w:val="32"/>
          <w:szCs w:val="32"/>
          <w:lang w:val="en-US" w:eastAsia="zh-CN"/>
        </w:rPr>
        <w:t>2、</w:t>
      </w:r>
      <w:r>
        <w:rPr>
          <w:rFonts w:hint="eastAsia" w:ascii="仿宋" w:hAnsi="仿宋" w:eastAsia="仿宋" w:cs="仿宋"/>
          <w:w w:val="100"/>
          <w:sz w:val="32"/>
          <w:szCs w:val="32"/>
        </w:rPr>
        <w:t>预算资金和项目管理制度建设</w:t>
      </w:r>
      <w:r>
        <w:rPr>
          <w:rFonts w:hint="eastAsia" w:ascii="仿宋" w:hAnsi="仿宋" w:eastAsia="仿宋" w:cs="仿宋"/>
          <w:w w:val="100"/>
          <w:sz w:val="32"/>
          <w:szCs w:val="32"/>
          <w:lang w:eastAsia="zh-CN"/>
        </w:rPr>
        <w:t>：《鹤城区</w:t>
      </w:r>
      <w:r>
        <w:rPr>
          <w:rFonts w:hint="eastAsia" w:ascii="仿宋" w:hAnsi="仿宋" w:eastAsia="仿宋" w:cs="仿宋"/>
          <w:w w:val="100"/>
          <w:sz w:val="32"/>
          <w:szCs w:val="32"/>
          <w:lang w:val="en-US" w:eastAsia="zh-CN"/>
        </w:rPr>
        <w:t>工商联</w:t>
      </w:r>
      <w:r>
        <w:rPr>
          <w:rFonts w:hint="eastAsia" w:ascii="仿宋" w:hAnsi="仿宋" w:eastAsia="仿宋" w:cs="仿宋"/>
          <w:w w:val="100"/>
          <w:sz w:val="32"/>
          <w:szCs w:val="32"/>
          <w:lang w:eastAsia="zh-CN"/>
        </w:rPr>
        <w:t>财务管理制度》、《鹤城区</w:t>
      </w:r>
      <w:r>
        <w:rPr>
          <w:rFonts w:hint="eastAsia" w:ascii="仿宋" w:hAnsi="仿宋" w:eastAsia="仿宋" w:cs="仿宋"/>
          <w:w w:val="100"/>
          <w:sz w:val="32"/>
          <w:szCs w:val="32"/>
          <w:lang w:val="en-US" w:eastAsia="zh-CN"/>
        </w:rPr>
        <w:t>工商联</w:t>
      </w:r>
      <w:r>
        <w:rPr>
          <w:rFonts w:hint="eastAsia" w:ascii="仿宋" w:hAnsi="仿宋" w:eastAsia="仿宋" w:cs="仿宋"/>
          <w:w w:val="100"/>
          <w:sz w:val="32"/>
          <w:szCs w:val="32"/>
          <w:lang w:eastAsia="zh-CN"/>
        </w:rPr>
        <w:t>专项资金管理办法》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w w:val="100"/>
          <w:sz w:val="32"/>
          <w:szCs w:val="32"/>
          <w:lang w:eastAsia="zh-CN"/>
        </w:rPr>
      </w:pPr>
      <w:r>
        <w:rPr>
          <w:rFonts w:hint="eastAsia" w:ascii="仿宋" w:hAnsi="仿宋" w:eastAsia="仿宋" w:cs="仿宋"/>
          <w:w w:val="100"/>
          <w:sz w:val="32"/>
          <w:szCs w:val="32"/>
          <w:lang w:val="en-US" w:eastAsia="zh-CN"/>
        </w:rPr>
        <w:t>3、</w:t>
      </w:r>
      <w:r>
        <w:rPr>
          <w:rFonts w:hint="eastAsia" w:ascii="仿宋" w:hAnsi="仿宋" w:eastAsia="仿宋" w:cs="仿宋"/>
          <w:w w:val="100"/>
          <w:sz w:val="32"/>
          <w:szCs w:val="32"/>
        </w:rPr>
        <w:t>预算资金投向结构合理性</w:t>
      </w:r>
      <w:r>
        <w:rPr>
          <w:rFonts w:hint="eastAsia" w:ascii="仿宋" w:hAnsi="仿宋" w:eastAsia="仿宋" w:cs="仿宋"/>
          <w:w w:val="100"/>
          <w:sz w:val="32"/>
          <w:szCs w:val="32"/>
          <w:lang w:eastAsia="zh-CN"/>
        </w:rPr>
        <w:t>、</w:t>
      </w:r>
      <w:r>
        <w:rPr>
          <w:rFonts w:hint="eastAsia" w:ascii="仿宋" w:hAnsi="仿宋" w:eastAsia="仿宋" w:cs="仿宋"/>
          <w:w w:val="100"/>
          <w:sz w:val="32"/>
          <w:szCs w:val="32"/>
        </w:rPr>
        <w:t>资金拨付及时性</w:t>
      </w:r>
      <w:r>
        <w:rPr>
          <w:rFonts w:hint="eastAsia" w:ascii="仿宋" w:hAnsi="仿宋" w:eastAsia="仿宋" w:cs="仿宋"/>
          <w:w w:val="100"/>
          <w:sz w:val="32"/>
          <w:szCs w:val="32"/>
          <w:lang w:eastAsia="zh-CN"/>
        </w:rPr>
        <w:t>：根据预算资金用途，从厉节约出发，严格项目资金支出审批程序。</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w w:val="100"/>
          <w:sz w:val="32"/>
          <w:szCs w:val="32"/>
          <w:lang w:val="en-US" w:eastAsia="zh-CN"/>
        </w:rPr>
        <w:t>4、</w:t>
      </w:r>
      <w:r>
        <w:rPr>
          <w:rFonts w:hint="eastAsia" w:ascii="仿宋" w:hAnsi="仿宋" w:eastAsia="仿宋" w:cs="仿宋"/>
          <w:w w:val="100"/>
          <w:sz w:val="32"/>
          <w:szCs w:val="32"/>
        </w:rPr>
        <w:t>项目组织实施的合规性</w:t>
      </w:r>
      <w:r>
        <w:rPr>
          <w:rFonts w:hint="eastAsia" w:ascii="仿宋" w:hAnsi="仿宋" w:eastAsia="仿宋" w:cs="仿宋"/>
          <w:w w:val="100"/>
          <w:sz w:val="32"/>
          <w:szCs w:val="32"/>
          <w:lang w:eastAsia="zh-CN"/>
        </w:rPr>
        <w:t>：</w:t>
      </w:r>
      <w:r>
        <w:rPr>
          <w:rFonts w:hint="eastAsia" w:ascii="仿宋" w:hAnsi="仿宋" w:eastAsia="仿宋" w:cs="仿宋"/>
          <w:w w:val="100"/>
          <w:sz w:val="32"/>
          <w:szCs w:val="32"/>
        </w:rPr>
        <w:t>申报内容与实际相符，申报目标合理可行。</w:t>
      </w:r>
    </w:p>
    <w:p>
      <w:pPr>
        <w:keepNext w:val="0"/>
        <w:keepLines w:val="0"/>
        <w:pageBreakBefore w:val="0"/>
        <w:kinsoku/>
        <w:wordWrap/>
        <w:overflowPunct/>
        <w:topLinePunct w:val="0"/>
        <w:autoSpaceDE/>
        <w:autoSpaceDN/>
        <w:bidi w:val="0"/>
        <w:spacing w:line="580" w:lineRule="exact"/>
        <w:ind w:left="0" w:firstLine="321" w:firstLineChars="100"/>
        <w:textAlignment w:val="auto"/>
        <w:rPr>
          <w:rFonts w:hint="eastAsia" w:ascii="仿宋" w:hAnsi="仿宋" w:eastAsia="仿宋" w:cs="仿宋"/>
          <w:b/>
          <w:sz w:val="32"/>
          <w:szCs w:val="32"/>
        </w:rPr>
      </w:pPr>
      <w:r>
        <w:rPr>
          <w:rFonts w:hint="eastAsia" w:ascii="仿宋" w:hAnsi="仿宋" w:eastAsia="仿宋" w:cs="仿宋"/>
          <w:b/>
          <w:sz w:val="32"/>
          <w:szCs w:val="32"/>
        </w:rPr>
        <w:t>（三）预算支出绩效目标完成程度。</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1、主要用于招商引资会同有关部门组织筹备各项招商引资活动，协助相关部门归集和发布相关招商信息，参与重大项目的招商  制推介和对接讨论，合同相关职能部门优化营商环境。另外用于工商联事务加强和改进非公有制经济人士思想政治工作；参与政治协商，发挥民主监督作用，积极参政议政；协助政府管理和服务非公有制经济；促进行业协会商会改革发展；参与协调劳动关系、协同社会管理、促进社会和谐稳定；反映非公有制企业。</w:t>
      </w:r>
    </w:p>
    <w:p>
      <w:pPr>
        <w:keepNext w:val="0"/>
        <w:keepLines w:val="0"/>
        <w:pageBreakBefore w:val="0"/>
        <w:widowControl/>
        <w:kinsoku/>
        <w:wordWrap/>
        <w:overflowPunct/>
        <w:topLinePunct w:val="0"/>
        <w:autoSpaceDE/>
        <w:autoSpaceDN/>
        <w:bidi w:val="0"/>
        <w:adjustRightInd w:val="0"/>
        <w:snapToGrid w:val="0"/>
        <w:spacing w:after="0" w:line="580" w:lineRule="exact"/>
        <w:ind w:left="0" w:firstLine="640" w:firstLineChars="200"/>
        <w:textAlignment w:val="auto"/>
        <w:rPr>
          <w:rFonts w:hint="eastAsia" w:ascii="仿宋" w:hAnsi="仿宋" w:eastAsia="仿宋" w:cs="仿宋"/>
          <w:color w:val="000000" w:themeColor="text1"/>
          <w:sz w:val="32"/>
          <w:szCs w:val="32"/>
          <w:lang w:val="en-US" w:eastAsia="zh-CN"/>
        </w:rPr>
      </w:pPr>
      <w:r>
        <w:rPr>
          <w:rFonts w:hint="eastAsia" w:ascii="仿宋" w:hAnsi="仿宋" w:eastAsia="仿宋" w:cs="仿宋"/>
          <w:kern w:val="2"/>
          <w:sz w:val="32"/>
          <w:szCs w:val="32"/>
          <w:lang w:val="en-US" w:eastAsia="zh-CN" w:bidi="ar-SA"/>
        </w:rPr>
        <w:t>2、</w:t>
      </w:r>
      <w:r>
        <w:rPr>
          <w:rFonts w:hint="eastAsia" w:ascii="仿宋" w:hAnsi="仿宋" w:eastAsia="仿宋" w:cs="仿宋"/>
          <w:i w:val="0"/>
          <w:caps w:val="0"/>
          <w:color w:val="000000" w:themeColor="text1"/>
          <w:spacing w:val="0"/>
          <w:sz w:val="32"/>
          <w:szCs w:val="32"/>
          <w:shd w:val="clear" w:fill="FFFFFF"/>
        </w:rPr>
        <w:t>深入贯彻实施“创新引领、开放崛起”战略，加快推进“对接湘商会，建设新家乡”“迎老乡、回故乡、建家乡”等专项行动</w:t>
      </w:r>
      <w:r>
        <w:rPr>
          <w:rFonts w:hint="eastAsia" w:ascii="仿宋" w:hAnsi="仿宋" w:eastAsia="仿宋" w:cs="仿宋"/>
          <w:i w:val="0"/>
          <w:caps w:val="0"/>
          <w:color w:val="000000" w:themeColor="text1"/>
          <w:spacing w:val="0"/>
          <w:sz w:val="32"/>
          <w:szCs w:val="32"/>
          <w:shd w:val="clear" w:fill="FFFFFF"/>
          <w:lang w:eastAsia="zh-CN"/>
        </w:rPr>
        <w:t>，</w:t>
      </w:r>
      <w:r>
        <w:rPr>
          <w:rFonts w:hint="eastAsia" w:ascii="仿宋" w:hAnsi="仿宋" w:eastAsia="仿宋" w:cs="仿宋"/>
          <w:color w:val="000000" w:themeColor="text1"/>
          <w:sz w:val="32"/>
          <w:szCs w:val="32"/>
          <w:lang w:eastAsia="zh-CN"/>
        </w:rPr>
        <w:t>今年我联领导班子亲赴青岛商会、深圳商会等多地挖掘湘商资源，邀请了</w:t>
      </w:r>
      <w:r>
        <w:rPr>
          <w:rFonts w:hint="eastAsia" w:ascii="仿宋" w:hAnsi="仿宋" w:eastAsia="仿宋" w:cs="仿宋"/>
          <w:color w:val="000000" w:themeColor="text1"/>
          <w:sz w:val="32"/>
          <w:szCs w:val="32"/>
          <w:lang w:val="en-US" w:eastAsia="zh-CN"/>
        </w:rPr>
        <w:t>8名有实力、有号召力的企业来怀参加首届怀商大会。并邀请来怀客商代表们参观了解鹤城文旅产业发展优势，支持鹤城经济社会发展，促进我区“承接产业转移示范区”建设。</w:t>
      </w:r>
    </w:p>
    <w:p>
      <w:pPr>
        <w:keepNext w:val="0"/>
        <w:keepLines w:val="0"/>
        <w:pageBreakBefore w:val="0"/>
        <w:widowControl/>
        <w:kinsoku/>
        <w:wordWrap/>
        <w:overflowPunct/>
        <w:topLinePunct w:val="0"/>
        <w:autoSpaceDE/>
        <w:autoSpaceDN/>
        <w:bidi w:val="0"/>
        <w:adjustRightInd w:val="0"/>
        <w:snapToGrid w:val="0"/>
        <w:spacing w:after="0" w:line="580" w:lineRule="exact"/>
        <w:ind w:left="0" w:firstLine="640" w:firstLineChars="200"/>
        <w:textAlignment w:val="auto"/>
        <w:rPr>
          <w:rFonts w:hint="eastAsia" w:ascii="仿宋" w:hAnsi="仿宋" w:eastAsia="仿宋" w:cs="仿宋"/>
          <w:color w:val="0C0C0C" w:themeColor="text1" w:themeTint="F2"/>
          <w:sz w:val="32"/>
          <w:szCs w:val="32"/>
        </w:rPr>
      </w:pPr>
      <w:r>
        <w:rPr>
          <w:rFonts w:hint="eastAsia" w:ascii="仿宋" w:hAnsi="仿宋" w:eastAsia="仿宋" w:cs="仿宋"/>
          <w:color w:val="000000" w:themeColor="text1"/>
          <w:sz w:val="32"/>
          <w:szCs w:val="32"/>
          <w:lang w:val="en-US" w:eastAsia="zh-CN"/>
        </w:rPr>
        <w:t>3、</w:t>
      </w:r>
      <w:r>
        <w:rPr>
          <w:rFonts w:hint="eastAsia" w:ascii="仿宋" w:hAnsi="仿宋" w:eastAsia="仿宋" w:cs="仿宋"/>
          <w:b w:val="0"/>
          <w:bCs/>
          <w:color w:val="0C0C0C" w:themeColor="text1" w:themeTint="F2"/>
          <w:sz w:val="32"/>
          <w:szCs w:val="32"/>
        </w:rPr>
        <w:t>深入开展非公企业意识形态工作。</w:t>
      </w:r>
      <w:r>
        <w:rPr>
          <w:rFonts w:hint="eastAsia" w:ascii="仿宋" w:hAnsi="仿宋" w:eastAsia="仿宋" w:cs="仿宋"/>
          <w:color w:val="0C0C0C" w:themeColor="text1" w:themeTint="F2"/>
          <w:sz w:val="32"/>
          <w:szCs w:val="32"/>
        </w:rPr>
        <w:t xml:space="preserve">继续推进非公企业意识形态工作，加强新媒体对非公有制经济领域意识形态影响的研究和应对，积极主动宣传中央和国家的方针、政策，加大对错误思潮的批判，引导非公有制经济领域人士认清一些网络误导甚至主动驳斥错误言论。坚持“团结、服务、引导、教育”的方针，一手抓鼓励支持，一手抓教育引导，关注他们的思想，关注他们的困难，有针对性地进行帮助引导，引导非公有制经济人士特别是年轻一代致富思源、富而思进，做到爱国、敬业、创新、守法、诚信、贡献。 </w:t>
      </w:r>
    </w:p>
    <w:p>
      <w:pPr>
        <w:keepNext w:val="0"/>
        <w:keepLines w:val="0"/>
        <w:pageBreakBefore w:val="0"/>
        <w:kinsoku/>
        <w:wordWrap/>
        <w:overflowPunct/>
        <w:topLinePunct w:val="0"/>
        <w:autoSpaceDE/>
        <w:autoSpaceDN/>
        <w:bidi w:val="0"/>
        <w:spacing w:line="580" w:lineRule="exact"/>
        <w:ind w:left="0"/>
        <w:textAlignment w:val="auto"/>
        <w:rPr>
          <w:rFonts w:hint="eastAsia" w:ascii="仿宋" w:hAnsi="仿宋" w:eastAsia="仿宋" w:cs="仿宋"/>
          <w:sz w:val="32"/>
          <w:szCs w:val="32"/>
        </w:rPr>
      </w:pPr>
      <w:r>
        <w:rPr>
          <w:rFonts w:hint="eastAsia" w:ascii="仿宋" w:hAnsi="仿宋" w:eastAsia="仿宋" w:cs="仿宋"/>
          <w:sz w:val="32"/>
          <w:szCs w:val="32"/>
        </w:rPr>
        <w:t>二、绩效评价工作情况</w:t>
      </w:r>
    </w:p>
    <w:p>
      <w:pPr>
        <w:pStyle w:val="11"/>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（一）前期准备</w:t>
      </w:r>
    </w:p>
    <w:p>
      <w:pPr>
        <w:pStyle w:val="11"/>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我联对2019年专项资金绩效评价管理工作高度重视，由办公室牵头，认真制定绩效自评工作报告，其他股室相互配合协调，共同完成2019年专项资金绩效评价管理工作。</w:t>
      </w:r>
    </w:p>
    <w:p>
      <w:pPr>
        <w:pStyle w:val="11"/>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（二）组织实施</w:t>
      </w:r>
    </w:p>
    <w:p>
      <w:pPr>
        <w:pStyle w:val="11"/>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办公室根据《专项资金支出绩效评价指标表》、《专项资金支出绩效目标自评表》要求开展专项资金自评工作，对31万元项目经费进行了自评打分，并逐项对照，认真撰写专项资金支出绩效评价报告，同时认真收集相关资料，确保自评工作真实客观。</w:t>
      </w:r>
    </w:p>
    <w:p>
      <w:pPr>
        <w:pStyle w:val="11"/>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（三）分析评价</w:t>
      </w:r>
    </w:p>
    <w:p>
      <w:pPr>
        <w:pStyle w:val="11"/>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2019年我联严格按照有关规定使用“工商联事务及招商引资业务工作经费”项目经费，资金使用效益良好。</w:t>
      </w:r>
    </w:p>
    <w:p>
      <w:pPr>
        <w:keepNext w:val="0"/>
        <w:keepLines w:val="0"/>
        <w:pageBreakBefore w:val="0"/>
        <w:numPr>
          <w:ilvl w:val="0"/>
          <w:numId w:val="7"/>
        </w:numPr>
        <w:kinsoku/>
        <w:wordWrap/>
        <w:overflowPunct/>
        <w:topLinePunct w:val="0"/>
        <w:autoSpaceDE/>
        <w:autoSpaceDN/>
        <w:bidi w:val="0"/>
        <w:spacing w:line="580" w:lineRule="exact"/>
        <w:ind w:left="0"/>
        <w:textAlignment w:val="auto"/>
        <w:rPr>
          <w:rFonts w:hint="eastAsia" w:ascii="仿宋" w:hAnsi="仿宋" w:eastAsia="仿宋" w:cs="仿宋"/>
          <w:sz w:val="32"/>
          <w:szCs w:val="32"/>
        </w:rPr>
      </w:pPr>
      <w:r>
        <w:rPr>
          <w:rFonts w:hint="eastAsia" w:ascii="仿宋" w:hAnsi="仿宋" w:eastAsia="仿宋" w:cs="仿宋"/>
          <w:sz w:val="32"/>
          <w:szCs w:val="32"/>
        </w:rPr>
        <w:t>预算支出主要绩效及评价结论</w:t>
      </w:r>
    </w:p>
    <w:p>
      <w:pPr>
        <w:keepNext w:val="0"/>
        <w:keepLines w:val="0"/>
        <w:pageBreakBefore w:val="0"/>
        <w:widowControl/>
        <w:numPr>
          <w:ilvl w:val="0"/>
          <w:numId w:val="8"/>
        </w:numPr>
        <w:kinsoku/>
        <w:wordWrap/>
        <w:overflowPunct/>
        <w:topLinePunct w:val="0"/>
        <w:autoSpaceDE/>
        <w:autoSpaceDN/>
        <w:bidi w:val="0"/>
        <w:adjustRightInd/>
        <w:snapToGrid/>
        <w:spacing w:after="0" w:line="580" w:lineRule="exact"/>
        <w:ind w:left="0"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切实提高利用服务，扎实推进工商联事务及招商引资利用服务方式改进和服务效率提升。</w:t>
      </w:r>
    </w:p>
    <w:p>
      <w:pPr>
        <w:keepNext w:val="0"/>
        <w:keepLines w:val="0"/>
        <w:pageBreakBefore w:val="0"/>
        <w:widowControl/>
        <w:numPr>
          <w:ilvl w:val="0"/>
          <w:numId w:val="8"/>
        </w:numPr>
        <w:kinsoku/>
        <w:wordWrap/>
        <w:overflowPunct/>
        <w:topLinePunct w:val="0"/>
        <w:autoSpaceDE/>
        <w:autoSpaceDN/>
        <w:bidi w:val="0"/>
        <w:adjustRightInd/>
        <w:snapToGrid/>
        <w:spacing w:after="0" w:line="580" w:lineRule="exact"/>
        <w:ind w:left="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auto"/>
          <w:kern w:val="2"/>
          <w:sz w:val="32"/>
          <w:szCs w:val="32"/>
          <w:lang w:val="en-US" w:eastAsia="zh-CN" w:bidi="ar-SA"/>
        </w:rPr>
        <w:t>全年累计非公企业</w:t>
      </w:r>
      <w:r>
        <w:rPr>
          <w:rFonts w:hint="eastAsia" w:ascii="仿宋" w:hAnsi="仿宋" w:eastAsia="仿宋" w:cs="仿宋"/>
          <w:color w:val="000000" w:themeColor="text1"/>
          <w:sz w:val="32"/>
          <w:szCs w:val="32"/>
        </w:rPr>
        <w:t>投入帮扶资金</w:t>
      </w:r>
      <w:r>
        <w:rPr>
          <w:rFonts w:hint="eastAsia" w:ascii="仿宋" w:hAnsi="仿宋" w:eastAsia="仿宋" w:cs="仿宋"/>
          <w:color w:val="000000" w:themeColor="text1"/>
          <w:sz w:val="32"/>
          <w:szCs w:val="32"/>
          <w:lang w:val="en-US" w:eastAsia="zh-CN"/>
        </w:rPr>
        <w:t>5650.6</w:t>
      </w:r>
      <w:r>
        <w:rPr>
          <w:rFonts w:hint="eastAsia" w:ascii="仿宋" w:hAnsi="仿宋" w:eastAsia="仿宋" w:cs="仿宋"/>
          <w:color w:val="000000" w:themeColor="text1"/>
          <w:sz w:val="32"/>
          <w:szCs w:val="32"/>
          <w:lang w:eastAsia="zh-CN"/>
        </w:rPr>
        <w:t>万</w:t>
      </w:r>
      <w:r>
        <w:rPr>
          <w:rFonts w:hint="eastAsia" w:ascii="仿宋" w:hAnsi="仿宋" w:eastAsia="仿宋" w:cs="仿宋"/>
          <w:color w:val="000000" w:themeColor="text1"/>
          <w:sz w:val="32"/>
          <w:szCs w:val="32"/>
        </w:rPr>
        <w:t>元，精准帮扶贫困人口</w:t>
      </w:r>
      <w:r>
        <w:rPr>
          <w:rFonts w:hint="eastAsia" w:ascii="仿宋" w:hAnsi="仿宋" w:eastAsia="仿宋" w:cs="仿宋"/>
          <w:color w:val="000000" w:themeColor="text1"/>
          <w:sz w:val="32"/>
          <w:szCs w:val="32"/>
          <w:lang w:val="en-US" w:eastAsia="zh-CN"/>
        </w:rPr>
        <w:t>13708</w:t>
      </w:r>
      <w:r>
        <w:rPr>
          <w:rFonts w:hint="eastAsia" w:ascii="仿宋" w:hAnsi="仿宋" w:eastAsia="仿宋" w:cs="仿宋"/>
          <w:color w:val="000000" w:themeColor="text1"/>
          <w:sz w:val="32"/>
          <w:szCs w:val="32"/>
        </w:rPr>
        <w:t>人，</w:t>
      </w:r>
      <w:r>
        <w:rPr>
          <w:rFonts w:hint="eastAsia" w:ascii="仿宋" w:hAnsi="仿宋" w:eastAsia="仿宋" w:cs="仿宋"/>
          <w:color w:val="000000" w:themeColor="text1"/>
          <w:sz w:val="32"/>
          <w:szCs w:val="32"/>
          <w:lang w:eastAsia="zh-CN"/>
        </w:rPr>
        <w:t>解决</w:t>
      </w:r>
      <w:r>
        <w:rPr>
          <w:rFonts w:hint="eastAsia" w:ascii="仿宋" w:hAnsi="仿宋" w:eastAsia="仿宋" w:cs="仿宋"/>
          <w:color w:val="000000" w:themeColor="text1"/>
          <w:sz w:val="32"/>
          <w:szCs w:val="32"/>
        </w:rPr>
        <w:t>就业</w:t>
      </w:r>
      <w:r>
        <w:rPr>
          <w:rFonts w:hint="eastAsia" w:ascii="仿宋" w:hAnsi="仿宋" w:eastAsia="仿宋" w:cs="仿宋"/>
          <w:color w:val="000000" w:themeColor="text1"/>
          <w:sz w:val="32"/>
          <w:szCs w:val="32"/>
          <w:lang w:val="en-US" w:eastAsia="zh-CN"/>
        </w:rPr>
        <w:t>669</w:t>
      </w:r>
      <w:r>
        <w:rPr>
          <w:rFonts w:hint="eastAsia" w:ascii="仿宋" w:hAnsi="仿宋" w:eastAsia="仿宋" w:cs="仿宋"/>
          <w:color w:val="000000" w:themeColor="text1"/>
          <w:sz w:val="32"/>
          <w:szCs w:val="32"/>
        </w:rPr>
        <w:t>人。湖南永通预计投资6亿元，现已投资4亿元修建怀化郡永实验学校，免除贫困生学费30万元，扶持特困家庭60户，向社会弱势群体爱心捐款32万元。投资350余万元，在鹤城区江垅湾村建设肉牛养殖基地，带动贫困户145户，572人实现脱贫</w:t>
      </w:r>
      <w:r>
        <w:rPr>
          <w:rFonts w:hint="eastAsia" w:ascii="仿宋" w:hAnsi="仿宋" w:eastAsia="仿宋" w:cs="仿宋"/>
          <w:color w:val="000000" w:themeColor="text1"/>
          <w:sz w:val="32"/>
          <w:szCs w:val="32"/>
          <w:lang w:eastAsia="zh-CN"/>
        </w:rPr>
        <w:t>；怀仁集团公司</w:t>
      </w:r>
      <w:r>
        <w:rPr>
          <w:rFonts w:hint="eastAsia" w:ascii="仿宋" w:hAnsi="仿宋" w:eastAsia="仿宋" w:cs="仿宋"/>
          <w:color w:val="000000" w:themeColor="text1"/>
          <w:sz w:val="32"/>
          <w:szCs w:val="32"/>
        </w:rPr>
        <w:t>在湖南医药学院等高校创办怀仁才子班，共资助贫困大学生1000余人，扶持特困家庭660户，向社会弱势群体爱心捐款12万多元</w:t>
      </w:r>
      <w:r>
        <w:rPr>
          <w:rFonts w:hint="eastAsia" w:ascii="仿宋" w:hAnsi="仿宋" w:eastAsia="仿宋" w:cs="仿宋"/>
          <w:color w:val="000000" w:themeColor="text1"/>
          <w:sz w:val="32"/>
          <w:szCs w:val="32"/>
          <w:lang w:eastAsia="zh-CN"/>
        </w:rPr>
        <w:t>，</w:t>
      </w:r>
      <w:r>
        <w:rPr>
          <w:rFonts w:hint="eastAsia" w:ascii="仿宋" w:hAnsi="仿宋" w:eastAsia="仿宋" w:cs="仿宋"/>
          <w:color w:val="auto"/>
          <w:kern w:val="2"/>
          <w:sz w:val="32"/>
          <w:szCs w:val="32"/>
          <w:lang w:val="en-US" w:eastAsia="zh-CN" w:bidi="ar-SA"/>
        </w:rPr>
        <w:t>合格率达100%。</w:t>
      </w:r>
    </w:p>
    <w:p>
      <w:pPr>
        <w:keepNext w:val="0"/>
        <w:keepLines w:val="0"/>
        <w:pageBreakBefore w:val="0"/>
        <w:widowControl/>
        <w:numPr>
          <w:ilvl w:val="0"/>
          <w:numId w:val="8"/>
        </w:numPr>
        <w:kinsoku/>
        <w:wordWrap/>
        <w:overflowPunct/>
        <w:topLinePunct w:val="0"/>
        <w:autoSpaceDE/>
        <w:autoSpaceDN/>
        <w:bidi w:val="0"/>
        <w:adjustRightInd/>
        <w:snapToGrid/>
        <w:spacing w:after="0" w:line="580" w:lineRule="exact"/>
        <w:ind w:left="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i w:val="0"/>
          <w:caps w:val="0"/>
          <w:color w:val="000000" w:themeColor="text1"/>
          <w:spacing w:val="0"/>
          <w:sz w:val="32"/>
          <w:szCs w:val="32"/>
          <w:shd w:val="clear" w:fill="FFFFFF"/>
        </w:rPr>
        <w:t>深入贯彻实施“创新引领、开放崛起”战略，加快推进“对接湘商会，建设新家乡”“迎老乡、回故乡、建家乡”等专项行动</w:t>
      </w:r>
      <w:r>
        <w:rPr>
          <w:rFonts w:hint="eastAsia" w:ascii="仿宋" w:hAnsi="仿宋" w:eastAsia="仿宋" w:cs="仿宋"/>
          <w:i w:val="0"/>
          <w:caps w:val="0"/>
          <w:color w:val="000000" w:themeColor="text1"/>
          <w:spacing w:val="0"/>
          <w:sz w:val="32"/>
          <w:szCs w:val="32"/>
          <w:shd w:val="clear" w:fill="FFFFFF"/>
          <w:lang w:eastAsia="zh-CN"/>
        </w:rPr>
        <w:t>，</w:t>
      </w:r>
      <w:r>
        <w:rPr>
          <w:rFonts w:hint="eastAsia" w:ascii="仿宋" w:hAnsi="仿宋" w:eastAsia="仿宋" w:cs="仿宋"/>
          <w:color w:val="000000" w:themeColor="text1"/>
          <w:sz w:val="32"/>
          <w:szCs w:val="32"/>
          <w:lang w:eastAsia="zh-CN"/>
        </w:rPr>
        <w:t>今年我联领导班子亲赴青岛商会、深圳商会等多地挖掘湘商资源，邀请了</w:t>
      </w:r>
      <w:r>
        <w:rPr>
          <w:rFonts w:hint="eastAsia" w:ascii="仿宋" w:hAnsi="仿宋" w:eastAsia="仿宋" w:cs="仿宋"/>
          <w:color w:val="000000" w:themeColor="text1"/>
          <w:sz w:val="32"/>
          <w:szCs w:val="32"/>
          <w:lang w:val="en-US" w:eastAsia="zh-CN"/>
        </w:rPr>
        <w:t>8名有实力、有号召力的企业来怀参加首届怀商大会。并邀请来怀客商代表们参观了解鹤城文旅产业发展优势，支持鹤城经济社会发展，促进我区“承接产业转移示范区”建设，</w:t>
      </w:r>
      <w:r>
        <w:rPr>
          <w:rFonts w:hint="eastAsia" w:ascii="仿宋" w:hAnsi="仿宋" w:eastAsia="仿宋" w:cs="仿宋"/>
          <w:color w:val="auto"/>
          <w:kern w:val="2"/>
          <w:sz w:val="32"/>
          <w:szCs w:val="32"/>
          <w:lang w:val="en-US" w:eastAsia="zh-CN" w:bidi="ar-SA"/>
        </w:rPr>
        <w:t>年度评价率达85%</w:t>
      </w:r>
    </w:p>
    <w:p>
      <w:pPr>
        <w:keepNext w:val="0"/>
        <w:keepLines w:val="0"/>
        <w:pageBreakBefore w:val="0"/>
        <w:widowControl/>
        <w:numPr>
          <w:ilvl w:val="0"/>
          <w:numId w:val="8"/>
        </w:numPr>
        <w:kinsoku/>
        <w:wordWrap/>
        <w:overflowPunct/>
        <w:topLinePunct w:val="0"/>
        <w:autoSpaceDE/>
        <w:autoSpaceDN/>
        <w:bidi w:val="0"/>
        <w:adjustRightInd/>
        <w:snapToGrid/>
        <w:spacing w:after="0" w:line="580" w:lineRule="exact"/>
        <w:ind w:left="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C0C0C" w:themeColor="text1" w:themeTint="F2"/>
          <w:sz w:val="32"/>
          <w:szCs w:val="32"/>
        </w:rPr>
        <w:t>2019年，鹤城区工商联（总商会）在习近平新时代中国特色社会主义思想指引下,在区委、区政府的正确领导下，在市工商联、区政协及区委统战部的具体指导下，</w:t>
      </w:r>
      <w:r>
        <w:rPr>
          <w:rFonts w:hint="eastAsia" w:ascii="仿宋" w:hAnsi="仿宋" w:eastAsia="仿宋" w:cs="仿宋"/>
          <w:color w:val="0C0C0C" w:themeColor="text1" w:themeTint="F2"/>
          <w:sz w:val="32"/>
          <w:szCs w:val="32"/>
          <w:lang w:eastAsia="zh-CN"/>
        </w:rPr>
        <w:t>荣获“</w:t>
      </w:r>
      <w:r>
        <w:rPr>
          <w:rFonts w:hint="eastAsia" w:ascii="仿宋" w:hAnsi="仿宋" w:eastAsia="仿宋" w:cs="仿宋"/>
          <w:color w:val="0C0C0C" w:themeColor="text1" w:themeTint="F2"/>
          <w:sz w:val="32"/>
          <w:szCs w:val="32"/>
          <w:lang w:val="en-US" w:eastAsia="zh-CN"/>
        </w:rPr>
        <w:t>2019年度全国民营企业调查点工作示范单位</w:t>
      </w:r>
      <w:r>
        <w:rPr>
          <w:rFonts w:hint="eastAsia" w:ascii="仿宋" w:hAnsi="仿宋" w:eastAsia="仿宋" w:cs="仿宋"/>
          <w:color w:val="0C0C0C" w:themeColor="text1" w:themeTint="F2"/>
          <w:sz w:val="32"/>
          <w:szCs w:val="32"/>
          <w:lang w:eastAsia="zh-CN"/>
        </w:rPr>
        <w:t>”荣誉称号</w:t>
      </w:r>
      <w:r>
        <w:rPr>
          <w:rFonts w:hint="eastAsia" w:ascii="仿宋" w:hAnsi="仿宋" w:eastAsia="仿宋" w:cs="仿宋"/>
          <w:color w:val="0C0C0C" w:themeColor="text1" w:themeTint="F2"/>
          <w:sz w:val="32"/>
          <w:szCs w:val="32"/>
          <w:lang w:val="en-US" w:eastAsia="zh-CN"/>
        </w:rPr>
        <w:t>。</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四、绩效评价指标分析</w:t>
      </w:r>
    </w:p>
    <w:p>
      <w:pPr>
        <w:pStyle w:val="4"/>
        <w:keepNext w:val="0"/>
        <w:keepLines w:val="0"/>
        <w:pageBreakBefore w:val="0"/>
        <w:widowControl/>
        <w:suppressLineNumbers w:val="0"/>
        <w:kinsoku/>
        <w:wordWrap/>
        <w:overflowPunct/>
        <w:topLinePunct w:val="0"/>
        <w:autoSpaceDE/>
        <w:autoSpaceDN/>
        <w:bidi w:val="0"/>
        <w:spacing w:before="0" w:beforeAutospacing="0" w:after="0" w:afterAutospacing="0" w:line="580" w:lineRule="exact"/>
        <w:ind w:left="0" w:right="0" w:firstLine="643" w:firstLineChars="200"/>
        <w:jc w:val="both"/>
        <w:textAlignment w:val="auto"/>
        <w:rPr>
          <w:rFonts w:hint="eastAsia" w:ascii="仿宋" w:hAnsi="仿宋" w:eastAsia="仿宋" w:cs="仿宋"/>
          <w:b/>
          <w:sz w:val="32"/>
          <w:szCs w:val="32"/>
        </w:rPr>
      </w:pPr>
      <w:r>
        <w:rPr>
          <w:rFonts w:hint="eastAsia" w:ascii="仿宋" w:hAnsi="仿宋" w:eastAsia="仿宋" w:cs="仿宋"/>
          <w:b/>
          <w:sz w:val="32"/>
          <w:szCs w:val="32"/>
        </w:rPr>
        <w:t>（一）预算支出决策情况</w:t>
      </w:r>
    </w:p>
    <w:p>
      <w:pPr>
        <w:pStyle w:val="4"/>
        <w:keepNext w:val="0"/>
        <w:keepLines w:val="0"/>
        <w:pageBreakBefore w:val="0"/>
        <w:widowControl/>
        <w:suppressLineNumbers w:val="0"/>
        <w:kinsoku/>
        <w:wordWrap/>
        <w:overflowPunct/>
        <w:topLinePunct w:val="0"/>
        <w:autoSpaceDE/>
        <w:autoSpaceDN/>
        <w:bidi w:val="0"/>
        <w:spacing w:before="0" w:beforeAutospacing="0" w:after="0" w:afterAutospacing="0" w:line="580" w:lineRule="exact"/>
        <w:ind w:left="0" w:right="0" w:firstLine="640" w:firstLineChars="200"/>
        <w:jc w:val="both"/>
        <w:textAlignment w:val="auto"/>
        <w:rPr>
          <w:rFonts w:hint="eastAsia" w:ascii="仿宋" w:hAnsi="仿宋" w:eastAsia="仿宋" w:cs="仿宋"/>
          <w:b/>
          <w:sz w:val="32"/>
          <w:szCs w:val="32"/>
        </w:rPr>
      </w:pPr>
      <w:r>
        <w:rPr>
          <w:rFonts w:hint="eastAsia" w:ascii="仿宋" w:hAnsi="仿宋" w:eastAsia="仿宋" w:cs="仿宋"/>
          <w:w w:val="100"/>
          <w:kern w:val="2"/>
          <w:sz w:val="32"/>
          <w:szCs w:val="32"/>
          <w:lang w:val="en-US" w:eastAsia="zh-CN" w:bidi="ar-SA"/>
        </w:rPr>
        <w:t>项目的申请、设立过程符合相关要求，绩效目标合理，绩效指标明确。</w:t>
      </w:r>
    </w:p>
    <w:p>
      <w:pPr>
        <w:pStyle w:val="11"/>
        <w:keepNext w:val="0"/>
        <w:keepLines w:val="0"/>
        <w:pageBreakBefore w:val="0"/>
        <w:numPr>
          <w:ilvl w:val="0"/>
          <w:numId w:val="0"/>
        </w:numPr>
        <w:kinsoku/>
        <w:wordWrap/>
        <w:overflowPunct/>
        <w:topLinePunct w:val="0"/>
        <w:autoSpaceDE/>
        <w:autoSpaceDN/>
        <w:bidi w:val="0"/>
        <w:spacing w:line="580" w:lineRule="exact"/>
        <w:ind w:left="0" w:leftChars="0"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二</w:t>
      </w:r>
      <w:r>
        <w:rPr>
          <w:rFonts w:hint="eastAsia" w:ascii="仿宋" w:hAnsi="仿宋" w:eastAsia="仿宋" w:cs="仿宋"/>
          <w:b/>
          <w:sz w:val="32"/>
          <w:szCs w:val="32"/>
          <w:lang w:eastAsia="zh-CN"/>
        </w:rPr>
        <w:t>）</w:t>
      </w:r>
      <w:r>
        <w:rPr>
          <w:rFonts w:hint="eastAsia" w:ascii="仿宋" w:hAnsi="仿宋" w:eastAsia="仿宋" w:cs="仿宋"/>
          <w:b/>
          <w:sz w:val="32"/>
          <w:szCs w:val="32"/>
        </w:rPr>
        <w:t>预算执行过程情况</w:t>
      </w:r>
    </w:p>
    <w:p>
      <w:pPr>
        <w:pStyle w:val="11"/>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2019年项目资金年初预算31万元，全年执行数31.01万元，执行率100.03%，我联项目资金的管理严格遵守《专项资金使用管理办法》，实行监督管理，每一笔开支都按照《专项资金管理办法》要求填写经费开支申请报告，大额专项资金支付实行“三重一大”集体决策制度，所有支付报账凭证经财务分管领导同意、主管领导审核签字。</w:t>
      </w:r>
    </w:p>
    <w:p>
      <w:pPr>
        <w:keepNext w:val="0"/>
        <w:keepLines w:val="0"/>
        <w:pageBreakBefore w:val="0"/>
        <w:numPr>
          <w:ilvl w:val="0"/>
          <w:numId w:val="1"/>
        </w:numPr>
        <w:kinsoku/>
        <w:wordWrap/>
        <w:overflowPunct/>
        <w:topLinePunct w:val="0"/>
        <w:autoSpaceDE/>
        <w:autoSpaceDN/>
        <w:bidi w:val="0"/>
        <w:spacing w:line="580" w:lineRule="exact"/>
        <w:ind w:left="0" w:leftChars="0" w:firstLine="640" w:firstLineChars="0"/>
        <w:textAlignment w:val="auto"/>
        <w:rPr>
          <w:rFonts w:hint="eastAsia" w:ascii="仿宋" w:hAnsi="仿宋" w:eastAsia="仿宋" w:cs="仿宋"/>
          <w:b/>
          <w:sz w:val="32"/>
          <w:szCs w:val="32"/>
        </w:rPr>
      </w:pPr>
      <w:r>
        <w:rPr>
          <w:rFonts w:hint="eastAsia" w:ascii="仿宋" w:hAnsi="仿宋" w:eastAsia="仿宋" w:cs="仿宋"/>
          <w:b/>
          <w:sz w:val="32"/>
          <w:szCs w:val="32"/>
        </w:rPr>
        <w:t>预算支出产出情况</w:t>
      </w:r>
    </w:p>
    <w:p>
      <w:pPr>
        <w:keepNext w:val="0"/>
        <w:keepLines w:val="0"/>
        <w:pageBreakBefore w:val="0"/>
        <w:numPr>
          <w:numId w:val="0"/>
        </w:numPr>
        <w:kinsoku/>
        <w:wordWrap/>
        <w:overflowPunct/>
        <w:topLinePunct w:val="0"/>
        <w:autoSpaceDE/>
        <w:autoSpaceDN/>
        <w:bidi w:val="0"/>
        <w:spacing w:line="580" w:lineRule="exact"/>
        <w:ind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1、数量指标：2019年对全区非公企业基层商会创建</w:t>
      </w:r>
      <w:r>
        <w:rPr>
          <w:rFonts w:hint="eastAsia" w:ascii="仿宋" w:hAnsi="仿宋" w:eastAsia="仿宋" w:cs="仿宋"/>
          <w:color w:val="0C0C0C" w:themeColor="text1" w:themeTint="F2"/>
          <w:sz w:val="32"/>
          <w:szCs w:val="32"/>
        </w:rPr>
        <w:t>“四好”商会</w:t>
      </w:r>
      <w:r>
        <w:rPr>
          <w:rFonts w:hint="eastAsia" w:ascii="仿宋" w:hAnsi="仿宋" w:eastAsia="仿宋" w:cs="仿宋"/>
          <w:color w:val="0C0C0C" w:themeColor="text1" w:themeTint="F2"/>
          <w:sz w:val="32"/>
          <w:szCs w:val="32"/>
          <w:lang w:eastAsia="zh-CN"/>
        </w:rPr>
        <w:t>，</w:t>
      </w:r>
      <w:r>
        <w:rPr>
          <w:rFonts w:hint="eastAsia" w:ascii="仿宋" w:hAnsi="仿宋" w:eastAsia="仿宋" w:cs="仿宋"/>
          <w:color w:val="0C0C0C" w:themeColor="text1" w:themeTint="F2"/>
          <w:sz w:val="32"/>
          <w:szCs w:val="32"/>
        </w:rPr>
        <w:t>基层商协会现有会员数达655人，比上年增长2.6%，在服务全区经济社会发展中发挥了积极作用</w:t>
      </w:r>
      <w:r>
        <w:rPr>
          <w:rFonts w:hint="eastAsia" w:ascii="仿宋" w:hAnsi="仿宋" w:eastAsia="仿宋" w:cs="仿宋"/>
          <w:color w:val="0C0C0C" w:themeColor="text1" w:themeTint="F2"/>
          <w:sz w:val="32"/>
          <w:szCs w:val="32"/>
          <w:lang w:eastAsia="zh-CN"/>
        </w:rPr>
        <w:t>，</w:t>
      </w:r>
      <w:r>
        <w:rPr>
          <w:rFonts w:hint="eastAsia" w:ascii="仿宋" w:hAnsi="仿宋" w:eastAsia="仿宋" w:cs="仿宋"/>
          <w:w w:val="100"/>
          <w:kern w:val="2"/>
          <w:sz w:val="32"/>
          <w:szCs w:val="32"/>
          <w:lang w:val="en-US" w:eastAsia="zh-CN" w:bidi="ar-SA"/>
        </w:rPr>
        <w:t>成功率达70%以上，</w:t>
      </w:r>
      <w:r>
        <w:rPr>
          <w:rFonts w:hint="eastAsia" w:ascii="仿宋" w:hAnsi="仿宋" w:eastAsia="仿宋" w:cs="仿宋"/>
          <w:color w:val="000000" w:themeColor="text1"/>
          <w:sz w:val="32"/>
          <w:szCs w:val="32"/>
          <w:lang w:eastAsia="zh-CN"/>
        </w:rPr>
        <w:t>开展“万企帮万村”</w:t>
      </w:r>
      <w:r>
        <w:rPr>
          <w:rFonts w:hint="eastAsia" w:ascii="仿宋" w:hAnsi="仿宋" w:eastAsia="仿宋" w:cs="仿宋"/>
          <w:color w:val="000000" w:themeColor="text1"/>
          <w:sz w:val="32"/>
          <w:szCs w:val="32"/>
        </w:rPr>
        <w:t>精准扶贫行动</w:t>
      </w:r>
      <w:r>
        <w:rPr>
          <w:rFonts w:hint="eastAsia" w:ascii="仿宋" w:hAnsi="仿宋" w:eastAsia="仿宋" w:cs="仿宋"/>
          <w:color w:val="000000" w:themeColor="text1"/>
          <w:sz w:val="32"/>
          <w:szCs w:val="32"/>
          <w:lang w:eastAsia="zh-CN"/>
        </w:rPr>
        <w:t>，</w:t>
      </w:r>
      <w:r>
        <w:rPr>
          <w:rFonts w:hint="eastAsia" w:ascii="仿宋" w:hAnsi="仿宋" w:eastAsia="仿宋" w:cs="仿宋"/>
          <w:color w:val="000000" w:themeColor="text1"/>
          <w:sz w:val="32"/>
          <w:szCs w:val="32"/>
          <w:lang w:val="en-US" w:eastAsia="zh-CN"/>
        </w:rPr>
        <w:t>77</w:t>
      </w:r>
      <w:r>
        <w:rPr>
          <w:rFonts w:hint="eastAsia" w:ascii="仿宋" w:hAnsi="仿宋" w:eastAsia="仿宋" w:cs="仿宋"/>
          <w:color w:val="000000" w:themeColor="text1"/>
          <w:sz w:val="32"/>
          <w:szCs w:val="32"/>
        </w:rPr>
        <w:t>家企业实施帮扶项目</w:t>
      </w:r>
      <w:r>
        <w:rPr>
          <w:rFonts w:hint="eastAsia" w:ascii="仿宋" w:hAnsi="仿宋" w:eastAsia="仿宋" w:cs="仿宋"/>
          <w:color w:val="000000" w:themeColor="text1"/>
          <w:sz w:val="32"/>
          <w:szCs w:val="32"/>
          <w:lang w:val="en-US" w:eastAsia="zh-CN"/>
        </w:rPr>
        <w:t>100</w:t>
      </w:r>
      <w:r>
        <w:rPr>
          <w:rFonts w:hint="eastAsia" w:ascii="仿宋" w:hAnsi="仿宋" w:eastAsia="仿宋" w:cs="仿宋"/>
          <w:color w:val="000000" w:themeColor="text1"/>
          <w:sz w:val="32"/>
          <w:szCs w:val="32"/>
        </w:rPr>
        <w:t>个，累计投入帮扶资金</w:t>
      </w:r>
      <w:r>
        <w:rPr>
          <w:rFonts w:hint="eastAsia" w:ascii="仿宋" w:hAnsi="仿宋" w:eastAsia="仿宋" w:cs="仿宋"/>
          <w:color w:val="000000" w:themeColor="text1"/>
          <w:sz w:val="32"/>
          <w:szCs w:val="32"/>
          <w:lang w:val="en-US" w:eastAsia="zh-CN"/>
        </w:rPr>
        <w:t>5650.6</w:t>
      </w:r>
      <w:r>
        <w:rPr>
          <w:rFonts w:hint="eastAsia" w:ascii="仿宋" w:hAnsi="仿宋" w:eastAsia="仿宋" w:cs="仿宋"/>
          <w:color w:val="000000" w:themeColor="text1"/>
          <w:sz w:val="32"/>
          <w:szCs w:val="32"/>
          <w:lang w:eastAsia="zh-CN"/>
        </w:rPr>
        <w:t>万</w:t>
      </w:r>
      <w:r>
        <w:rPr>
          <w:rFonts w:hint="eastAsia" w:ascii="仿宋" w:hAnsi="仿宋" w:eastAsia="仿宋" w:cs="仿宋"/>
          <w:color w:val="000000" w:themeColor="text1"/>
          <w:sz w:val="32"/>
          <w:szCs w:val="32"/>
        </w:rPr>
        <w:t>元，精准帮扶贫困人口</w:t>
      </w:r>
      <w:r>
        <w:rPr>
          <w:rFonts w:hint="eastAsia" w:ascii="仿宋" w:hAnsi="仿宋" w:eastAsia="仿宋" w:cs="仿宋"/>
          <w:color w:val="000000" w:themeColor="text1"/>
          <w:sz w:val="32"/>
          <w:szCs w:val="32"/>
          <w:lang w:val="en-US" w:eastAsia="zh-CN"/>
        </w:rPr>
        <w:t>13708</w:t>
      </w:r>
      <w:r>
        <w:rPr>
          <w:rFonts w:hint="eastAsia" w:ascii="仿宋" w:hAnsi="仿宋" w:eastAsia="仿宋" w:cs="仿宋"/>
          <w:color w:val="000000" w:themeColor="text1"/>
          <w:sz w:val="32"/>
          <w:szCs w:val="32"/>
        </w:rPr>
        <w:t>人，</w:t>
      </w:r>
      <w:r>
        <w:rPr>
          <w:rFonts w:hint="eastAsia" w:ascii="仿宋" w:hAnsi="仿宋" w:eastAsia="仿宋" w:cs="仿宋"/>
          <w:color w:val="000000" w:themeColor="text1"/>
          <w:sz w:val="32"/>
          <w:szCs w:val="32"/>
          <w:lang w:eastAsia="zh-CN"/>
        </w:rPr>
        <w:t>解决</w:t>
      </w:r>
      <w:r>
        <w:rPr>
          <w:rFonts w:hint="eastAsia" w:ascii="仿宋" w:hAnsi="仿宋" w:eastAsia="仿宋" w:cs="仿宋"/>
          <w:color w:val="000000" w:themeColor="text1"/>
          <w:sz w:val="32"/>
          <w:szCs w:val="32"/>
        </w:rPr>
        <w:t>就业</w:t>
      </w:r>
      <w:r>
        <w:rPr>
          <w:rFonts w:hint="eastAsia" w:ascii="仿宋" w:hAnsi="仿宋" w:eastAsia="仿宋" w:cs="仿宋"/>
          <w:color w:val="000000" w:themeColor="text1"/>
          <w:sz w:val="32"/>
          <w:szCs w:val="32"/>
          <w:lang w:val="en-US" w:eastAsia="zh-CN"/>
        </w:rPr>
        <w:t>669</w:t>
      </w:r>
      <w:r>
        <w:rPr>
          <w:rFonts w:hint="eastAsia" w:ascii="仿宋" w:hAnsi="仿宋" w:eastAsia="仿宋" w:cs="仿宋"/>
          <w:color w:val="000000" w:themeColor="text1"/>
          <w:sz w:val="32"/>
          <w:szCs w:val="32"/>
        </w:rPr>
        <w:t>人</w:t>
      </w:r>
      <w:r>
        <w:rPr>
          <w:rFonts w:hint="eastAsia" w:ascii="仿宋" w:hAnsi="仿宋" w:eastAsia="仿宋" w:cs="仿宋"/>
          <w:color w:val="000000" w:themeColor="text1"/>
          <w:sz w:val="32"/>
          <w:szCs w:val="32"/>
          <w:lang w:eastAsia="zh-CN"/>
        </w:rPr>
        <w:t>，</w:t>
      </w:r>
      <w:r>
        <w:rPr>
          <w:rFonts w:hint="eastAsia" w:ascii="仿宋" w:hAnsi="仿宋" w:eastAsia="仿宋" w:cs="仿宋"/>
          <w:w w:val="100"/>
          <w:kern w:val="2"/>
          <w:sz w:val="32"/>
          <w:szCs w:val="32"/>
          <w:lang w:val="en-US" w:eastAsia="zh-CN" w:bidi="ar-SA"/>
        </w:rPr>
        <w:t>完成率100%。</w:t>
      </w:r>
    </w:p>
    <w:p>
      <w:pPr>
        <w:pStyle w:val="4"/>
        <w:keepNext w:val="0"/>
        <w:keepLines w:val="0"/>
        <w:pageBreakBefore w:val="0"/>
        <w:widowControl/>
        <w:numPr>
          <w:numId w:val="0"/>
        </w:numPr>
        <w:suppressLineNumbers w:val="0"/>
        <w:kinsoku/>
        <w:wordWrap/>
        <w:overflowPunct/>
        <w:topLinePunct w:val="0"/>
        <w:autoSpaceDE/>
        <w:autoSpaceDN/>
        <w:bidi w:val="0"/>
        <w:spacing w:before="0" w:beforeAutospacing="0" w:after="0" w:afterAutospacing="0" w:line="580" w:lineRule="exact"/>
        <w:ind w:leftChars="0" w:right="0" w:rightChars="0" w:firstLine="640" w:firstLineChars="200"/>
        <w:jc w:val="both"/>
        <w:textAlignment w:val="auto"/>
        <w:rPr>
          <w:rFonts w:hint="eastAsia" w:ascii="仿宋" w:hAnsi="仿宋" w:eastAsia="仿宋" w:cs="仿宋"/>
          <w:color w:val="000000" w:themeColor="text1"/>
          <w:sz w:val="32"/>
          <w:szCs w:val="32"/>
          <w:lang w:eastAsia="zh-CN"/>
        </w:rPr>
      </w:pPr>
      <w:r>
        <w:rPr>
          <w:rFonts w:hint="eastAsia" w:ascii="仿宋" w:hAnsi="仿宋" w:eastAsia="仿宋" w:cs="仿宋"/>
          <w:w w:val="100"/>
          <w:kern w:val="2"/>
          <w:sz w:val="32"/>
          <w:szCs w:val="32"/>
          <w:lang w:val="en-US" w:eastAsia="zh-CN" w:bidi="ar-SA"/>
        </w:rPr>
        <w:t>2、质量指标：</w:t>
      </w:r>
      <w:r>
        <w:rPr>
          <w:rFonts w:hint="eastAsia" w:ascii="仿宋" w:hAnsi="仿宋" w:eastAsia="仿宋" w:cs="仿宋"/>
          <w:color w:val="000000"/>
          <w:kern w:val="0"/>
          <w:sz w:val="32"/>
          <w:szCs w:val="32"/>
        </w:rPr>
        <w:t>增加税收提高地方经济发展及税收收入，扩大就业成功率达</w:t>
      </w:r>
      <w:r>
        <w:rPr>
          <w:rFonts w:hint="eastAsia" w:ascii="仿宋" w:hAnsi="仿宋" w:eastAsia="仿宋" w:cs="仿宋"/>
          <w:color w:val="000000"/>
          <w:kern w:val="0"/>
          <w:sz w:val="32"/>
          <w:szCs w:val="32"/>
          <w:lang w:val="en-US" w:eastAsia="zh-CN"/>
        </w:rPr>
        <w:t>8</w:t>
      </w:r>
      <w:r>
        <w:rPr>
          <w:rFonts w:hint="eastAsia" w:ascii="仿宋" w:hAnsi="仿宋" w:eastAsia="仿宋" w:cs="仿宋"/>
          <w:color w:val="000000"/>
          <w:kern w:val="0"/>
          <w:sz w:val="32"/>
          <w:szCs w:val="32"/>
        </w:rPr>
        <w:t>0%以上</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　</w:t>
      </w:r>
      <w:r>
        <w:rPr>
          <w:rFonts w:hint="eastAsia" w:ascii="仿宋" w:hAnsi="仿宋" w:eastAsia="仿宋" w:cs="仿宋"/>
          <w:color w:val="000000" w:themeColor="text1"/>
          <w:sz w:val="32"/>
          <w:szCs w:val="32"/>
        </w:rPr>
        <w:t>精准</w:t>
      </w:r>
      <w:r>
        <w:rPr>
          <w:rFonts w:hint="eastAsia" w:ascii="仿宋" w:hAnsi="仿宋" w:eastAsia="仿宋" w:cs="仿宋"/>
          <w:color w:val="000000" w:themeColor="text1"/>
          <w:sz w:val="32"/>
          <w:szCs w:val="32"/>
          <w:lang w:val="en-US" w:eastAsia="zh-CN"/>
        </w:rPr>
        <w:t>扶贫</w:t>
      </w:r>
      <w:r>
        <w:rPr>
          <w:rFonts w:hint="eastAsia" w:ascii="仿宋" w:hAnsi="仿宋" w:eastAsia="仿宋" w:cs="仿宋"/>
          <w:color w:val="000000" w:themeColor="text1"/>
          <w:sz w:val="32"/>
          <w:szCs w:val="32"/>
        </w:rPr>
        <w:t>帮扶贫困人口</w:t>
      </w:r>
      <w:r>
        <w:rPr>
          <w:rFonts w:hint="eastAsia" w:ascii="仿宋" w:hAnsi="仿宋" w:eastAsia="仿宋" w:cs="仿宋"/>
          <w:color w:val="000000" w:themeColor="text1"/>
          <w:sz w:val="32"/>
          <w:szCs w:val="32"/>
          <w:lang w:val="en-US" w:eastAsia="zh-CN"/>
        </w:rPr>
        <w:t>13708</w:t>
      </w:r>
      <w:r>
        <w:rPr>
          <w:rFonts w:hint="eastAsia" w:ascii="仿宋" w:hAnsi="仿宋" w:eastAsia="仿宋" w:cs="仿宋"/>
          <w:color w:val="000000" w:themeColor="text1"/>
          <w:sz w:val="32"/>
          <w:szCs w:val="32"/>
        </w:rPr>
        <w:t>人</w:t>
      </w:r>
      <w:r>
        <w:rPr>
          <w:rFonts w:hint="eastAsia" w:ascii="仿宋" w:hAnsi="仿宋" w:eastAsia="仿宋" w:cs="仿宋"/>
          <w:w w:val="100"/>
          <w:kern w:val="2"/>
          <w:sz w:val="32"/>
          <w:szCs w:val="32"/>
          <w:lang w:val="en-US" w:eastAsia="zh-CN" w:bidi="ar-SA"/>
        </w:rPr>
        <w:t>完成率100%</w:t>
      </w:r>
      <w:r>
        <w:rPr>
          <w:rFonts w:hint="eastAsia" w:ascii="仿宋" w:hAnsi="仿宋" w:eastAsia="仿宋" w:cs="仿宋"/>
          <w:color w:val="000000" w:themeColor="text1"/>
          <w:sz w:val="32"/>
          <w:szCs w:val="32"/>
          <w:lang w:eastAsia="zh-CN"/>
        </w:rPr>
        <w:t>。</w:t>
      </w:r>
    </w:p>
    <w:p>
      <w:pPr>
        <w:pStyle w:val="4"/>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580" w:lineRule="exact"/>
        <w:ind w:left="0" w:right="0" w:rightChars="0" w:firstLine="640" w:firstLineChars="200"/>
        <w:jc w:val="both"/>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3、时效指标：2019年度按计划及时完成任务。</w:t>
      </w:r>
    </w:p>
    <w:p>
      <w:pPr>
        <w:pStyle w:val="4"/>
        <w:keepNext w:val="0"/>
        <w:keepLines w:val="0"/>
        <w:pageBreakBefore w:val="0"/>
        <w:widowControl/>
        <w:suppressLineNumbers w:val="0"/>
        <w:kinsoku/>
        <w:wordWrap/>
        <w:overflowPunct/>
        <w:topLinePunct w:val="0"/>
        <w:autoSpaceDE/>
        <w:autoSpaceDN/>
        <w:bidi w:val="0"/>
        <w:spacing w:before="0" w:beforeAutospacing="0" w:after="0" w:afterAutospacing="0" w:line="580" w:lineRule="exact"/>
        <w:ind w:left="0" w:right="0" w:firstLine="632" w:firstLineChars="200"/>
        <w:jc w:val="both"/>
        <w:textAlignment w:val="auto"/>
        <w:rPr>
          <w:rFonts w:hint="eastAsia" w:ascii="仿宋" w:hAnsi="仿宋" w:eastAsia="仿宋" w:cs="仿宋"/>
          <w:w w:val="99"/>
          <w:kern w:val="2"/>
          <w:sz w:val="32"/>
          <w:szCs w:val="32"/>
          <w:lang w:val="en-US" w:eastAsia="zh-CN" w:bidi="ar-SA"/>
        </w:rPr>
      </w:pPr>
      <w:r>
        <w:rPr>
          <w:rFonts w:hint="eastAsia" w:ascii="仿宋" w:hAnsi="仿宋" w:eastAsia="仿宋" w:cs="仿宋"/>
          <w:w w:val="99"/>
          <w:kern w:val="2"/>
          <w:sz w:val="32"/>
          <w:szCs w:val="32"/>
          <w:lang w:val="en-US" w:eastAsia="zh-CN" w:bidi="ar-SA"/>
        </w:rPr>
        <w:t>4、成本指标：投入资金31万元，实际支出31.01万元。</w:t>
      </w:r>
    </w:p>
    <w:p>
      <w:pPr>
        <w:keepNext w:val="0"/>
        <w:keepLines w:val="0"/>
        <w:pageBreakBefore w:val="0"/>
        <w:kinsoku/>
        <w:wordWrap/>
        <w:overflowPunct/>
        <w:topLinePunct w:val="0"/>
        <w:autoSpaceDE/>
        <w:autoSpaceDN/>
        <w:bidi w:val="0"/>
        <w:spacing w:line="580" w:lineRule="exact"/>
        <w:ind w:left="0" w:firstLine="321" w:firstLineChars="100"/>
        <w:textAlignment w:val="auto"/>
        <w:rPr>
          <w:rFonts w:hint="eastAsia" w:ascii="仿宋" w:hAnsi="仿宋" w:eastAsia="仿宋" w:cs="仿宋"/>
          <w:b/>
          <w:sz w:val="32"/>
          <w:szCs w:val="32"/>
        </w:rPr>
      </w:pPr>
      <w:r>
        <w:rPr>
          <w:rFonts w:hint="eastAsia" w:ascii="仿宋" w:hAnsi="仿宋" w:eastAsia="仿宋" w:cs="仿宋"/>
          <w:b/>
          <w:sz w:val="32"/>
          <w:szCs w:val="32"/>
        </w:rPr>
        <w:t>（四）预算支出效益情况</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w w:val="100"/>
          <w:kern w:val="2"/>
          <w:sz w:val="32"/>
          <w:szCs w:val="32"/>
          <w:lang w:val="en-US" w:eastAsia="zh-CN" w:bidi="ar-SA"/>
        </w:rPr>
        <w:t>1、经济效益情况：健康引导非公企业</w:t>
      </w:r>
      <w:r>
        <w:rPr>
          <w:rFonts w:hint="eastAsia" w:ascii="仿宋" w:hAnsi="仿宋" w:eastAsia="仿宋" w:cs="仿宋"/>
          <w:color w:val="000000"/>
          <w:kern w:val="0"/>
          <w:sz w:val="32"/>
          <w:szCs w:val="32"/>
        </w:rPr>
        <w:t>提高地方经济发展及税收收入，扩大</w:t>
      </w:r>
      <w:r>
        <w:rPr>
          <w:rFonts w:hint="eastAsia" w:ascii="仿宋" w:hAnsi="仿宋" w:eastAsia="仿宋" w:cs="仿宋"/>
          <w:color w:val="000000"/>
          <w:kern w:val="0"/>
          <w:sz w:val="32"/>
          <w:szCs w:val="32"/>
          <w:lang w:val="en-US" w:eastAsia="zh-CN"/>
        </w:rPr>
        <w:t>民生</w:t>
      </w:r>
      <w:r>
        <w:rPr>
          <w:rFonts w:hint="eastAsia" w:ascii="仿宋" w:hAnsi="仿宋" w:eastAsia="仿宋" w:cs="仿宋"/>
          <w:color w:val="000000"/>
          <w:kern w:val="0"/>
          <w:sz w:val="32"/>
          <w:szCs w:val="32"/>
        </w:rPr>
        <w:t>就业</w:t>
      </w:r>
      <w:r>
        <w:rPr>
          <w:rFonts w:hint="eastAsia" w:ascii="仿宋" w:hAnsi="仿宋" w:eastAsia="仿宋" w:cs="仿宋"/>
          <w:color w:val="000000"/>
          <w:kern w:val="0"/>
          <w:sz w:val="32"/>
          <w:szCs w:val="32"/>
          <w:lang w:val="en-US" w:eastAsia="zh-CN"/>
        </w:rPr>
        <w:t>问题</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让非公企业精准帮扶贫困人口13708人次。</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2、社会效益情况：带动就业6千多人次。</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i w:val="0"/>
          <w:caps w:val="0"/>
          <w:color w:val="0C0C0C" w:themeColor="text1" w:themeTint="F2"/>
          <w:spacing w:val="0"/>
          <w:sz w:val="32"/>
          <w:szCs w:val="32"/>
          <w:shd w:val="clear" w:fill="FFFFFF"/>
        </w:rPr>
      </w:pPr>
      <w:r>
        <w:rPr>
          <w:rFonts w:hint="eastAsia" w:ascii="仿宋" w:hAnsi="仿宋" w:eastAsia="仿宋" w:cs="仿宋"/>
          <w:w w:val="100"/>
          <w:kern w:val="2"/>
          <w:sz w:val="32"/>
          <w:szCs w:val="32"/>
          <w:lang w:val="en-US" w:eastAsia="zh-CN" w:bidi="ar-SA"/>
        </w:rPr>
        <w:t>3、生态效益情况：</w:t>
      </w:r>
      <w:r>
        <w:rPr>
          <w:rFonts w:hint="eastAsia" w:ascii="仿宋" w:hAnsi="仿宋" w:eastAsia="仿宋" w:cs="仿宋"/>
          <w:color w:val="0C0C0C" w:themeColor="text1" w:themeTint="F2"/>
          <w:sz w:val="32"/>
          <w:szCs w:val="32"/>
          <w:lang w:val="en-US" w:eastAsia="zh-CN"/>
        </w:rPr>
        <w:t>优化营商环境，</w:t>
      </w:r>
      <w:r>
        <w:rPr>
          <w:rFonts w:hint="eastAsia" w:ascii="仿宋" w:hAnsi="仿宋" w:eastAsia="仿宋" w:cs="仿宋"/>
          <w:i w:val="0"/>
          <w:caps w:val="0"/>
          <w:color w:val="0C0C0C" w:themeColor="text1" w:themeTint="F2"/>
          <w:spacing w:val="0"/>
          <w:sz w:val="32"/>
          <w:szCs w:val="32"/>
          <w:shd w:val="clear" w:fill="FFFFFF"/>
          <w:lang w:eastAsia="zh-CN"/>
        </w:rPr>
        <w:t>我</w:t>
      </w:r>
      <w:r>
        <w:rPr>
          <w:rFonts w:hint="eastAsia" w:ascii="仿宋" w:hAnsi="仿宋" w:eastAsia="仿宋" w:cs="仿宋"/>
          <w:i w:val="0"/>
          <w:caps w:val="0"/>
          <w:color w:val="0C0C0C" w:themeColor="text1" w:themeTint="F2"/>
          <w:spacing w:val="0"/>
          <w:sz w:val="32"/>
          <w:szCs w:val="32"/>
          <w:shd w:val="clear" w:fill="FFFFFF"/>
        </w:rPr>
        <w:t>联积极发挥职能作用，各方面都取得了较好的成绩。</w:t>
      </w:r>
    </w:p>
    <w:p>
      <w:pPr>
        <w:keepNext w:val="0"/>
        <w:keepLines w:val="0"/>
        <w:pageBreakBefore w:val="0"/>
        <w:kinsoku/>
        <w:wordWrap/>
        <w:overflowPunct/>
        <w:topLinePunct w:val="0"/>
        <w:autoSpaceDE/>
        <w:autoSpaceDN/>
        <w:bidi w:val="0"/>
        <w:spacing w:line="580" w:lineRule="exact"/>
        <w:ind w:left="0" w:firstLine="600" w:firstLineChars="200"/>
        <w:textAlignment w:val="auto"/>
        <w:rPr>
          <w:rFonts w:hint="eastAsia" w:ascii="仿宋" w:hAnsi="仿宋" w:eastAsia="仿宋" w:cs="仿宋"/>
          <w:w w:val="94"/>
          <w:kern w:val="2"/>
          <w:sz w:val="32"/>
          <w:szCs w:val="32"/>
          <w:lang w:val="en-US" w:eastAsia="zh-CN" w:bidi="ar-SA"/>
        </w:rPr>
      </w:pPr>
      <w:r>
        <w:rPr>
          <w:rFonts w:hint="eastAsia" w:ascii="仿宋" w:hAnsi="仿宋" w:eastAsia="仿宋" w:cs="仿宋"/>
          <w:w w:val="94"/>
          <w:kern w:val="2"/>
          <w:sz w:val="32"/>
          <w:szCs w:val="32"/>
          <w:lang w:val="en-US" w:eastAsia="zh-CN" w:bidi="ar-SA"/>
        </w:rPr>
        <w:t>4、可持续影响情况：给非公企业提供优质服务，建立长效机制。</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b/>
          <w:sz w:val="32"/>
          <w:szCs w:val="32"/>
          <w:lang w:val="en-US" w:eastAsia="zh-CN"/>
        </w:rPr>
      </w:pPr>
      <w:r>
        <w:rPr>
          <w:rFonts w:hint="eastAsia" w:ascii="仿宋" w:hAnsi="仿宋" w:eastAsia="仿宋" w:cs="仿宋"/>
          <w:w w:val="100"/>
          <w:kern w:val="2"/>
          <w:sz w:val="32"/>
          <w:szCs w:val="32"/>
          <w:lang w:val="en-US" w:eastAsia="zh-CN" w:bidi="ar-SA"/>
        </w:rPr>
        <w:t>5、服务对象满意情况：工商联事务及非公企业招商引资服务满意度100%。</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五、主要经验及做法、存在的问题及原因分析</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（一）主要经验</w:t>
      </w:r>
    </w:p>
    <w:p>
      <w:pPr>
        <w:keepNext w:val="0"/>
        <w:keepLines w:val="0"/>
        <w:pageBreakBefore w:val="0"/>
        <w:kinsoku/>
        <w:wordWrap/>
        <w:overflowPunct/>
        <w:topLinePunct w:val="0"/>
        <w:autoSpaceDE/>
        <w:autoSpaceDN/>
        <w:bidi w:val="0"/>
        <w:spacing w:line="580" w:lineRule="exact"/>
        <w:ind w:left="0" w:firstLine="626" w:firstLineChars="200"/>
        <w:textAlignment w:val="auto"/>
        <w:rPr>
          <w:rFonts w:hint="eastAsia" w:ascii="仿宋" w:hAnsi="仿宋" w:eastAsia="仿宋" w:cs="仿宋"/>
          <w:w w:val="98"/>
          <w:kern w:val="2"/>
          <w:sz w:val="32"/>
          <w:szCs w:val="32"/>
          <w:lang w:val="en-US" w:eastAsia="zh-CN" w:bidi="ar-SA"/>
        </w:rPr>
      </w:pPr>
      <w:r>
        <w:rPr>
          <w:rFonts w:hint="eastAsia" w:ascii="仿宋" w:hAnsi="仿宋" w:eastAsia="仿宋" w:cs="仿宋"/>
          <w:w w:val="98"/>
          <w:kern w:val="2"/>
          <w:sz w:val="32"/>
          <w:szCs w:val="32"/>
          <w:lang w:val="en-US" w:eastAsia="zh-CN" w:bidi="ar-SA"/>
        </w:rPr>
        <w:t>重要事项和大额资金严格执行“三重一大”集体决策制度。</w:t>
      </w:r>
    </w:p>
    <w:p>
      <w:pPr>
        <w:keepNext w:val="0"/>
        <w:keepLines w:val="0"/>
        <w:pageBreakBefore w:val="0"/>
        <w:numPr>
          <w:ilvl w:val="0"/>
          <w:numId w:val="9"/>
        </w:numPr>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w w:val="100"/>
          <w:kern w:val="2"/>
          <w:sz w:val="32"/>
          <w:szCs w:val="32"/>
          <w:lang w:val="en-US" w:eastAsia="zh-CN" w:bidi="ar-SA"/>
        </w:rPr>
        <w:t>存在的问题和建议</w:t>
      </w:r>
    </w:p>
    <w:p>
      <w:pPr>
        <w:keepNext w:val="0"/>
        <w:keepLines w:val="0"/>
        <w:pageBreakBefore w:val="0"/>
        <w:numPr>
          <w:ilvl w:val="0"/>
          <w:numId w:val="0"/>
        </w:numPr>
        <w:kinsoku/>
        <w:wordWrap/>
        <w:overflowPunct/>
        <w:topLinePunct w:val="0"/>
        <w:autoSpaceDE/>
        <w:autoSpaceDN/>
        <w:bidi w:val="0"/>
        <w:spacing w:line="580" w:lineRule="exact"/>
        <w:ind w:left="0" w:firstLine="640" w:firstLineChars="200"/>
        <w:textAlignment w:val="auto"/>
        <w:rPr>
          <w:rFonts w:hint="eastAsia" w:ascii="仿宋" w:hAnsi="仿宋" w:eastAsia="仿宋" w:cs="仿宋"/>
          <w:w w:val="100"/>
          <w:kern w:val="2"/>
          <w:sz w:val="32"/>
          <w:szCs w:val="32"/>
          <w:lang w:val="en-US" w:eastAsia="zh-CN" w:bidi="ar-SA"/>
        </w:rPr>
      </w:pPr>
      <w:r>
        <w:rPr>
          <w:rFonts w:hint="eastAsia" w:ascii="仿宋" w:hAnsi="仿宋" w:eastAsia="仿宋" w:cs="仿宋"/>
          <w:color w:val="auto"/>
          <w:kern w:val="2"/>
          <w:sz w:val="32"/>
          <w:szCs w:val="32"/>
          <w:lang w:val="en-US" w:eastAsia="zh-CN" w:bidi="ar-SA"/>
        </w:rPr>
        <w:t>2019年我联工作还存在一些问题和不足需要进一步完善。在资金安排和使用上仍有不可预见性，在科学设置预算绩效指标上还需进一步加强。</w:t>
      </w:r>
    </w:p>
    <w:p>
      <w:pPr>
        <w:pStyle w:val="4"/>
        <w:keepNext w:val="0"/>
        <w:keepLines w:val="0"/>
        <w:pageBreakBefore w:val="0"/>
        <w:widowControl/>
        <w:numPr>
          <w:ilvl w:val="0"/>
          <w:numId w:val="10"/>
        </w:numPr>
        <w:suppressLineNumbers w:val="0"/>
        <w:kinsoku/>
        <w:wordWrap/>
        <w:overflowPunct/>
        <w:topLinePunct w:val="0"/>
        <w:autoSpaceDE/>
        <w:autoSpaceDN/>
        <w:bidi w:val="0"/>
        <w:spacing w:before="0" w:beforeAutospacing="0" w:after="0" w:afterAutospacing="0" w:line="58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有关建议</w:t>
      </w:r>
    </w:p>
    <w:p>
      <w:pPr>
        <w:pStyle w:val="4"/>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580" w:lineRule="exact"/>
        <w:ind w:left="0" w:right="0" w:rightChars="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专项资金绩效评价结果和全过程，作为以后年度本专项资金预算安排的参考依据。</w:t>
      </w:r>
    </w:p>
    <w:p>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七、其他需要说明的问题</w:t>
      </w:r>
    </w:p>
    <w:p>
      <w:pPr>
        <w:keepNext w:val="0"/>
        <w:keepLines w:val="0"/>
        <w:pageBreakBefore w:val="0"/>
        <w:widowControl/>
        <w:kinsoku/>
        <w:wordWrap/>
        <w:overflowPunct/>
        <w:topLinePunct w:val="0"/>
        <w:autoSpaceDE/>
        <w:autoSpaceDN/>
        <w:bidi w:val="0"/>
        <w:spacing w:line="580" w:lineRule="exact"/>
        <w:ind w:left="0" w:firstLine="645"/>
        <w:jc w:val="left"/>
        <w:textAlignment w:val="auto"/>
        <w:rPr>
          <w:rFonts w:hint="eastAsia" w:ascii="仿宋" w:hAnsi="仿宋" w:eastAsia="仿宋" w:cs="仿宋"/>
          <w:sz w:val="32"/>
          <w:szCs w:val="32"/>
        </w:rPr>
      </w:pPr>
      <w:r>
        <w:rPr>
          <w:rFonts w:hint="eastAsia" w:ascii="仿宋" w:hAnsi="仿宋" w:eastAsia="仿宋" w:cs="仿宋"/>
          <w:sz w:val="32"/>
          <w:szCs w:val="32"/>
        </w:rPr>
        <w:t>报告应包括以下附件：</w:t>
      </w:r>
    </w:p>
    <w:p>
      <w:pPr>
        <w:keepNext w:val="0"/>
        <w:keepLines w:val="0"/>
        <w:pageBreakBefore w:val="0"/>
        <w:widowControl/>
        <w:kinsoku/>
        <w:wordWrap/>
        <w:overflowPunct/>
        <w:topLinePunct w:val="0"/>
        <w:autoSpaceDE/>
        <w:autoSpaceDN/>
        <w:bidi w:val="0"/>
        <w:spacing w:line="580" w:lineRule="exact"/>
        <w:ind w:left="0" w:firstLine="645"/>
        <w:jc w:val="left"/>
        <w:textAlignment w:val="auto"/>
        <w:rPr>
          <w:rFonts w:hint="eastAsia" w:ascii="仿宋" w:hAnsi="仿宋" w:eastAsia="仿宋" w:cs="仿宋"/>
          <w:sz w:val="32"/>
          <w:szCs w:val="32"/>
        </w:rPr>
      </w:pPr>
      <w:r>
        <w:rPr>
          <w:rFonts w:hint="eastAsia" w:ascii="仿宋" w:hAnsi="仿宋" w:eastAsia="仿宋" w:cs="仿宋"/>
          <w:sz w:val="32"/>
          <w:szCs w:val="32"/>
        </w:rPr>
        <w:t>1、绩效评价基础数据汇总表</w:t>
      </w:r>
    </w:p>
    <w:p>
      <w:pPr>
        <w:keepNext w:val="0"/>
        <w:keepLines w:val="0"/>
        <w:pageBreakBefore w:val="0"/>
        <w:widowControl/>
        <w:kinsoku/>
        <w:wordWrap/>
        <w:overflowPunct/>
        <w:topLinePunct w:val="0"/>
        <w:autoSpaceDE/>
        <w:autoSpaceDN/>
        <w:bidi w:val="0"/>
        <w:spacing w:line="580" w:lineRule="exact"/>
        <w:ind w:left="0" w:firstLine="645"/>
        <w:jc w:val="left"/>
        <w:textAlignment w:val="auto"/>
      </w:pPr>
      <w:r>
        <w:rPr>
          <w:rFonts w:hint="eastAsia" w:ascii="仿宋" w:hAnsi="仿宋" w:eastAsia="仿宋" w:cs="仿宋"/>
          <w:sz w:val="32"/>
          <w:szCs w:val="32"/>
        </w:rPr>
        <w:t>2、绩效评价指标评分表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方正姚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1B315C"/>
    <w:multiLevelType w:val="singleLevel"/>
    <w:tmpl w:val="9A1B315C"/>
    <w:lvl w:ilvl="0" w:tentative="0">
      <w:start w:val="3"/>
      <w:numFmt w:val="chineseCounting"/>
      <w:suff w:val="nothing"/>
      <w:lvlText w:val="%1、"/>
      <w:lvlJc w:val="left"/>
      <w:rPr>
        <w:rFonts w:hint="eastAsia"/>
      </w:rPr>
    </w:lvl>
  </w:abstractNum>
  <w:abstractNum w:abstractNumId="1">
    <w:nsid w:val="D641CE89"/>
    <w:multiLevelType w:val="singleLevel"/>
    <w:tmpl w:val="D641CE89"/>
    <w:lvl w:ilvl="0" w:tentative="0">
      <w:start w:val="6"/>
      <w:numFmt w:val="chineseCounting"/>
      <w:suff w:val="nothing"/>
      <w:lvlText w:val="%1、"/>
      <w:lvlJc w:val="left"/>
      <w:rPr>
        <w:rFonts w:hint="eastAsia"/>
      </w:rPr>
    </w:lvl>
  </w:abstractNum>
  <w:abstractNum w:abstractNumId="2">
    <w:nsid w:val="EE736F32"/>
    <w:multiLevelType w:val="singleLevel"/>
    <w:tmpl w:val="EE736F32"/>
    <w:lvl w:ilvl="0" w:tentative="0">
      <w:start w:val="2"/>
      <w:numFmt w:val="chineseCounting"/>
      <w:suff w:val="nothing"/>
      <w:lvlText w:val="（%1）"/>
      <w:lvlJc w:val="left"/>
      <w:rPr>
        <w:rFonts w:hint="eastAsia"/>
      </w:rPr>
    </w:lvl>
  </w:abstractNum>
  <w:abstractNum w:abstractNumId="3">
    <w:nsid w:val="151D602B"/>
    <w:multiLevelType w:val="singleLevel"/>
    <w:tmpl w:val="151D602B"/>
    <w:lvl w:ilvl="0" w:tentative="0">
      <w:start w:val="1"/>
      <w:numFmt w:val="chineseCounting"/>
      <w:suff w:val="nothing"/>
      <w:lvlText w:val="（%1）"/>
      <w:lvlJc w:val="left"/>
      <w:rPr>
        <w:rFonts w:hint="eastAsia"/>
      </w:rPr>
    </w:lvl>
  </w:abstractNum>
  <w:abstractNum w:abstractNumId="4">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603A9A0C"/>
    <w:multiLevelType w:val="singleLevel"/>
    <w:tmpl w:val="603A9A0C"/>
    <w:lvl w:ilvl="0" w:tentative="0">
      <w:start w:val="8"/>
      <w:numFmt w:val="decimal"/>
      <w:suff w:val="nothing"/>
      <w:lvlText w:val="%1、"/>
      <w:lvlJc w:val="left"/>
    </w:lvl>
  </w:abstractNum>
  <w:abstractNum w:abstractNumId="8">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7B1E6973"/>
    <w:multiLevelType w:val="singleLevel"/>
    <w:tmpl w:val="7B1E6973"/>
    <w:lvl w:ilvl="0" w:tentative="0">
      <w:start w:val="1"/>
      <w:numFmt w:val="chineseCounting"/>
      <w:suff w:val="nothing"/>
      <w:lvlText w:val="（%1）"/>
      <w:lvlJc w:val="left"/>
      <w:rPr>
        <w:rFonts w:hint="eastAsia"/>
      </w:rPr>
    </w:lvl>
  </w:abstractNum>
  <w:num w:numId="1">
    <w:abstractNumId w:val="3"/>
  </w:num>
  <w:num w:numId="2">
    <w:abstractNumId w:val="7"/>
  </w:num>
  <w:num w:numId="3">
    <w:abstractNumId w:val="5"/>
  </w:num>
  <w:num w:numId="4">
    <w:abstractNumId w:val="4"/>
  </w:num>
  <w:num w:numId="5">
    <w:abstractNumId w:val="8"/>
  </w:num>
  <w:num w:numId="6">
    <w:abstractNumId w:val="6"/>
  </w:num>
  <w:num w:numId="7">
    <w:abstractNumId w:val="0"/>
  </w:num>
  <w:num w:numId="8">
    <w:abstractNumId w:val="9"/>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25D2971"/>
    <w:rsid w:val="028D3D9B"/>
    <w:rsid w:val="03707C72"/>
    <w:rsid w:val="05A87F00"/>
    <w:rsid w:val="07387C3F"/>
    <w:rsid w:val="081B1E9D"/>
    <w:rsid w:val="0A9C36C3"/>
    <w:rsid w:val="0B93386A"/>
    <w:rsid w:val="0C3900B5"/>
    <w:rsid w:val="12277EDC"/>
    <w:rsid w:val="133A79F9"/>
    <w:rsid w:val="167604BC"/>
    <w:rsid w:val="17996A04"/>
    <w:rsid w:val="21477D0C"/>
    <w:rsid w:val="221B1222"/>
    <w:rsid w:val="22F87609"/>
    <w:rsid w:val="2393330F"/>
    <w:rsid w:val="23B837FE"/>
    <w:rsid w:val="2A153DCA"/>
    <w:rsid w:val="2CCD6DFC"/>
    <w:rsid w:val="2E0870CE"/>
    <w:rsid w:val="30C532DB"/>
    <w:rsid w:val="3398687B"/>
    <w:rsid w:val="339D3BD8"/>
    <w:rsid w:val="35DB4936"/>
    <w:rsid w:val="36BA6C2A"/>
    <w:rsid w:val="3B9711CA"/>
    <w:rsid w:val="3C7B0287"/>
    <w:rsid w:val="41313958"/>
    <w:rsid w:val="4A2E6DBB"/>
    <w:rsid w:val="501E41A2"/>
    <w:rsid w:val="52866C99"/>
    <w:rsid w:val="59A03387"/>
    <w:rsid w:val="5AC84511"/>
    <w:rsid w:val="626E2511"/>
    <w:rsid w:val="62F321A0"/>
    <w:rsid w:val="676A45B8"/>
    <w:rsid w:val="679A707D"/>
    <w:rsid w:val="69DE15DE"/>
    <w:rsid w:val="6A08406A"/>
    <w:rsid w:val="6A274DC2"/>
    <w:rsid w:val="6B314D6A"/>
    <w:rsid w:val="6E7554FD"/>
    <w:rsid w:val="71677525"/>
    <w:rsid w:val="724574C8"/>
    <w:rsid w:val="73B42BB1"/>
    <w:rsid w:val="74913B20"/>
    <w:rsid w:val="7FBD7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qFormat/>
    <w:uiPriority w:val="0"/>
    <w:pPr>
      <w:jc w:val="left"/>
    </w:pPr>
    <w:rPr>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customStyle="1" w:styleId="11">
    <w:name w:val="无间隔"/>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1</TotalTime>
  <ScaleCrop>false</ScaleCrop>
  <LinksUpToDate>false</LinksUpToDate>
  <CharactersWithSpaces>8635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那情狠真</cp:lastModifiedBy>
  <cp:lastPrinted>2020-06-24T02:12:00Z</cp:lastPrinted>
  <dcterms:modified xsi:type="dcterms:W3CDTF">2020-09-18T10:08:19Z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