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left"/>
        <w:rPr>
          <w:rFonts w:eastAsia="黑体"/>
          <w:kern w:val="0"/>
          <w:sz w:val="32"/>
          <w:szCs w:val="32"/>
        </w:rPr>
      </w:pPr>
      <w:r>
        <w:rPr>
          <w:rFonts w:eastAsia="黑体"/>
          <w:kern w:val="0"/>
          <w:sz w:val="32"/>
          <w:szCs w:val="32"/>
        </w:rPr>
        <w:t>附件</w:t>
      </w:r>
      <w:r>
        <w:rPr>
          <w:rFonts w:hint="eastAsia" w:eastAsia="黑体"/>
          <w:kern w:val="0"/>
          <w:sz w:val="32"/>
          <w:szCs w:val="32"/>
        </w:rPr>
        <w:t>3</w:t>
      </w:r>
    </w:p>
    <w:p>
      <w:pPr>
        <w:widowControl/>
        <w:spacing w:line="600" w:lineRule="exact"/>
        <w:jc w:val="left"/>
        <w:rPr>
          <w:rFonts w:eastAsia="黑体"/>
          <w:kern w:val="0"/>
          <w:sz w:val="32"/>
          <w:szCs w:val="32"/>
        </w:rPr>
      </w:pPr>
    </w:p>
    <w:p>
      <w:pPr>
        <w:spacing w:line="600" w:lineRule="exact"/>
        <w:jc w:val="center"/>
        <w:rPr>
          <w:rFonts w:hint="eastAsia" w:eastAsia="方正小标宋_GBK"/>
          <w:sz w:val="48"/>
          <w:szCs w:val="48"/>
          <w:lang w:eastAsia="zh-CN"/>
        </w:rPr>
      </w:pPr>
      <w:r>
        <w:rPr>
          <w:rFonts w:hint="eastAsia" w:eastAsia="方正小标宋_GBK"/>
          <w:sz w:val="48"/>
          <w:szCs w:val="48"/>
          <w:lang w:eastAsia="zh-CN"/>
        </w:rPr>
        <w:t>怀化市鹤城区河西街道办事处</w:t>
      </w:r>
    </w:p>
    <w:p>
      <w:pPr>
        <w:spacing w:line="600" w:lineRule="exact"/>
        <w:jc w:val="center"/>
        <w:rPr>
          <w:rFonts w:eastAsia="方正小标宋_GBK"/>
          <w:sz w:val="48"/>
          <w:szCs w:val="48"/>
        </w:rPr>
      </w:pPr>
      <w:r>
        <w:rPr>
          <w:rFonts w:eastAsia="方正小标宋_GBK"/>
          <w:sz w:val="48"/>
          <w:szCs w:val="48"/>
        </w:rPr>
        <w:t>部门整体支出绩效评价报告</w:t>
      </w:r>
    </w:p>
    <w:p>
      <w:pPr>
        <w:spacing w:line="600" w:lineRule="exact"/>
        <w:jc w:val="both"/>
        <w:rPr>
          <w:rFonts w:eastAsia="方正小标宋_GBK"/>
          <w:sz w:val="32"/>
          <w:szCs w:val="32"/>
        </w:rPr>
      </w:pP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部门、单位基本情况</w:t>
      </w:r>
      <w:bookmarkStart w:id="0" w:name="_GoBack"/>
      <w:bookmarkEnd w:id="0"/>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（一）部门职责</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河西街道办事处在区委区政府正确领导下，负责承办政府各职能部门在本辖区开展的各项行政事业性事务；负责办事处社会经济发展工作；负责落实党中央国务院的一系列惠民政策工作，负责做好与办事处群众利益相关的社会保障、劳务输出、社会稳定、计划生育、优抚救济、社区自治、农业补助等工作，办理办事处的公益事业性工作。</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（二）机构设置情况</w:t>
      </w:r>
    </w:p>
    <w:p>
      <w:pPr>
        <w:widowControl/>
        <w:spacing w:line="600" w:lineRule="exact"/>
        <w:ind w:firstLine="640" w:firstLineChars="200"/>
        <w:jc w:val="left"/>
        <w:rPr>
          <w:rFonts w:eastAsia="仿宋_GB2312"/>
          <w:sz w:val="32"/>
          <w:szCs w:val="32"/>
        </w:rPr>
      </w:pPr>
      <w:r>
        <w:rPr>
          <w:rFonts w:hint="eastAsia" w:eastAsia="仿宋_GB2312"/>
          <w:sz w:val="32"/>
          <w:szCs w:val="32"/>
          <w:lang w:val="en-US" w:eastAsia="zh-CN"/>
        </w:rPr>
        <w:t>鹤城区河西街道办事处作为一般部门预算单位，纳入部门预算编制范围的二级部门预算单位包括：河西街道办事处机关、河西街道办事处事业、河西林业机构、河西财政所、河西社区财务管理办公室。</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1、年度收支决算情况。</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2019年度总收入为</w:t>
      </w:r>
      <w:r>
        <w:rPr>
          <w:rFonts w:hint="eastAsia" w:asciiTheme="minorEastAsia" w:hAnsiTheme="minorEastAsia" w:eastAsiaTheme="minorEastAsia"/>
          <w:sz w:val="32"/>
          <w:szCs w:val="32"/>
          <w:lang w:val="en-US" w:eastAsia="zh-CN"/>
        </w:rPr>
        <w:t>1302.65</w:t>
      </w:r>
      <w:r>
        <w:rPr>
          <w:rFonts w:hint="eastAsia" w:eastAsia="仿宋_GB2312"/>
          <w:sz w:val="32"/>
          <w:szCs w:val="32"/>
          <w:lang w:val="en-US" w:eastAsia="zh-CN"/>
        </w:rPr>
        <w:t>万元，其中财政拨款收入为</w:t>
      </w:r>
      <w:r>
        <w:rPr>
          <w:rFonts w:hint="eastAsia" w:asciiTheme="minorEastAsia" w:hAnsiTheme="minorEastAsia" w:eastAsiaTheme="minorEastAsia"/>
          <w:sz w:val="32"/>
          <w:szCs w:val="32"/>
          <w:lang w:val="en-US" w:eastAsia="zh-CN"/>
        </w:rPr>
        <w:t>961.69</w:t>
      </w:r>
      <w:r>
        <w:rPr>
          <w:rFonts w:hint="eastAsia" w:eastAsia="仿宋_GB2312"/>
          <w:sz w:val="32"/>
          <w:szCs w:val="32"/>
          <w:lang w:val="en-US" w:eastAsia="zh-CN"/>
        </w:rPr>
        <w:t>万元，其他收入为</w:t>
      </w:r>
      <w:r>
        <w:rPr>
          <w:rFonts w:hint="eastAsia" w:asciiTheme="minorEastAsia" w:hAnsiTheme="minorEastAsia" w:eastAsiaTheme="minorEastAsia"/>
          <w:sz w:val="32"/>
          <w:szCs w:val="32"/>
          <w:lang w:val="en-US" w:eastAsia="zh-CN"/>
        </w:rPr>
        <w:t>340.96</w:t>
      </w:r>
      <w:r>
        <w:rPr>
          <w:rFonts w:hint="eastAsia" w:eastAsia="仿宋_GB2312"/>
          <w:sz w:val="32"/>
          <w:szCs w:val="32"/>
          <w:lang w:val="en-US" w:eastAsia="zh-CN"/>
        </w:rPr>
        <w:t>万元。总支出为</w:t>
      </w:r>
      <w:r>
        <w:rPr>
          <w:rFonts w:hint="eastAsia" w:asciiTheme="minorEastAsia" w:hAnsiTheme="minorEastAsia" w:eastAsiaTheme="minorEastAsia"/>
          <w:sz w:val="32"/>
          <w:szCs w:val="32"/>
          <w:lang w:val="en-US" w:eastAsia="zh-CN"/>
        </w:rPr>
        <w:t>1343.22</w:t>
      </w:r>
      <w:r>
        <w:rPr>
          <w:rFonts w:hint="eastAsia" w:eastAsia="仿宋_GB2312"/>
          <w:sz w:val="32"/>
          <w:szCs w:val="32"/>
          <w:lang w:val="en-US" w:eastAsia="zh-CN"/>
        </w:rPr>
        <w:t>万元，其中一般公共服务支出470.82万元，社会保障和就业支出23.23万元，医疗卫生与计划生育支出67.66万元，节能环保支出32.25万元，城乡社区支出212.69万元，农林水支出166.7万元，其他支出369.87万元。</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2、一般公共预算财政拨款支出情况。</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2019年度财政拨款总支出为</w:t>
      </w:r>
      <w:r>
        <w:rPr>
          <w:rFonts w:hint="eastAsia" w:asciiTheme="minorEastAsia" w:hAnsiTheme="minorEastAsia" w:eastAsiaTheme="minorEastAsia"/>
          <w:sz w:val="32"/>
          <w:szCs w:val="32"/>
          <w:lang w:val="en-US" w:eastAsia="zh-CN"/>
        </w:rPr>
        <w:t>973.35</w:t>
      </w:r>
      <w:r>
        <w:rPr>
          <w:rFonts w:hint="eastAsia" w:eastAsia="仿宋_GB2312"/>
          <w:sz w:val="32"/>
          <w:szCs w:val="32"/>
          <w:lang w:val="en-US" w:eastAsia="zh-CN"/>
        </w:rPr>
        <w:t>万元，其中基本支出为844.41万元，项目支出为128.93万元。</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3、“三公”经费决算情况。</w:t>
      </w:r>
    </w:p>
    <w:p>
      <w:pPr>
        <w:widowControl/>
        <w:spacing w:line="600" w:lineRule="exact"/>
        <w:ind w:firstLine="640" w:firstLineChars="200"/>
        <w:jc w:val="left"/>
        <w:rPr>
          <w:rFonts w:hint="default" w:eastAsia="仿宋_GB2312"/>
          <w:sz w:val="32"/>
          <w:szCs w:val="32"/>
          <w:lang w:val="en-US" w:eastAsia="zh-CN"/>
        </w:rPr>
      </w:pPr>
      <w:r>
        <w:rPr>
          <w:rFonts w:hint="eastAsia" w:eastAsia="仿宋_GB2312"/>
          <w:sz w:val="32"/>
          <w:szCs w:val="32"/>
          <w:lang w:val="en-US" w:eastAsia="zh-CN"/>
        </w:rPr>
        <w:t>2019年度“三公”经费总支出为5.09万元，其中公务用车运行维护费5.04万元,公务接待费0.05万元。</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4、机关运行经费决算情况。</w:t>
      </w:r>
    </w:p>
    <w:p>
      <w:pPr>
        <w:widowControl/>
        <w:spacing w:line="600" w:lineRule="exact"/>
        <w:ind w:firstLine="640" w:firstLineChars="200"/>
        <w:jc w:val="left"/>
        <w:rPr>
          <w:rFonts w:eastAsia="仿宋_GB2312"/>
          <w:sz w:val="32"/>
          <w:szCs w:val="32"/>
        </w:rPr>
      </w:pPr>
      <w:r>
        <w:rPr>
          <w:rFonts w:hint="eastAsia" w:eastAsia="仿宋_GB2312"/>
          <w:sz w:val="32"/>
          <w:szCs w:val="32"/>
          <w:lang w:val="en-US" w:eastAsia="zh-CN"/>
        </w:rPr>
        <w:t>2019年运行经费为348.43万元，其中办公费为93.52万元，印刷费15.04万元 ，水费1.01万元，电费3.23万元，邮电费1.8万元，取暖费0.28万元，差旅费1.23万元，维修（护）费166万元，租赁费1.14万元，公务接待费0.05万元，专用材料费0.1万元，劳务费23.95万元，工会经费6.32万元，公务用车运行维护费5.04万元，其他商品和服务支出29.72万元。</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pStyle w:val="4"/>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default" w:eastAsia="仿宋_GB2312"/>
          <w:sz w:val="32"/>
          <w:szCs w:val="32"/>
          <w:lang w:val="en-US" w:eastAsia="zh-CN"/>
        </w:rPr>
      </w:pPr>
      <w:r>
        <w:rPr>
          <w:rFonts w:hint="eastAsia" w:eastAsia="仿宋_GB2312"/>
          <w:sz w:val="32"/>
          <w:szCs w:val="32"/>
          <w:lang w:val="en-US" w:eastAsia="zh-CN"/>
        </w:rPr>
        <w:t>2019年</w:t>
      </w:r>
      <w:r>
        <w:rPr>
          <w:rFonts w:hint="eastAsia" w:eastAsia="仿宋_GB2312"/>
          <w:sz w:val="32"/>
          <w:szCs w:val="32"/>
          <w:lang w:eastAsia="zh-CN"/>
        </w:rPr>
        <w:t>扶贫工作队生活补助专项经费</w:t>
      </w:r>
      <w:r>
        <w:rPr>
          <w:rFonts w:hint="eastAsia" w:eastAsia="仿宋_GB2312"/>
          <w:sz w:val="32"/>
          <w:szCs w:val="32"/>
          <w:lang w:val="en-US" w:eastAsia="zh-CN"/>
        </w:rPr>
        <w:t>，共计支出22.59万元。</w:t>
      </w:r>
    </w:p>
    <w:p>
      <w:pPr>
        <w:numPr>
          <w:ilvl w:val="0"/>
          <w:numId w:val="0"/>
        </w:numPr>
        <w:ind w:firstLine="560"/>
        <w:jc w:val="left"/>
        <w:rPr>
          <w:rFonts w:hint="eastAsia" w:ascii="Calibri" w:hAnsi="Calibri" w:eastAsia="仿宋_GB2312" w:cs="Times New Roman"/>
          <w:kern w:val="2"/>
          <w:sz w:val="32"/>
          <w:szCs w:val="32"/>
          <w:lang w:val="en-US" w:eastAsia="zh-CN" w:bidi="ar-SA"/>
        </w:rPr>
      </w:pPr>
      <w:r>
        <w:rPr>
          <w:rFonts w:hint="eastAsia" w:ascii="Calibri" w:hAnsi="Calibri" w:eastAsia="仿宋_GB2312" w:cs="Times New Roman"/>
          <w:kern w:val="2"/>
          <w:sz w:val="32"/>
          <w:szCs w:val="32"/>
          <w:lang w:val="en-US" w:eastAsia="zh-CN" w:bidi="ar-SA"/>
        </w:rPr>
        <w:t>2019年民政专项资金，共计支出64.43万元。</w:t>
      </w:r>
    </w:p>
    <w:p>
      <w:pPr>
        <w:numPr>
          <w:ilvl w:val="0"/>
          <w:numId w:val="0"/>
        </w:numPr>
        <w:ind w:firstLine="560"/>
        <w:jc w:val="left"/>
        <w:rPr>
          <w:rFonts w:hint="eastAsia" w:ascii="Calibri" w:hAnsi="Calibri" w:eastAsia="仿宋_GB2312" w:cs="Times New Roman"/>
          <w:kern w:val="2"/>
          <w:sz w:val="32"/>
          <w:szCs w:val="32"/>
          <w:lang w:val="en-US" w:eastAsia="zh-CN" w:bidi="ar-SA"/>
        </w:rPr>
      </w:pPr>
      <w:r>
        <w:rPr>
          <w:rFonts w:hint="eastAsia" w:ascii="Calibri" w:hAnsi="Calibri" w:eastAsia="仿宋_GB2312" w:cs="Times New Roman"/>
          <w:kern w:val="2"/>
          <w:sz w:val="32"/>
          <w:szCs w:val="32"/>
          <w:lang w:val="en-US" w:eastAsia="zh-CN" w:bidi="ar-SA"/>
        </w:rPr>
        <w:t>2019年党建工作经费，共计支出6.8万元。</w:t>
      </w:r>
    </w:p>
    <w:p>
      <w:pPr>
        <w:numPr>
          <w:ilvl w:val="0"/>
          <w:numId w:val="0"/>
        </w:numPr>
        <w:ind w:firstLine="560"/>
        <w:jc w:val="left"/>
        <w:rPr>
          <w:rFonts w:hint="eastAsia" w:eastAsia="仿宋_GB2312"/>
          <w:sz w:val="32"/>
          <w:szCs w:val="32"/>
          <w:lang w:eastAsia="zh-CN"/>
        </w:rPr>
      </w:pPr>
      <w:r>
        <w:rPr>
          <w:rFonts w:hint="eastAsia" w:ascii="Calibri" w:hAnsi="Calibri" w:eastAsia="仿宋_GB2312" w:cs="Times New Roman"/>
          <w:kern w:val="2"/>
          <w:sz w:val="32"/>
          <w:szCs w:val="32"/>
          <w:lang w:val="en-US" w:eastAsia="zh-CN" w:bidi="ar-SA"/>
        </w:rPr>
        <w:t>2019年拨付村及社区工作经费等专项资金，共计支出81.05万元。</w:t>
      </w:r>
    </w:p>
    <w:p>
      <w:pPr>
        <w:pStyle w:val="4"/>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pStyle w:val="4"/>
        <w:widowControl/>
        <w:spacing w:line="600" w:lineRule="exact"/>
        <w:ind w:left="640" w:firstLine="0" w:firstLineChars="0"/>
        <w:jc w:val="left"/>
        <w:rPr>
          <w:rFonts w:hint="eastAsia" w:ascii="Calibri" w:hAnsi="Calibri" w:eastAsia="仿宋_GB2312" w:cs="Times New Roman"/>
          <w:kern w:val="2"/>
          <w:sz w:val="32"/>
          <w:szCs w:val="32"/>
          <w:lang w:val="en-US" w:eastAsia="zh-CN" w:bidi="ar-SA"/>
        </w:rPr>
      </w:pPr>
      <w:r>
        <w:rPr>
          <w:rFonts w:hint="eastAsia" w:ascii="Calibri" w:hAnsi="Calibri" w:eastAsia="仿宋_GB2312" w:cs="Times New Roman"/>
          <w:kern w:val="2"/>
          <w:sz w:val="32"/>
          <w:szCs w:val="32"/>
          <w:lang w:val="en-US" w:eastAsia="zh-CN" w:bidi="ar-SA"/>
        </w:rPr>
        <w:t>无</w:t>
      </w:r>
    </w:p>
    <w:p>
      <w:pPr>
        <w:pStyle w:val="4"/>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国有资本经营预算支出情况</w:t>
      </w:r>
    </w:p>
    <w:p>
      <w:pPr>
        <w:pStyle w:val="4"/>
        <w:widowControl/>
        <w:spacing w:line="600" w:lineRule="exact"/>
        <w:ind w:left="640" w:firstLine="0" w:firstLineChars="0"/>
        <w:jc w:val="left"/>
        <w:rPr>
          <w:rFonts w:ascii="Times New Roman" w:hAnsi="Times New Roman" w:eastAsia="黑体"/>
          <w:sz w:val="32"/>
          <w:szCs w:val="32"/>
        </w:rPr>
      </w:pPr>
      <w:r>
        <w:rPr>
          <w:rFonts w:hint="eastAsia" w:ascii="Calibri" w:hAnsi="Calibri" w:eastAsia="仿宋_GB2312" w:cs="Times New Roman"/>
          <w:kern w:val="2"/>
          <w:sz w:val="32"/>
          <w:szCs w:val="32"/>
          <w:lang w:val="en-US" w:eastAsia="zh-CN" w:bidi="ar-SA"/>
        </w:rPr>
        <w:t>无</w:t>
      </w:r>
    </w:p>
    <w:p>
      <w:pPr>
        <w:pStyle w:val="4"/>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社会保险基金预算支出情况</w:t>
      </w:r>
    </w:p>
    <w:p>
      <w:pPr>
        <w:pStyle w:val="4"/>
        <w:widowControl/>
        <w:spacing w:line="600" w:lineRule="exact"/>
        <w:ind w:left="640" w:firstLine="0" w:firstLineChars="0"/>
        <w:jc w:val="left"/>
        <w:rPr>
          <w:rFonts w:ascii="Times New Roman" w:hAnsi="Times New Roman" w:eastAsia="黑体"/>
          <w:sz w:val="32"/>
          <w:szCs w:val="32"/>
        </w:rPr>
      </w:pPr>
      <w:r>
        <w:rPr>
          <w:rFonts w:hint="eastAsia" w:ascii="Calibri" w:hAnsi="Calibri" w:eastAsia="仿宋_GB2312" w:cs="Times New Roman"/>
          <w:kern w:val="2"/>
          <w:sz w:val="32"/>
          <w:szCs w:val="32"/>
          <w:lang w:val="en-US" w:eastAsia="zh-CN" w:bidi="ar-SA"/>
        </w:rPr>
        <w:t>无</w:t>
      </w:r>
    </w:p>
    <w:p>
      <w:pPr>
        <w:widowControl/>
        <w:spacing w:line="600" w:lineRule="exact"/>
        <w:ind w:firstLine="645"/>
        <w:jc w:val="left"/>
        <w:rPr>
          <w:rFonts w:eastAsia="黑体"/>
          <w:sz w:val="32"/>
          <w:szCs w:val="32"/>
        </w:rPr>
      </w:pPr>
      <w:r>
        <w:rPr>
          <w:rFonts w:eastAsia="黑体"/>
          <w:sz w:val="32"/>
          <w:szCs w:val="32"/>
        </w:rPr>
        <w:t>六、部门整体支出绩效情况</w:t>
      </w:r>
    </w:p>
    <w:p>
      <w:pPr>
        <w:widowControl/>
        <w:spacing w:line="600" w:lineRule="exact"/>
        <w:ind w:firstLine="645"/>
        <w:jc w:val="left"/>
        <w:rPr>
          <w:rFonts w:hint="eastAsia" w:eastAsia="仿宋_GB2312"/>
          <w:color w:val="000000"/>
          <w:sz w:val="32"/>
          <w:szCs w:val="32"/>
          <w:lang w:val="en-US" w:eastAsia="zh-CN"/>
        </w:rPr>
      </w:pPr>
      <w:r>
        <w:rPr>
          <w:rFonts w:hint="eastAsia" w:eastAsia="仿宋_GB2312"/>
          <w:color w:val="000000"/>
          <w:sz w:val="32"/>
          <w:szCs w:val="32"/>
          <w:lang w:val="en-US" w:eastAsia="zh-CN"/>
        </w:rPr>
        <w:t>扶贫工作队生活补助的及时发放保障了扶贫队员们开展工作的正常开支，保证了工作开展的高效，为脱贫攻坚工作有力护航。民政专项资金的发放，是民生事业的基本保障，使河西敬老院工作能够正常开展；使需要临时救助的人员及时得到政府帮助；对高龄老人的补助，也体现了政府对老年人的关怀。党建工作经费的开支，保障了本单位党建工作的高效有力开展，加深党员的自身修养，更好的服务群众。拨付给村和社区的工作经费等专项资金，保障了社区居民生活环境的干净整洁，；保障了行政村村委协助政府开展工作的经济基础，保障了村民通行的道路安全及居住环境的安全；保障了应对突发性事件的能力；保障了农村居民的文化建设。</w:t>
      </w:r>
    </w:p>
    <w:p>
      <w:pPr>
        <w:pStyle w:val="4"/>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pPr>
        <w:widowControl/>
        <w:spacing w:line="600" w:lineRule="exact"/>
        <w:ind w:firstLine="640" w:firstLineChars="200"/>
        <w:jc w:val="left"/>
        <w:rPr>
          <w:rFonts w:hint="eastAsia" w:eastAsia="仿宋_GB2312"/>
          <w:sz w:val="32"/>
          <w:szCs w:val="32"/>
          <w:lang w:eastAsia="zh-CN"/>
        </w:rPr>
      </w:pPr>
      <w:r>
        <w:rPr>
          <w:rFonts w:hint="eastAsia" w:eastAsia="仿宋_GB2312"/>
          <w:sz w:val="32"/>
          <w:szCs w:val="32"/>
          <w:lang w:eastAsia="zh-CN"/>
        </w:rPr>
        <w:t>主要存在的问题在于预算执行有偏差，形成的原因为突发状况导致的支出与预算有偏差，例如行政村申请资金维修道路。</w:t>
      </w:r>
    </w:p>
    <w:p>
      <w:pPr>
        <w:widowControl/>
        <w:spacing w:line="600" w:lineRule="exact"/>
        <w:ind w:firstLine="640" w:firstLineChars="200"/>
        <w:jc w:val="left"/>
        <w:rPr>
          <w:rFonts w:eastAsia="黑体"/>
          <w:sz w:val="32"/>
          <w:szCs w:val="32"/>
        </w:rPr>
      </w:pPr>
      <w:r>
        <w:rPr>
          <w:rFonts w:eastAsia="黑体"/>
          <w:sz w:val="32"/>
          <w:szCs w:val="32"/>
        </w:rPr>
        <w:t>八、下一步改进措施</w:t>
      </w:r>
    </w:p>
    <w:p>
      <w:pPr>
        <w:widowControl/>
        <w:spacing w:line="600" w:lineRule="exact"/>
        <w:ind w:firstLine="645"/>
        <w:jc w:val="left"/>
        <w:rPr>
          <w:rFonts w:eastAsia="仿宋_GB2312"/>
          <w:color w:val="000000"/>
          <w:sz w:val="32"/>
          <w:szCs w:val="32"/>
        </w:rPr>
      </w:pPr>
      <w:r>
        <w:rPr>
          <w:rFonts w:hint="eastAsia" w:eastAsia="仿宋_GB2312"/>
          <w:color w:val="000000"/>
          <w:sz w:val="32"/>
          <w:szCs w:val="32"/>
          <w:lang w:val="en-US" w:eastAsia="zh-CN"/>
        </w:rPr>
        <w:t>科学合理编制预算，严格执行预算。按照《预算法》及其实施条例的相关规定，按本部门的发展规划，结合上一年度预算执行情况和本年度预算收支变化因素，科学合理的编制本年度预算方案，避免预算支出与实际执行出现较大偏差情况。</w:t>
      </w:r>
    </w:p>
    <w:p>
      <w:pPr>
        <w:widowControl/>
        <w:spacing w:line="600" w:lineRule="exact"/>
        <w:ind w:firstLine="645"/>
        <w:jc w:val="left"/>
        <w:rPr>
          <w:rFonts w:eastAsia="黑体"/>
          <w:sz w:val="32"/>
          <w:szCs w:val="32"/>
        </w:rPr>
      </w:pPr>
      <w:r>
        <w:rPr>
          <w:rFonts w:eastAsia="黑体"/>
          <w:sz w:val="32"/>
          <w:szCs w:val="32"/>
        </w:rPr>
        <w:t>九、其他需要说明的情况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3840" w:firstLineChars="1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怀化市鹤城区河西街道办事处</w:t>
      </w:r>
    </w:p>
    <w:p>
      <w:pPr>
        <w:keepNext w:val="0"/>
        <w:keepLines w:val="0"/>
        <w:pageBreakBefore w:val="0"/>
        <w:widowControl w:val="0"/>
        <w:kinsoku/>
        <w:wordWrap/>
        <w:overflowPunct/>
        <w:topLinePunct w:val="0"/>
        <w:autoSpaceDE/>
        <w:autoSpaceDN/>
        <w:bidi w:val="0"/>
        <w:adjustRightInd/>
        <w:snapToGrid/>
        <w:ind w:firstLine="4800" w:firstLineChars="1500"/>
        <w:textAlignment w:val="auto"/>
        <w:rPr>
          <w:rFonts w:hint="default" w:eastAsia="仿宋_GB2312"/>
          <w:color w:val="000000"/>
          <w:sz w:val="32"/>
          <w:szCs w:val="32"/>
          <w:lang w:val="en-US" w:eastAsia="zh-CN"/>
        </w:rPr>
      </w:pPr>
      <w:r>
        <w:rPr>
          <w:rFonts w:hint="eastAsia" w:eastAsia="仿宋_GB2312"/>
          <w:color w:val="000000"/>
          <w:sz w:val="32"/>
          <w:szCs w:val="32"/>
          <w:lang w:val="en-US" w:eastAsia="zh-CN"/>
        </w:rPr>
        <w:t>2020年9月14日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5F7501"/>
    <w:rsid w:val="14F034BE"/>
    <w:rsid w:val="1BFC04FA"/>
    <w:rsid w:val="375F7501"/>
    <w:rsid w:val="45B43A6F"/>
    <w:rsid w:val="5FBC6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Office_11.1.0.9198_F1E327BC-269C-435d-A152-05C5408002CA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2020-09-07T08:57:00Z</dcterms:created>
  <dc:creator>Administrator</dc:creator>
  <cp:lastModifiedBy>Administrator</cp:lastModifiedBy>
  <cp:lastPrinted>2020-09-14T04:19:36Z</cp:lastPrinted>
  <dcterms:modified xsi:type="dcterms:W3CDTF">2020-09-14T07:02:03Z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2052-11.1.0.9198</vt:lpwstr>
  </property>
</Properties>
</file>