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61" w:hRule="atLeast"/>
          <w:tblHeader/>
          <w:jc w:val="center"/>
        </w:trPr>
        <w:tc>
          <w:tcPr>
            <w:tcW w:w="666" w:type="dxa"/>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r>
            <w:r>
              <w:rPr>
                <w:rFonts w:hint="eastAsia" w:ascii="仿宋_GB2312" w:eastAsia="仿宋_GB2312"/>
                <w:b/>
                <w:bCs/>
                <w:szCs w:val="21"/>
              </w:rPr>
              <w:t>指标</w:t>
            </w:r>
          </w:p>
        </w:tc>
        <w:tc>
          <w:tcPr>
            <w:tcW w:w="866" w:type="dxa"/>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7" w:hRule="atLeast"/>
          <w:jc w:val="center"/>
        </w:trPr>
        <w:tc>
          <w:tcPr>
            <w:tcW w:w="666" w:type="dxa"/>
            <w:vMerge w:val="restart"/>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r>
            <w:r>
              <w:rPr>
                <w:rFonts w:hint="eastAsia" w:ascii="仿宋_GB2312" w:eastAsia="仿宋_GB2312"/>
                <w:szCs w:val="21"/>
              </w:rPr>
              <w:t>设定  （14分）</w:t>
            </w: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0" w:hRule="atLeast"/>
          <w:jc w:val="center"/>
        </w:trPr>
        <w:tc>
          <w:tcPr>
            <w:tcW w:w="666" w:type="dxa"/>
            <w:vMerge w:val="restart"/>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r>
            <w:r>
              <w:rPr>
                <w:rFonts w:hint="eastAsia" w:ascii="仿宋_GB2312" w:eastAsia="仿宋_GB2312"/>
                <w:szCs w:val="21"/>
              </w:rPr>
              <w:t>执行 （26分）</w:t>
            </w: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r>
            <w:r>
              <w:rPr>
                <w:rFonts w:hint="eastAsia" w:ascii="仿宋_GB2312" w:eastAsia="仿宋_GB2312"/>
                <w:szCs w:val="21"/>
              </w:rPr>
              <w:t>预算执行数：部门本年度实际完成的预算数。</w:t>
            </w:r>
            <w:r>
              <w:rPr>
                <w:rFonts w:hint="eastAsia" w:ascii="仿宋_GB2312" w:eastAsia="仿宋_GB2312"/>
                <w:szCs w:val="21"/>
              </w:rPr>
              <w:br/>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78" w:hRule="atLeast"/>
          <w:jc w:val="center"/>
        </w:trPr>
        <w:tc>
          <w:tcPr>
            <w:tcW w:w="666" w:type="dxa"/>
            <w:vMerge w:val="continue"/>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19" w:hRule="atLeast"/>
          <w:jc w:val="center"/>
        </w:trPr>
        <w:tc>
          <w:tcPr>
            <w:tcW w:w="666" w:type="dxa"/>
            <w:vMerge w:val="continue"/>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99" w:hRule="atLeast"/>
          <w:jc w:val="center"/>
        </w:trPr>
        <w:tc>
          <w:tcPr>
            <w:tcW w:w="666" w:type="dxa"/>
            <w:vMerge w:val="continue"/>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7" w:hRule="atLeast"/>
          <w:jc w:val="center"/>
        </w:trPr>
        <w:tc>
          <w:tcPr>
            <w:tcW w:w="666" w:type="dxa"/>
            <w:vMerge w:val="continue"/>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4"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r>
            <w:r>
              <w:rPr>
                <w:rFonts w:hint="eastAsia" w:ascii="仿宋_GB2312" w:eastAsia="仿宋_GB2312"/>
                <w:szCs w:val="21"/>
              </w:rPr>
              <w:t>执行 （26分）</w:t>
            </w: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98" w:hRule="atLeast"/>
          <w:jc w:val="center"/>
        </w:trPr>
        <w:tc>
          <w:tcPr>
            <w:tcW w:w="666" w:type="dxa"/>
            <w:vMerge w:val="continue"/>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98" w:hRule="atLeast"/>
          <w:jc w:val="center"/>
        </w:trPr>
        <w:tc>
          <w:tcPr>
            <w:tcW w:w="666" w:type="dxa"/>
            <w:vMerge w:val="continue"/>
            <w:vAlign w:val="center"/>
          </w:tcPr>
          <w:p>
            <w:pPr>
              <w:spacing w:line="320" w:lineRule="exact"/>
              <w:jc w:val="center"/>
              <w:rPr>
                <w:rFonts w:ascii="仿宋_GB2312" w:eastAsia="仿宋_GB2312"/>
                <w:szCs w:val="21"/>
              </w:rPr>
            </w:pPr>
          </w:p>
        </w:tc>
        <w:tc>
          <w:tcPr>
            <w:tcW w:w="866" w:type="dxa"/>
            <w:vMerge w:val="restart"/>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9" w:hRule="atLeast"/>
          <w:jc w:val="center"/>
        </w:trPr>
        <w:tc>
          <w:tcPr>
            <w:tcW w:w="666" w:type="dxa"/>
            <w:vMerge w:val="continue"/>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3" w:hRule="atLeast"/>
          <w:jc w:val="center"/>
        </w:trPr>
        <w:tc>
          <w:tcPr>
            <w:tcW w:w="666" w:type="dxa"/>
            <w:vMerge w:val="continue"/>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02"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19" w:hRule="atLeast"/>
          <w:jc w:val="center"/>
        </w:trPr>
        <w:tc>
          <w:tcPr>
            <w:tcW w:w="666" w:type="dxa"/>
            <w:vMerge w:val="continue"/>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37" w:hRule="atLeast"/>
          <w:jc w:val="center"/>
        </w:trPr>
        <w:tc>
          <w:tcPr>
            <w:tcW w:w="666" w:type="dxa"/>
            <w:vMerge w:val="continue"/>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9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99" w:hRule="atLeast"/>
          <w:jc w:val="center"/>
        </w:trPr>
        <w:tc>
          <w:tcPr>
            <w:tcW w:w="666"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r>
            <w:r>
              <w:rPr>
                <w:rFonts w:hint="eastAsia" w:ascii="仿宋_GB2312" w:eastAsia="仿宋_GB2312"/>
                <w:szCs w:val="21"/>
              </w:rPr>
              <w:t>履行 （20分）</w:t>
            </w: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r>
            <w:r>
              <w:rPr>
                <w:rFonts w:hint="eastAsia" w:ascii="仿宋_GB2312" w:eastAsia="仿宋_GB2312"/>
                <w:szCs w:val="21"/>
              </w:rPr>
              <w:t>履行 （20分）</w:t>
            </w: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restart"/>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r>
            <w:r>
              <w:rPr>
                <w:rFonts w:hint="eastAsia" w:ascii="仿宋_GB2312" w:eastAsia="仿宋_GB2312"/>
                <w:szCs w:val="21"/>
              </w:rPr>
              <w:t>效益 （20分）</w:t>
            </w: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85</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r>
        <w:rPr>
          <w:rFonts w:hint="eastAsia" w:ascii="仿宋" w:hAnsi="仿宋" w:eastAsia="仿宋"/>
          <w:lang w:eastAsia="zh-CN"/>
        </w:rPr>
        <w:t>盈口乡人民政府</w:t>
      </w:r>
    </w:p>
    <w:tbl>
      <w:tblPr>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rPr>
              <w:t>3.9</w:t>
            </w:r>
            <w:r>
              <w:rPr>
                <w:rFonts w:hint="eastAsia" w:ascii="仿宋" w:hAnsi="仿宋" w:eastAsia="仿宋"/>
                <w:lang w:val="en-US" w:eastAsia="zh-CN"/>
              </w:rPr>
              <w:t>2</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30.63</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4.85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rPr>
              <w:t>3.9</w:t>
            </w:r>
            <w:r>
              <w:rPr>
                <w:rFonts w:hint="eastAsia" w:ascii="仿宋" w:hAnsi="仿宋" w:eastAsia="仿宋"/>
                <w:lang w:val="en-US" w:eastAsia="zh-CN"/>
              </w:rPr>
              <w:t>2</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30.63</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4.85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rPr>
              <w:t>3.9</w:t>
            </w:r>
            <w:r>
              <w:rPr>
                <w:rFonts w:hint="eastAsia" w:ascii="仿宋" w:hAnsi="仿宋" w:eastAsia="仿宋"/>
                <w:lang w:val="en-US" w:eastAsia="zh-CN"/>
              </w:rPr>
              <w:t>2</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30.03</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0.6</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161.32</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394</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314.64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rPr>
              <w:t>161.32</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53</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35.18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341</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271.64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86.69</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541.61</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358.08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3.58</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30.3</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12.58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3.65</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13.3</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14.68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r>
              <w:rPr>
                <w:rFonts w:hint="eastAsia" w:ascii="仿宋" w:hAnsi="仿宋" w:eastAsia="仿宋"/>
                <w:lang w:val="en-US" w:eastAsia="zh-CN"/>
              </w:rPr>
              <w:t>1.44</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4.6</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6"/>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tabs>
          <w:tab w:val="left" w:pos="7980"/>
        </w:tabs>
        <w:spacing w:line="360" w:lineRule="auto"/>
        <w:jc w:val="left"/>
        <w:rPr>
          <w:rFonts w:hint="eastAsia" w:ascii="宋体" w:hAnsi="宋体"/>
          <w:sz w:val="28"/>
          <w:szCs w:val="28"/>
        </w:rPr>
      </w:pPr>
      <w:r>
        <w:rPr>
          <w:rFonts w:hint="eastAsia" w:ascii="宋体" w:hAnsi="宋体"/>
          <w:sz w:val="28"/>
          <w:szCs w:val="28"/>
          <w:lang w:val="en-US" w:eastAsia="zh-CN"/>
        </w:rPr>
        <w:t xml:space="preserve">    </w:t>
      </w:r>
      <w:r>
        <w:rPr>
          <w:rFonts w:hint="eastAsia" w:ascii="宋体" w:hAnsi="宋体"/>
          <w:sz w:val="28"/>
          <w:szCs w:val="28"/>
        </w:rPr>
        <w:t>盈口乡人民政府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pPr>
        <w:widowControl/>
        <w:spacing w:line="600" w:lineRule="exact"/>
        <w:rPr>
          <w:rFonts w:hint="eastAsia" w:ascii="宋体" w:hAnsi="宋体"/>
          <w:kern w:val="0"/>
          <w:sz w:val="28"/>
          <w:szCs w:val="28"/>
        </w:rPr>
      </w:pPr>
      <w:r>
        <w:rPr>
          <w:rFonts w:hint="eastAsia" w:ascii="宋体" w:hAnsi="宋体"/>
          <w:kern w:val="0"/>
          <w:sz w:val="28"/>
          <w:szCs w:val="28"/>
          <w:lang w:val="en-US" w:eastAsia="zh-CN"/>
        </w:rPr>
        <w:t xml:space="preserve">   </w:t>
      </w:r>
      <w:r>
        <w:rPr>
          <w:rFonts w:hint="eastAsia" w:ascii="宋体" w:hAnsi="宋体"/>
          <w:kern w:val="0"/>
          <w:sz w:val="28"/>
          <w:szCs w:val="28"/>
        </w:rPr>
        <w:t>内设机构包括：</w:t>
      </w:r>
      <w:r>
        <w:rPr>
          <w:rFonts w:hint="eastAsia" w:ascii="宋体" w:hAnsi="宋体"/>
          <w:sz w:val="28"/>
          <w:szCs w:val="28"/>
          <w:lang w:eastAsia="zh-CN"/>
        </w:rPr>
        <w:t>纪检监察室、</w:t>
      </w:r>
      <w:r>
        <w:rPr>
          <w:rFonts w:hint="eastAsia" w:ascii="宋体" w:hAnsi="宋体"/>
          <w:kern w:val="0"/>
          <w:sz w:val="28"/>
          <w:szCs w:val="28"/>
          <w:lang w:val="en-US" w:eastAsia="zh-CN"/>
        </w:rPr>
        <w:t>综合办公室、党群办公室、社会事务管理办公室、经济发展管理办公室、综合治理管理办公室、“三城同创”办公室、重点项目办公室、农业综合办公室、扶贫站、财政所、计生办、便民服务中心13个机构</w:t>
      </w:r>
      <w:r>
        <w:rPr>
          <w:rFonts w:hint="eastAsia" w:ascii="宋体" w:hAnsi="宋体"/>
          <w:kern w:val="0"/>
          <w:sz w:val="28"/>
          <w:szCs w:val="28"/>
        </w:rPr>
        <w:t>。</w:t>
      </w:r>
    </w:p>
    <w:p>
      <w:pPr>
        <w:pStyle w:val="6"/>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6"/>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7"/>
        <w:ind w:firstLine="560" w:firstLineChars="200"/>
        <w:rPr>
          <w:rFonts w:hint="eastAsia" w:ascii="宋体" w:hAnsi="宋体" w:eastAsia="宋体"/>
          <w:sz w:val="28"/>
          <w:szCs w:val="28"/>
          <w:lang w:eastAsia="zh-CN"/>
        </w:rPr>
      </w:pPr>
      <w:r>
        <w:rPr>
          <w:rFonts w:hint="eastAsia" w:ascii="宋体" w:hAnsi="宋体" w:eastAsia="宋体"/>
          <w:sz w:val="28"/>
          <w:szCs w:val="28"/>
        </w:rPr>
        <w:t>2019年度</w:t>
      </w:r>
      <w:r>
        <w:rPr>
          <w:rFonts w:hint="eastAsia" w:ascii="宋体" w:hAnsi="宋体" w:eastAsia="宋体"/>
          <w:sz w:val="28"/>
          <w:szCs w:val="28"/>
          <w:lang w:eastAsia="zh-CN"/>
        </w:rPr>
        <w:t>一般公共预算</w:t>
      </w:r>
      <w:r>
        <w:rPr>
          <w:rFonts w:hint="eastAsia" w:ascii="宋体" w:hAnsi="宋体" w:eastAsia="宋体"/>
          <w:sz w:val="28"/>
          <w:szCs w:val="28"/>
        </w:rPr>
        <w:t>支出</w:t>
      </w:r>
      <w:r>
        <w:rPr>
          <w:rFonts w:hint="eastAsia" w:ascii="宋体" w:hAnsi="宋体" w:eastAsia="宋体"/>
          <w:sz w:val="28"/>
          <w:szCs w:val="28"/>
          <w:lang w:val="en-US" w:eastAsia="zh-CN"/>
        </w:rPr>
        <w:t>1170.06</w:t>
      </w:r>
      <w:r>
        <w:rPr>
          <w:rFonts w:hint="eastAsia" w:ascii="宋体" w:hAnsi="宋体" w:eastAsia="宋体"/>
          <w:sz w:val="28"/>
          <w:szCs w:val="28"/>
        </w:rPr>
        <w:t>万元，主要用于以下方面：一般公共服务（类）支出</w:t>
      </w:r>
      <w:r>
        <w:rPr>
          <w:rFonts w:hint="eastAsia" w:ascii="宋体" w:hAnsi="宋体" w:eastAsia="宋体"/>
          <w:sz w:val="28"/>
          <w:szCs w:val="28"/>
          <w:lang w:val="en-US" w:eastAsia="zh-CN"/>
        </w:rPr>
        <w:t>797.62</w:t>
      </w:r>
      <w:r>
        <w:rPr>
          <w:rFonts w:hint="eastAsia" w:ascii="宋体" w:hAnsi="宋体" w:eastAsia="宋体"/>
          <w:sz w:val="28"/>
          <w:szCs w:val="28"/>
        </w:rPr>
        <w:t>万元，</w:t>
      </w:r>
      <w:r>
        <w:rPr>
          <w:rFonts w:hint="eastAsia" w:ascii="宋体" w:hAnsi="宋体" w:eastAsia="宋体"/>
          <w:color w:val="auto"/>
          <w:sz w:val="28"/>
          <w:szCs w:val="28"/>
          <w:lang w:eastAsia="zh-CN"/>
        </w:rPr>
        <w:t>占</w:t>
      </w:r>
      <w:r>
        <w:rPr>
          <w:rFonts w:hint="eastAsia" w:ascii="宋体" w:hAnsi="宋体" w:eastAsia="宋体"/>
          <w:color w:val="auto"/>
          <w:sz w:val="28"/>
          <w:szCs w:val="28"/>
          <w:lang w:val="en-US" w:eastAsia="zh-CN"/>
        </w:rPr>
        <w:t>68.17%</w:t>
      </w:r>
      <w:r>
        <w:rPr>
          <w:rFonts w:hint="eastAsia" w:ascii="宋体" w:hAnsi="宋体" w:eastAsia="宋体"/>
          <w:sz w:val="28"/>
          <w:szCs w:val="28"/>
          <w:lang w:val="en-US" w:eastAsia="zh-CN"/>
        </w:rPr>
        <w:t>，</w:t>
      </w:r>
      <w:r>
        <w:rPr>
          <w:rFonts w:hint="eastAsia" w:ascii="宋体" w:hAnsi="宋体" w:eastAsia="宋体"/>
          <w:sz w:val="28"/>
          <w:szCs w:val="28"/>
          <w:lang w:eastAsia="zh-CN"/>
        </w:rPr>
        <w:t>文化旅游体育与传媒支出</w:t>
      </w:r>
      <w:r>
        <w:rPr>
          <w:rFonts w:hint="eastAsia" w:ascii="宋体" w:hAnsi="宋体" w:eastAsia="宋体"/>
          <w:sz w:val="28"/>
          <w:szCs w:val="28"/>
          <w:lang w:val="en-US" w:eastAsia="zh-CN"/>
        </w:rPr>
        <w:t>1.3万元，</w:t>
      </w:r>
      <w:r>
        <w:rPr>
          <w:rFonts w:hint="eastAsia" w:ascii="宋体" w:hAnsi="宋体" w:eastAsia="宋体"/>
          <w:sz w:val="28"/>
          <w:szCs w:val="28"/>
        </w:rPr>
        <w:t>占</w:t>
      </w:r>
      <w:r>
        <w:rPr>
          <w:rFonts w:hint="eastAsia" w:ascii="宋体" w:hAnsi="宋体" w:eastAsia="宋体"/>
          <w:sz w:val="28"/>
          <w:szCs w:val="28"/>
          <w:lang w:val="en-US" w:eastAsia="zh-CN"/>
        </w:rPr>
        <w:t>0.11</w:t>
      </w:r>
      <w:r>
        <w:rPr>
          <w:rFonts w:hint="eastAsia" w:ascii="宋体" w:hAnsi="宋体" w:eastAsia="宋体"/>
          <w:sz w:val="28"/>
          <w:szCs w:val="28"/>
        </w:rPr>
        <w:t>%；</w:t>
      </w:r>
      <w:r>
        <w:rPr>
          <w:rFonts w:hint="eastAsia" w:ascii="宋体" w:hAnsi="宋体" w:eastAsia="宋体"/>
          <w:sz w:val="28"/>
          <w:szCs w:val="28"/>
          <w:lang w:eastAsia="zh-CN"/>
        </w:rPr>
        <w:t>社会保障和就业</w:t>
      </w:r>
      <w:r>
        <w:rPr>
          <w:rFonts w:hint="eastAsia" w:ascii="宋体" w:hAnsi="宋体" w:eastAsia="宋体"/>
          <w:sz w:val="28"/>
          <w:szCs w:val="28"/>
        </w:rPr>
        <w:t>支出</w:t>
      </w:r>
      <w:r>
        <w:rPr>
          <w:rFonts w:hint="eastAsia" w:ascii="宋体" w:hAnsi="宋体" w:eastAsia="宋体"/>
          <w:sz w:val="28"/>
          <w:szCs w:val="28"/>
          <w:lang w:val="en-US" w:eastAsia="zh-CN"/>
        </w:rPr>
        <w:t>93.27</w:t>
      </w:r>
      <w:r>
        <w:rPr>
          <w:rFonts w:hint="eastAsia" w:ascii="宋体" w:hAnsi="宋体" w:eastAsia="宋体"/>
          <w:sz w:val="28"/>
          <w:szCs w:val="28"/>
        </w:rPr>
        <w:t>万元，占</w:t>
      </w:r>
      <w:r>
        <w:rPr>
          <w:rFonts w:hint="eastAsia" w:ascii="宋体" w:hAnsi="宋体" w:eastAsia="宋体"/>
          <w:sz w:val="28"/>
          <w:szCs w:val="28"/>
          <w:lang w:val="en-US" w:eastAsia="zh-CN"/>
        </w:rPr>
        <w:t>7.97</w:t>
      </w:r>
      <w:r>
        <w:rPr>
          <w:rFonts w:hint="eastAsia" w:ascii="宋体" w:hAnsi="宋体" w:eastAsia="宋体"/>
          <w:sz w:val="28"/>
          <w:szCs w:val="28"/>
        </w:rPr>
        <w:t>%;</w:t>
      </w:r>
      <w:r>
        <w:rPr>
          <w:rFonts w:hint="eastAsia" w:ascii="宋体" w:hAnsi="宋体" w:eastAsia="宋体"/>
          <w:sz w:val="28"/>
          <w:szCs w:val="28"/>
          <w:lang w:eastAsia="zh-CN"/>
        </w:rPr>
        <w:t>卫生健康</w:t>
      </w:r>
      <w:r>
        <w:rPr>
          <w:rFonts w:hint="eastAsia" w:ascii="宋体" w:hAnsi="宋体" w:eastAsia="宋体"/>
          <w:sz w:val="28"/>
          <w:szCs w:val="28"/>
        </w:rPr>
        <w:t>支出</w:t>
      </w:r>
      <w:r>
        <w:rPr>
          <w:rFonts w:hint="eastAsia" w:ascii="宋体" w:hAnsi="宋体" w:eastAsia="宋体"/>
          <w:sz w:val="28"/>
          <w:szCs w:val="28"/>
          <w:lang w:val="en-US" w:eastAsia="zh-CN"/>
        </w:rPr>
        <w:t>72.36</w:t>
      </w:r>
      <w:r>
        <w:rPr>
          <w:rFonts w:hint="eastAsia" w:ascii="宋体" w:hAnsi="宋体" w:eastAsia="宋体"/>
          <w:sz w:val="28"/>
          <w:szCs w:val="28"/>
        </w:rPr>
        <w:t>万元，占</w:t>
      </w:r>
      <w:r>
        <w:rPr>
          <w:rFonts w:hint="eastAsia" w:ascii="宋体" w:hAnsi="宋体" w:eastAsia="宋体"/>
          <w:sz w:val="28"/>
          <w:szCs w:val="28"/>
          <w:lang w:val="en-US" w:eastAsia="zh-CN"/>
        </w:rPr>
        <w:t>6.18</w:t>
      </w:r>
      <w:r>
        <w:rPr>
          <w:rFonts w:hint="eastAsia" w:ascii="宋体" w:hAnsi="宋体" w:eastAsia="宋体"/>
          <w:sz w:val="28"/>
          <w:szCs w:val="28"/>
        </w:rPr>
        <w:t>%;</w:t>
      </w:r>
      <w:r>
        <w:rPr>
          <w:rFonts w:hint="eastAsia" w:ascii="宋体" w:hAnsi="宋体" w:eastAsia="宋体"/>
          <w:sz w:val="28"/>
          <w:szCs w:val="28"/>
          <w:lang w:eastAsia="zh-CN"/>
        </w:rPr>
        <w:t>节能环保</w:t>
      </w:r>
      <w:r>
        <w:rPr>
          <w:rFonts w:hint="eastAsia" w:ascii="宋体" w:hAnsi="宋体" w:eastAsia="宋体"/>
          <w:sz w:val="28"/>
          <w:szCs w:val="28"/>
        </w:rPr>
        <w:t>支出</w:t>
      </w:r>
      <w:r>
        <w:rPr>
          <w:rFonts w:hint="eastAsia" w:ascii="宋体" w:hAnsi="宋体" w:eastAsia="宋体"/>
          <w:sz w:val="28"/>
          <w:szCs w:val="28"/>
          <w:lang w:val="en-US" w:eastAsia="zh-CN"/>
        </w:rPr>
        <w:t>53.8</w:t>
      </w:r>
      <w:r>
        <w:rPr>
          <w:rFonts w:hint="eastAsia" w:ascii="宋体" w:hAnsi="宋体" w:eastAsia="宋体"/>
          <w:sz w:val="28"/>
          <w:szCs w:val="28"/>
        </w:rPr>
        <w:t>万元，占</w:t>
      </w:r>
      <w:r>
        <w:rPr>
          <w:rFonts w:hint="eastAsia" w:ascii="宋体" w:hAnsi="宋体" w:eastAsia="宋体"/>
          <w:sz w:val="28"/>
          <w:szCs w:val="28"/>
          <w:lang w:val="en-US" w:eastAsia="zh-CN"/>
        </w:rPr>
        <w:t>4.6</w:t>
      </w:r>
      <w:r>
        <w:rPr>
          <w:rFonts w:hint="eastAsia" w:ascii="宋体" w:hAnsi="宋体" w:eastAsia="宋体"/>
          <w:sz w:val="28"/>
          <w:szCs w:val="28"/>
        </w:rPr>
        <w:t>%;</w:t>
      </w:r>
      <w:r>
        <w:rPr>
          <w:rFonts w:hint="eastAsia" w:ascii="宋体" w:hAnsi="宋体" w:eastAsia="宋体"/>
          <w:sz w:val="28"/>
          <w:szCs w:val="28"/>
          <w:lang w:eastAsia="zh-CN"/>
        </w:rPr>
        <w:t>城乡社区</w:t>
      </w:r>
      <w:r>
        <w:rPr>
          <w:rFonts w:hint="eastAsia" w:ascii="宋体" w:hAnsi="宋体" w:eastAsia="宋体"/>
          <w:sz w:val="28"/>
          <w:szCs w:val="28"/>
        </w:rPr>
        <w:t>支出</w:t>
      </w:r>
      <w:r>
        <w:rPr>
          <w:rFonts w:hint="eastAsia" w:ascii="宋体" w:hAnsi="宋体" w:eastAsia="宋体"/>
          <w:sz w:val="28"/>
          <w:szCs w:val="28"/>
          <w:lang w:val="en-US" w:eastAsia="zh-CN"/>
        </w:rPr>
        <w:t>7.97</w:t>
      </w:r>
      <w:r>
        <w:rPr>
          <w:rFonts w:hint="eastAsia" w:ascii="宋体" w:hAnsi="宋体" w:eastAsia="宋体"/>
          <w:sz w:val="28"/>
          <w:szCs w:val="28"/>
        </w:rPr>
        <w:t>万元，占</w:t>
      </w:r>
      <w:r>
        <w:rPr>
          <w:rFonts w:hint="eastAsia" w:ascii="宋体" w:hAnsi="宋体" w:eastAsia="宋体"/>
          <w:sz w:val="28"/>
          <w:szCs w:val="28"/>
          <w:lang w:val="en-US" w:eastAsia="zh-CN"/>
        </w:rPr>
        <w:t>0.68</w:t>
      </w:r>
      <w:r>
        <w:rPr>
          <w:rFonts w:hint="eastAsia" w:ascii="宋体" w:hAnsi="宋体" w:eastAsia="宋体"/>
          <w:sz w:val="28"/>
          <w:szCs w:val="28"/>
        </w:rPr>
        <w:t>%;</w:t>
      </w:r>
      <w:r>
        <w:rPr>
          <w:rFonts w:hint="eastAsia" w:ascii="宋体" w:hAnsi="宋体" w:eastAsia="宋体"/>
          <w:sz w:val="28"/>
          <w:szCs w:val="28"/>
          <w:lang w:eastAsia="zh-CN"/>
        </w:rPr>
        <w:t>农林水</w:t>
      </w:r>
      <w:r>
        <w:rPr>
          <w:rFonts w:hint="eastAsia" w:ascii="宋体" w:hAnsi="宋体" w:eastAsia="宋体"/>
          <w:sz w:val="28"/>
          <w:szCs w:val="28"/>
        </w:rPr>
        <w:t>支出</w:t>
      </w:r>
      <w:r>
        <w:rPr>
          <w:rFonts w:hint="eastAsia" w:ascii="宋体" w:hAnsi="宋体" w:eastAsia="宋体"/>
          <w:sz w:val="28"/>
          <w:szCs w:val="28"/>
          <w:lang w:val="en-US" w:eastAsia="zh-CN"/>
        </w:rPr>
        <w:t>128.82</w:t>
      </w:r>
      <w:r>
        <w:rPr>
          <w:rFonts w:hint="eastAsia" w:ascii="宋体" w:hAnsi="宋体" w:eastAsia="宋体"/>
          <w:sz w:val="28"/>
          <w:szCs w:val="28"/>
        </w:rPr>
        <w:t>万元，占</w:t>
      </w:r>
      <w:r>
        <w:rPr>
          <w:rFonts w:hint="eastAsia" w:ascii="宋体" w:hAnsi="宋体" w:eastAsia="宋体"/>
          <w:sz w:val="28"/>
          <w:szCs w:val="28"/>
          <w:lang w:val="en-US" w:eastAsia="zh-CN"/>
        </w:rPr>
        <w:t>11.01</w:t>
      </w:r>
      <w:r>
        <w:rPr>
          <w:rFonts w:hint="eastAsia" w:ascii="宋体" w:hAnsi="宋体" w:eastAsia="宋体"/>
          <w:sz w:val="28"/>
          <w:szCs w:val="28"/>
        </w:rPr>
        <w:t>%;</w:t>
      </w:r>
      <w:r>
        <w:rPr>
          <w:rFonts w:hint="eastAsia" w:ascii="宋体" w:hAnsi="宋体" w:eastAsia="宋体"/>
          <w:sz w:val="28"/>
          <w:szCs w:val="28"/>
          <w:lang w:eastAsia="zh-CN"/>
        </w:rPr>
        <w:t>交通运输</w:t>
      </w:r>
      <w:r>
        <w:rPr>
          <w:rFonts w:hint="eastAsia" w:ascii="宋体" w:hAnsi="宋体" w:eastAsia="宋体"/>
          <w:sz w:val="28"/>
          <w:szCs w:val="28"/>
        </w:rPr>
        <w:t>支出</w:t>
      </w:r>
      <w:r>
        <w:rPr>
          <w:rFonts w:hint="eastAsia" w:ascii="宋体" w:hAnsi="宋体" w:eastAsia="宋体"/>
          <w:sz w:val="28"/>
          <w:szCs w:val="28"/>
          <w:lang w:val="en-US" w:eastAsia="zh-CN"/>
        </w:rPr>
        <w:t>7.92</w:t>
      </w:r>
      <w:r>
        <w:rPr>
          <w:rFonts w:hint="eastAsia" w:ascii="宋体" w:hAnsi="宋体" w:eastAsia="宋体"/>
          <w:sz w:val="28"/>
          <w:szCs w:val="28"/>
        </w:rPr>
        <w:t>万元，占</w:t>
      </w:r>
      <w:r>
        <w:rPr>
          <w:rFonts w:hint="eastAsia" w:ascii="宋体" w:hAnsi="宋体" w:eastAsia="宋体"/>
          <w:sz w:val="28"/>
          <w:szCs w:val="28"/>
          <w:lang w:val="en-US" w:eastAsia="zh-CN"/>
        </w:rPr>
        <w:t>0.68</w:t>
      </w:r>
      <w:r>
        <w:rPr>
          <w:rFonts w:hint="eastAsia" w:ascii="宋体" w:hAnsi="宋体" w:eastAsia="宋体"/>
          <w:sz w:val="28"/>
          <w:szCs w:val="28"/>
        </w:rPr>
        <w:t>%</w:t>
      </w:r>
      <w:r>
        <w:rPr>
          <w:rFonts w:hint="eastAsia" w:ascii="宋体" w:hAnsi="宋体" w:eastAsia="宋体"/>
          <w:sz w:val="28"/>
          <w:szCs w:val="28"/>
          <w:lang w:eastAsia="zh-CN"/>
        </w:rPr>
        <w:t>，自然资源海洋气象等支出</w:t>
      </w:r>
      <w:r>
        <w:rPr>
          <w:rFonts w:hint="eastAsia" w:ascii="宋体" w:hAnsi="宋体" w:eastAsia="宋体"/>
          <w:sz w:val="28"/>
          <w:szCs w:val="28"/>
          <w:lang w:val="en-US" w:eastAsia="zh-CN"/>
        </w:rPr>
        <w:t>7万元，占0.6%</w:t>
      </w:r>
      <w:r>
        <w:rPr>
          <w:rFonts w:hint="eastAsia" w:ascii="宋体" w:hAnsi="宋体" w:eastAsia="宋体"/>
          <w:sz w:val="28"/>
          <w:szCs w:val="28"/>
          <w:lang w:eastAsia="zh-CN"/>
        </w:rPr>
        <w:t>。</w:t>
      </w:r>
    </w:p>
    <w:p>
      <w:pPr>
        <w:pStyle w:val="6"/>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560" w:firstLineChars="200"/>
        <w:jc w:val="left"/>
        <w:rPr>
          <w:rFonts w:hint="eastAsia" w:ascii="宋体" w:hAnsi="宋体" w:cs="黑体"/>
          <w:color w:val="000000"/>
          <w:kern w:val="0"/>
          <w:sz w:val="28"/>
          <w:szCs w:val="28"/>
          <w:lang w:val="en-US" w:eastAsia="zh-CN" w:bidi="ar-SA"/>
        </w:rPr>
      </w:pPr>
      <w:r>
        <w:rPr>
          <w:rFonts w:hint="eastAsia" w:ascii="宋体" w:hAnsi="宋体" w:cs="黑体"/>
          <w:color w:val="000000"/>
          <w:kern w:val="0"/>
          <w:sz w:val="28"/>
          <w:szCs w:val="28"/>
          <w:lang w:val="en-US" w:eastAsia="zh-CN" w:bidi="ar-SA"/>
        </w:rPr>
        <w:t>一是，</w:t>
      </w:r>
      <w:r>
        <w:rPr>
          <w:rFonts w:hint="eastAsia" w:ascii="宋体" w:hAnsi="宋体" w:eastAsia="宋体" w:cs="黑体"/>
          <w:color w:val="000000"/>
          <w:kern w:val="0"/>
          <w:sz w:val="28"/>
          <w:szCs w:val="28"/>
          <w:lang w:val="en-US" w:eastAsia="zh-CN" w:bidi="ar-SA"/>
        </w:rPr>
        <w:t>2019年度专项资金安排和使用</w:t>
      </w:r>
      <w:r>
        <w:rPr>
          <w:rFonts w:hint="eastAsia" w:ascii="宋体" w:hAnsi="宋体" w:cs="黑体"/>
          <w:color w:val="000000"/>
          <w:kern w:val="0"/>
          <w:sz w:val="28"/>
          <w:szCs w:val="28"/>
          <w:lang w:val="en-US" w:eastAsia="zh-CN" w:bidi="ar-SA"/>
        </w:rPr>
        <w:t>管理情况如下：1、人大代表平台建设资金</w:t>
      </w:r>
      <w:r>
        <w:rPr>
          <w:rFonts w:hint="eastAsia" w:ascii="宋体" w:hAnsi="宋体" w:eastAsia="宋体" w:cs="黑体"/>
          <w:color w:val="000000"/>
          <w:kern w:val="0"/>
          <w:sz w:val="28"/>
          <w:szCs w:val="28"/>
          <w:lang w:val="en-US" w:eastAsia="zh-CN" w:bidi="ar-SA"/>
        </w:rPr>
        <w:t>，</w:t>
      </w:r>
      <w:r>
        <w:rPr>
          <w:rFonts w:hint="eastAsia" w:ascii="宋体" w:hAnsi="宋体" w:cs="黑体"/>
          <w:color w:val="000000"/>
          <w:kern w:val="0"/>
          <w:sz w:val="28"/>
          <w:szCs w:val="28"/>
          <w:lang w:val="en-US" w:eastAsia="zh-CN" w:bidi="ar-SA"/>
        </w:rPr>
        <w:t>年初预算3万元，2019年主要用于第五届人大会议支出，日常资料复印等办公支出；</w:t>
      </w:r>
      <w:r>
        <w:rPr>
          <w:rFonts w:hint="eastAsia" w:ascii="宋体" w:hAnsi="宋体" w:eastAsia="宋体" w:cs="黑体"/>
          <w:color w:val="000000"/>
          <w:kern w:val="0"/>
          <w:sz w:val="28"/>
          <w:szCs w:val="28"/>
          <w:lang w:val="en-US" w:eastAsia="zh-CN" w:bidi="ar-SA"/>
        </w:rPr>
        <w:t>2、</w:t>
      </w:r>
      <w:r>
        <w:rPr>
          <w:rFonts w:hint="eastAsia" w:ascii="宋体" w:hAnsi="宋体" w:cs="黑体"/>
          <w:color w:val="000000"/>
          <w:kern w:val="0"/>
          <w:sz w:val="28"/>
          <w:szCs w:val="28"/>
          <w:lang w:val="en-US" w:eastAsia="zh-CN" w:bidi="ar-SA"/>
        </w:rPr>
        <w:t>综治维稳建设资金，年初预算10万元，2019年主要用于综治宣传、信访接访等支出；3、创卫项目资金，年初预算40万元，2019年主要用于卫生整治、垃圾清运等支出；4、在职村干部资金，年初预算153万元，2019年用于支付在职村干部工资；5、离任村干部工资，年初预算108万元，2019用于支付离任村干部工资；6、村级运转经费，年初预算39万元，2019年用于保障13个村村级办公经费，每村3万元；7、服务群众专项资金，年初预算26万元，2019年用于保障13个村服务群众资金，每村2万元；8、综合服务平台建设项目资金，年初预算15万元，2019年用于支持相关村级综合服务平台建设。</w:t>
      </w:r>
    </w:p>
    <w:p>
      <w:pPr>
        <w:widowControl/>
        <w:spacing w:line="600" w:lineRule="exact"/>
        <w:ind w:firstLine="560" w:firstLineChars="200"/>
        <w:jc w:val="left"/>
        <w:rPr>
          <w:rFonts w:hint="eastAsia" w:ascii="宋体" w:hAnsi="宋体" w:cs="黑体"/>
          <w:color w:val="000000"/>
          <w:kern w:val="0"/>
          <w:sz w:val="28"/>
          <w:szCs w:val="28"/>
          <w:lang w:val="en-US" w:eastAsia="zh-CN" w:bidi="ar-SA"/>
        </w:rPr>
      </w:pPr>
      <w:r>
        <w:rPr>
          <w:rFonts w:hint="eastAsia" w:ascii="宋体" w:hAnsi="宋体" w:cs="黑体"/>
          <w:color w:val="000000"/>
          <w:kern w:val="0"/>
          <w:sz w:val="28"/>
          <w:szCs w:val="28"/>
          <w:lang w:val="en-US" w:eastAsia="zh-CN" w:bidi="ar-SA"/>
        </w:rPr>
        <w:t>二是除专项资金以外无其他项目支出。</w:t>
      </w:r>
    </w:p>
    <w:p>
      <w:pPr>
        <w:pStyle w:val="6"/>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6"/>
        <w:widowControl/>
        <w:numPr>
          <w:numId w:val="0"/>
        </w:numPr>
        <w:spacing w:line="600" w:lineRule="exact"/>
        <w:ind w:left="640" w:leftChars="0"/>
        <w:jc w:val="left"/>
        <w:rPr>
          <w:rFonts w:hint="eastAsia" w:ascii="宋体" w:hAnsi="宋体" w:eastAsia="宋体" w:cs="Times New Roman"/>
          <w:kern w:val="0"/>
          <w:sz w:val="28"/>
          <w:szCs w:val="28"/>
          <w:lang w:val="en-US" w:eastAsia="zh-CN" w:bidi="ar-SA"/>
        </w:rPr>
      </w:pPr>
      <w:r>
        <w:rPr>
          <w:rFonts w:hint="eastAsia" w:ascii="宋体" w:hAnsi="宋体" w:eastAsia="宋体" w:cs="Times New Roman"/>
          <w:kern w:val="0"/>
          <w:sz w:val="28"/>
          <w:szCs w:val="28"/>
          <w:lang w:val="en-US" w:eastAsia="zh-CN" w:bidi="ar-SA"/>
        </w:rPr>
        <w:t>本单位2019年度无政府性基金预算支出。</w:t>
      </w:r>
    </w:p>
    <w:p>
      <w:pPr>
        <w:pStyle w:val="6"/>
        <w:widowControl/>
        <w:numPr>
          <w:ilvl w:val="0"/>
          <w:numId w:val="3"/>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6"/>
        <w:widowControl/>
        <w:numPr>
          <w:numId w:val="0"/>
        </w:numPr>
        <w:spacing w:line="600" w:lineRule="exact"/>
        <w:ind w:left="640" w:leftChars="0"/>
        <w:jc w:val="left"/>
        <w:rPr>
          <w:rFonts w:hint="eastAsia" w:ascii="宋体" w:hAnsi="宋体" w:eastAsia="宋体" w:cs="Times New Roman"/>
          <w:kern w:val="0"/>
          <w:sz w:val="28"/>
          <w:szCs w:val="28"/>
          <w:lang w:val="en-US" w:eastAsia="zh-CN" w:bidi="ar-SA"/>
        </w:rPr>
      </w:pPr>
      <w:r>
        <w:rPr>
          <w:rFonts w:hint="eastAsia" w:ascii="宋体" w:hAnsi="宋体" w:eastAsia="宋体" w:cs="Times New Roman"/>
          <w:kern w:val="0"/>
          <w:sz w:val="28"/>
          <w:szCs w:val="28"/>
          <w:lang w:val="en-US" w:eastAsia="zh-CN" w:bidi="ar-SA"/>
        </w:rPr>
        <w:t>本单位2019年度无</w:t>
      </w:r>
      <w:r>
        <w:rPr>
          <w:rFonts w:hint="eastAsia" w:ascii="宋体" w:hAnsi="宋体" w:cs="Times New Roman"/>
          <w:kern w:val="0"/>
          <w:sz w:val="28"/>
          <w:szCs w:val="28"/>
          <w:lang w:val="en-US" w:eastAsia="zh-CN" w:bidi="ar-SA"/>
        </w:rPr>
        <w:t>国有资本经营</w:t>
      </w:r>
      <w:r>
        <w:rPr>
          <w:rFonts w:hint="eastAsia" w:ascii="宋体" w:hAnsi="宋体" w:eastAsia="宋体" w:cs="Times New Roman"/>
          <w:kern w:val="0"/>
          <w:sz w:val="28"/>
          <w:szCs w:val="28"/>
          <w:lang w:val="en-US" w:eastAsia="zh-CN" w:bidi="ar-SA"/>
        </w:rPr>
        <w:t>预算支出。</w:t>
      </w:r>
    </w:p>
    <w:p>
      <w:pPr>
        <w:pStyle w:val="6"/>
        <w:widowControl/>
        <w:numPr>
          <w:ilvl w:val="0"/>
          <w:numId w:val="4"/>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6"/>
        <w:widowControl/>
        <w:numPr>
          <w:numId w:val="0"/>
        </w:numPr>
        <w:spacing w:line="600" w:lineRule="exact"/>
        <w:ind w:left="640" w:leftChars="0"/>
        <w:jc w:val="left"/>
        <w:rPr>
          <w:rFonts w:hint="eastAsia" w:ascii="宋体" w:hAnsi="宋体" w:eastAsia="宋体" w:cs="Times New Roman"/>
          <w:kern w:val="0"/>
          <w:sz w:val="28"/>
          <w:szCs w:val="28"/>
          <w:lang w:val="en-US" w:eastAsia="zh-CN" w:bidi="ar-SA"/>
        </w:rPr>
      </w:pPr>
      <w:r>
        <w:rPr>
          <w:rFonts w:hint="eastAsia" w:ascii="宋体" w:hAnsi="宋体" w:eastAsia="宋体" w:cs="Times New Roman"/>
          <w:kern w:val="0"/>
          <w:sz w:val="28"/>
          <w:szCs w:val="28"/>
          <w:lang w:val="en-US" w:eastAsia="zh-CN" w:bidi="ar-SA"/>
        </w:rPr>
        <w:t>本单位2019年度无</w:t>
      </w:r>
      <w:r>
        <w:rPr>
          <w:rFonts w:hint="eastAsia" w:ascii="宋体" w:hAnsi="宋体" w:cs="Times New Roman"/>
          <w:kern w:val="0"/>
          <w:sz w:val="28"/>
          <w:szCs w:val="28"/>
          <w:lang w:val="en-US" w:eastAsia="zh-CN" w:bidi="ar-SA"/>
        </w:rPr>
        <w:t>社会保障基金</w:t>
      </w:r>
      <w:r>
        <w:rPr>
          <w:rFonts w:hint="eastAsia" w:ascii="宋体" w:hAnsi="宋体" w:eastAsia="宋体" w:cs="Times New Roman"/>
          <w:kern w:val="0"/>
          <w:sz w:val="28"/>
          <w:szCs w:val="28"/>
          <w:lang w:val="en-US" w:eastAsia="zh-CN" w:bidi="ar-SA"/>
        </w:rPr>
        <w:t>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eastAsia="仿宋_GB2312"/>
          <w:color w:val="000000"/>
          <w:sz w:val="32"/>
          <w:szCs w:val="32"/>
        </w:rPr>
      </w:pPr>
    </w:p>
    <w:p>
      <w:pPr>
        <w:pStyle w:val="9"/>
        <w:numPr>
          <w:numId w:val="0"/>
        </w:numPr>
        <w:spacing w:line="360" w:lineRule="auto"/>
        <w:ind w:firstLine="560" w:firstLineChars="200"/>
        <w:rPr>
          <w:rFonts w:hint="eastAsia" w:ascii="宋体" w:hAnsi="宋体" w:eastAsia="宋体"/>
          <w:sz w:val="28"/>
          <w:lang w:val="en-US" w:eastAsia="zh-CN"/>
        </w:rPr>
      </w:pPr>
      <w:r>
        <w:rPr>
          <w:rFonts w:hint="eastAsia" w:ascii="宋体" w:hAnsi="宋体" w:eastAsia="宋体" w:cs="Times New Roman"/>
          <w:kern w:val="0"/>
          <w:sz w:val="28"/>
          <w:szCs w:val="28"/>
          <w:lang w:val="en-US" w:eastAsia="zh-CN" w:bidi="ar-SA"/>
        </w:rPr>
        <w:t>本单位</w:t>
      </w:r>
      <w:r>
        <w:rPr>
          <w:rFonts w:hint="eastAsia" w:ascii="宋体" w:hAnsi="宋体" w:cs="Times New Roman"/>
          <w:kern w:val="0"/>
          <w:sz w:val="28"/>
          <w:szCs w:val="28"/>
          <w:lang w:val="en-US" w:eastAsia="zh-CN" w:bidi="ar-SA"/>
        </w:rPr>
        <w:t>2019年</w:t>
      </w:r>
      <w:r>
        <w:rPr>
          <w:rFonts w:hint="eastAsia" w:ascii="宋体" w:hAnsi="宋体" w:eastAsia="宋体"/>
          <w:sz w:val="28"/>
          <w:lang w:val="en-US" w:eastAsia="zh-CN"/>
        </w:rPr>
        <w:t>无国有资本经营预算支出、社会保险基金预算支出、部门整体支出，充分利用一般公共预算支出，较好的完成了全年绩效工作目标，取得了如下成效：</w:t>
      </w:r>
    </w:p>
    <w:p>
      <w:pPr>
        <w:pStyle w:val="9"/>
        <w:numPr>
          <w:numId w:val="0"/>
        </w:numPr>
        <w:spacing w:line="360" w:lineRule="auto"/>
        <w:ind w:firstLine="560" w:firstLineChars="200"/>
        <w:rPr>
          <w:rFonts w:hint="eastAsia" w:ascii="宋体" w:hAnsi="宋体" w:eastAsia="宋体"/>
          <w:sz w:val="28"/>
        </w:rPr>
      </w:pPr>
      <w:r>
        <w:rPr>
          <w:rFonts w:hint="eastAsia" w:ascii="宋体" w:hAnsi="宋体" w:eastAsia="宋体"/>
          <w:sz w:val="28"/>
          <w:lang w:val="en-US" w:eastAsia="zh-CN"/>
        </w:rPr>
        <w:t>1、</w:t>
      </w:r>
      <w:r>
        <w:rPr>
          <w:rFonts w:hint="eastAsia" w:ascii="宋体" w:hAnsi="宋体" w:eastAsia="宋体"/>
          <w:sz w:val="28"/>
        </w:rPr>
        <w:t>调结构，转方式，经济综合实力稳步增长。2019年，全乡顺利推进恒大绿洲、万达广场、龙田塘风情街等项目发展，怀芷高速全线通车，张吉怀铁路施工全面铺开；</w:t>
      </w:r>
      <w:r>
        <w:rPr>
          <w:rStyle w:val="12"/>
          <w:rFonts w:hint="eastAsia" w:ascii="宋体" w:hAnsi="宋体" w:eastAsia="宋体"/>
          <w:b w:val="0"/>
          <w:sz w:val="28"/>
        </w:rPr>
        <w:t>全域旅游持续深化，</w:t>
      </w:r>
      <w:r>
        <w:rPr>
          <w:rFonts w:hint="eastAsia" w:ascii="宋体" w:hAnsi="宋体" w:eastAsia="宋体"/>
          <w:sz w:val="28"/>
        </w:rPr>
        <w:t>稳步推进南面凉山旅游资源开发；新家庄、新垦农业产业基地持续发展。</w:t>
      </w:r>
    </w:p>
    <w:p>
      <w:pPr>
        <w:pStyle w:val="9"/>
        <w:numPr>
          <w:numId w:val="0"/>
        </w:numPr>
        <w:spacing w:line="360" w:lineRule="auto"/>
        <w:ind w:firstLine="0"/>
        <w:rPr>
          <w:rFonts w:hint="eastAsia" w:ascii="宋体" w:hAnsi="宋体" w:eastAsia="宋体"/>
          <w:color w:val="FFFF00"/>
          <w:sz w:val="28"/>
        </w:rPr>
      </w:pPr>
      <w:r>
        <w:rPr>
          <w:rFonts w:hint="eastAsia" w:ascii="宋体" w:hAnsi="宋体" w:eastAsia="宋体"/>
          <w:sz w:val="28"/>
        </w:rPr>
        <w:t xml:space="preserve">    2、重建设，强管理，城乡人居环境大幅改善。2019年，我乡先后服务协调渝怀复线、张吉怀铁路、恒大绿洲、岳麓青城等76个国家、省、市重点项目建设，全年累计征地1100余亩；全力推进21个村民安置区建设，其中：10个拟建项目、9个已开工项目和2个已建成项目；全乡主次干道等重点区域开展集中整治行动16次，拆除厂房5处，面积逾7175.3平方米，拆除违章建筑57处，建筑面积55231平方米，征地拆迁共32处；全</w:t>
      </w:r>
      <w:r>
        <w:rPr>
          <w:rFonts w:hint="eastAsia" w:ascii="宋体" w:hAnsi="宋体" w:eastAsia="宋体"/>
          <w:color w:val="auto"/>
          <w:sz w:val="28"/>
        </w:rPr>
        <w:t>年共处理数字城管事件3000多起，开展大小集中整治80多次，共清运垃圾和乱堆乱放2000多吨，清理卫生死角100余处，拆除户外广告及乱搭乱建1100多处。</w:t>
      </w:r>
    </w:p>
    <w:p>
      <w:pPr>
        <w:pStyle w:val="9"/>
        <w:spacing w:line="360" w:lineRule="auto"/>
        <w:rPr>
          <w:rFonts w:hint="eastAsia" w:ascii="宋体" w:hAnsi="宋体" w:eastAsia="宋体"/>
          <w:sz w:val="28"/>
        </w:rPr>
      </w:pPr>
      <w:r>
        <w:rPr>
          <w:rFonts w:hint="eastAsia" w:ascii="宋体" w:hAnsi="宋体" w:eastAsia="宋体"/>
          <w:sz w:val="28"/>
        </w:rPr>
        <w:t>3、重防患，保安全，维护经济社会稳定。全年化解重大矛盾144起；共发放禁毒宣传资料7100余份，签订《禁毒承诺书》2000余份，已对社区戒毒人员计222名全部建档立卡，共尿检2300余人次，移送派出所37人次，管控率达到95％；全年查处生产经营企业单位20家，查出39家企业存在制度不健全、未组织事故应急救援演练等问题，劝导和制止违法违规行驶事故隐患20起。</w:t>
      </w:r>
    </w:p>
    <w:p>
      <w:pPr>
        <w:pStyle w:val="9"/>
        <w:spacing w:line="360" w:lineRule="auto"/>
        <w:rPr>
          <w:rFonts w:hint="eastAsia" w:ascii="宋体" w:hAnsi="宋体" w:eastAsia="宋体"/>
          <w:sz w:val="28"/>
        </w:rPr>
      </w:pPr>
      <w:r>
        <w:rPr>
          <w:rFonts w:hint="eastAsia" w:ascii="宋体" w:hAnsi="宋体" w:eastAsia="宋体"/>
          <w:sz w:val="28"/>
        </w:rPr>
        <w:t>4、谋福祉，惠民生，人民幸福指数逐步提高。全面落实“河长制”，坚持常态巡河，新增家禽养殖场5家、退养31家，退养生猪2000余头，全力禁止露天焚烧垃圾，严厉打击露天焚烧垃圾的行为；共发放惠农资</w:t>
      </w:r>
      <w:r>
        <w:rPr>
          <w:rFonts w:hint="eastAsia" w:ascii="宋体" w:hAnsi="宋体" w:eastAsia="宋体"/>
          <w:color w:val="auto"/>
          <w:sz w:val="28"/>
        </w:rPr>
        <w:t>金467万；</w:t>
      </w:r>
      <w:r>
        <w:rPr>
          <w:rFonts w:hint="eastAsia" w:ascii="宋体" w:hAnsi="宋体" w:eastAsia="宋体"/>
          <w:sz w:val="28"/>
        </w:rPr>
        <w:t>农村劳动力转移就业264人。</w:t>
      </w:r>
    </w:p>
    <w:p>
      <w:pPr>
        <w:spacing w:line="360" w:lineRule="auto"/>
        <w:ind w:firstLine="560" w:firstLineChars="200"/>
        <w:rPr>
          <w:rFonts w:hint="eastAsia" w:ascii="宋体" w:hAnsi="宋体"/>
          <w:sz w:val="28"/>
        </w:rPr>
      </w:pPr>
      <w:r>
        <w:rPr>
          <w:rFonts w:hint="eastAsia" w:ascii="宋体" w:hAnsi="宋体"/>
          <w:sz w:val="28"/>
        </w:rPr>
        <w:t>5、转作风，树形象，党建工作取得新进展。落实党建工作责任制。各党支部开展集中学习7天，开展主题党日活动3次，30个合格党支部经过区委组织部认定进行了授牌；制定了《盈口乡2019年村干部目标管理和绩效考核方案》，赵家山村级活动服务场所修建并装修完毕，盈丰村级活动服务场所正在装修；全乡村级后备干部共30人，全年共发展新党员6名，预备党员转正14名，培养入党积极分子14名。</w:t>
      </w:r>
    </w:p>
    <w:p>
      <w:pPr>
        <w:widowControl/>
        <w:spacing w:line="600" w:lineRule="exact"/>
        <w:ind w:firstLine="645"/>
        <w:jc w:val="left"/>
        <w:rPr>
          <w:rFonts w:hint="eastAsia" w:ascii="宋体" w:hAnsi="宋体" w:eastAsia="宋体" w:cs="Times New Roman"/>
          <w:kern w:val="0"/>
          <w:sz w:val="28"/>
          <w:szCs w:val="28"/>
          <w:lang w:val="en-US" w:eastAsia="zh-CN" w:bidi="ar-SA"/>
        </w:rPr>
      </w:pPr>
      <w:r>
        <w:rPr>
          <w:rFonts w:hint="eastAsia" w:ascii="宋体" w:hAnsi="宋体" w:cs="Times New Roman"/>
          <w:kern w:val="0"/>
          <w:sz w:val="28"/>
          <w:szCs w:val="28"/>
          <w:lang w:val="en-US" w:eastAsia="zh-CN" w:bidi="ar-SA"/>
        </w:rPr>
        <w:t>总体上，通过全乡职工尽职履职，有效服务了本辖区村民，获得了较高的群众满意度。</w:t>
      </w:r>
    </w:p>
    <w:p>
      <w:pPr>
        <w:pStyle w:val="6"/>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560" w:firstLineChars="200"/>
        <w:jc w:val="left"/>
        <w:rPr>
          <w:rFonts w:hint="eastAsia" w:ascii="宋体" w:hAnsi="宋体"/>
          <w:sz w:val="28"/>
          <w:lang w:val="en-US" w:eastAsia="zh-CN"/>
        </w:rPr>
      </w:pPr>
      <w:r>
        <w:rPr>
          <w:rFonts w:hint="eastAsia" w:ascii="宋体" w:hAnsi="宋体"/>
          <w:sz w:val="28"/>
        </w:rPr>
        <w:t>一般公共服务支出</w:t>
      </w:r>
      <w:r>
        <w:rPr>
          <w:rFonts w:hint="eastAsia" w:ascii="宋体" w:hAnsi="宋体" w:eastAsia="宋体"/>
          <w:sz w:val="28"/>
          <w:szCs w:val="28"/>
          <w:lang w:val="en-US" w:eastAsia="zh-CN"/>
        </w:rPr>
        <w:t>797.62</w:t>
      </w:r>
      <w:r>
        <w:rPr>
          <w:rFonts w:hint="eastAsia" w:ascii="宋体" w:hAnsi="宋体"/>
          <w:sz w:val="28"/>
          <w:szCs w:val="28"/>
          <w:lang w:val="en-US" w:eastAsia="zh-CN"/>
        </w:rPr>
        <w:t>万元，比</w:t>
      </w:r>
      <w:r>
        <w:rPr>
          <w:rFonts w:hint="eastAsia" w:ascii="宋体" w:hAnsi="宋体"/>
          <w:sz w:val="28"/>
          <w:lang w:eastAsia="zh-CN"/>
        </w:rPr>
        <w:t>年初</w:t>
      </w:r>
      <w:r>
        <w:rPr>
          <w:rFonts w:hint="eastAsia" w:ascii="宋体" w:hAnsi="宋体"/>
          <w:sz w:val="28"/>
        </w:rPr>
        <w:t>减少235.23万元元，主要是机关事业养老保险等各类保险计算口径不一致，卫生健康支出</w:t>
      </w:r>
      <w:r>
        <w:rPr>
          <w:rFonts w:hint="eastAsia" w:ascii="宋体" w:hAnsi="宋体" w:eastAsia="宋体"/>
          <w:sz w:val="28"/>
          <w:szCs w:val="28"/>
          <w:lang w:val="en-US" w:eastAsia="zh-CN"/>
        </w:rPr>
        <w:t>72.36</w:t>
      </w:r>
      <w:r>
        <w:rPr>
          <w:rFonts w:hint="eastAsia" w:ascii="宋体" w:hAnsi="宋体"/>
          <w:sz w:val="28"/>
          <w:szCs w:val="28"/>
          <w:lang w:val="en-US" w:eastAsia="zh-CN"/>
        </w:rPr>
        <w:t>万元，比</w:t>
      </w:r>
      <w:r>
        <w:rPr>
          <w:rFonts w:hint="eastAsia" w:ascii="宋体" w:hAnsi="宋体"/>
          <w:sz w:val="28"/>
          <w:lang w:eastAsia="zh-CN"/>
        </w:rPr>
        <w:t>年初</w:t>
      </w:r>
      <w:r>
        <w:rPr>
          <w:rFonts w:hint="eastAsia" w:ascii="宋体" w:hAnsi="宋体"/>
          <w:sz w:val="28"/>
        </w:rPr>
        <w:t>减少986.15万元，主要是预算做了公用支出，而决算依据账务实际开支列入了其他功能科目，农林水支出</w:t>
      </w:r>
      <w:r>
        <w:rPr>
          <w:rFonts w:hint="eastAsia" w:ascii="宋体" w:hAnsi="宋体" w:eastAsia="宋体"/>
          <w:sz w:val="28"/>
          <w:szCs w:val="28"/>
          <w:lang w:val="en-US" w:eastAsia="zh-CN"/>
        </w:rPr>
        <w:t>128.82</w:t>
      </w:r>
      <w:r>
        <w:rPr>
          <w:rFonts w:hint="eastAsia" w:ascii="宋体" w:hAnsi="宋体"/>
          <w:sz w:val="28"/>
          <w:szCs w:val="28"/>
          <w:lang w:val="en-US" w:eastAsia="zh-CN"/>
        </w:rPr>
        <w:t>万元，比年初</w:t>
      </w:r>
      <w:r>
        <w:rPr>
          <w:rFonts w:hint="eastAsia" w:ascii="宋体" w:hAnsi="宋体"/>
          <w:sz w:val="28"/>
        </w:rPr>
        <w:t>减少261.03万元，主要是预算做了村干工资而村干工资实际通过一卡通系统发放没有进入账务系统导致决算数据减少。</w:t>
      </w:r>
      <w:r>
        <w:rPr>
          <w:rFonts w:hint="eastAsia" w:ascii="宋体" w:hAnsi="宋体"/>
          <w:sz w:val="28"/>
          <w:lang w:val="en-US" w:eastAsia="zh-CN"/>
        </w:rPr>
        <w:t xml:space="preserve">        </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560" w:firstLineChars="200"/>
        <w:jc w:val="left"/>
        <w:rPr>
          <w:rFonts w:hint="eastAsia" w:ascii="宋体" w:hAnsi="宋体"/>
          <w:sz w:val="28"/>
          <w:lang w:eastAsia="zh-CN"/>
        </w:rPr>
      </w:pPr>
      <w:r>
        <w:rPr>
          <w:rFonts w:hint="eastAsia" w:ascii="宋体" w:hAnsi="宋体"/>
          <w:sz w:val="28"/>
          <w:lang w:eastAsia="zh-CN"/>
        </w:rPr>
        <w:t>严格按照年初预算安排资金计划和使用，确保口径一致。</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val="en-US" w:eastAsia="zh-CN"/>
        </w:rPr>
      </w:pPr>
      <w:r>
        <w:rPr>
          <w:rFonts w:hint="eastAsia" w:eastAsia="仿宋_GB2312"/>
          <w:sz w:val="32"/>
          <w:szCs w:val="32"/>
          <w:lang w:val="en-US"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blHeader/>
          <w:jc w:val="center"/>
        </w:trPr>
        <w:tc>
          <w:tcPr>
            <w:tcW w:w="777" w:type="dxa"/>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r>
            <w:r>
              <w:rPr>
                <w:rFonts w:hint="eastAsia" w:ascii="仿宋_GB2312" w:eastAsia="仿宋_GB2312"/>
                <w:b/>
                <w:bCs/>
                <w:szCs w:val="21"/>
              </w:rPr>
              <w:t>指标</w:t>
            </w:r>
          </w:p>
        </w:tc>
        <w:tc>
          <w:tcPr>
            <w:tcW w:w="674" w:type="dxa"/>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r>
            <w:r>
              <w:rPr>
                <w:rFonts w:hint="eastAsia" w:ascii="仿宋_GB2312" w:eastAsia="仿宋_GB2312"/>
                <w:b/>
                <w:bCs/>
                <w:szCs w:val="21"/>
              </w:rPr>
              <w:t>指标</w:t>
            </w:r>
          </w:p>
        </w:tc>
        <w:tc>
          <w:tcPr>
            <w:tcW w:w="1071" w:type="dxa"/>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restart"/>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65" w:hRule="atLeast"/>
          <w:jc w:val="center"/>
        </w:trPr>
        <w:tc>
          <w:tcPr>
            <w:tcW w:w="777" w:type="dxa"/>
            <w:vMerge w:val="continue"/>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tcMar>
              <w:top w:w="10" w:type="dxa"/>
              <w:left w:w="10" w:type="dxa"/>
              <w:bottom w:w="0" w:type="dxa"/>
              <w:right w:w="10" w:type="dxa"/>
            </w:tcMar>
            <w:vAlign w:val="center"/>
          </w:tcPr>
          <w:p>
            <w:pPr>
              <w:jc w:val="center"/>
              <w:rPr>
                <w:rFonts w:ascii="仿宋_GB2312" w:eastAsia="仿宋_GB2312"/>
                <w:szCs w:val="21"/>
              </w:rPr>
            </w:pP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6"/>
              <w:numPr>
                <w:ilvl w:val="0"/>
                <w:numId w:val="5"/>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6"/>
              <w:numPr>
                <w:ilvl w:val="0"/>
                <w:numId w:val="5"/>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color w:val="auto"/>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73" w:hRule="atLeast"/>
          <w:jc w:val="center"/>
        </w:trPr>
        <w:tc>
          <w:tcPr>
            <w:tcW w:w="777" w:type="dxa"/>
            <w:vMerge w:val="continue"/>
            <w:vAlign w:val="center"/>
          </w:tcPr>
          <w:p>
            <w:pPr>
              <w:rPr>
                <w:rFonts w:ascii="仿宋_GB2312" w:eastAsia="仿宋_GB2312"/>
                <w:szCs w:val="21"/>
              </w:rPr>
            </w:pPr>
          </w:p>
        </w:tc>
        <w:tc>
          <w:tcPr>
            <w:tcW w:w="674" w:type="dxa"/>
            <w:vMerge w:val="restart"/>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6"/>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vAlign w:val="center"/>
          </w:tcPr>
          <w:p>
            <w:pPr>
              <w:rPr>
                <w:rFonts w:ascii="仿宋_GB2312" w:eastAsia="仿宋_GB2312"/>
                <w:szCs w:val="21"/>
              </w:rPr>
            </w:pPr>
          </w:p>
        </w:tc>
        <w:tc>
          <w:tcPr>
            <w:tcW w:w="674" w:type="dxa"/>
            <w:vMerge w:val="continue"/>
            <w:vAlign w:val="center"/>
          </w:tcPr>
          <w:p>
            <w:pPr>
              <w:jc w:val="center"/>
              <w:rPr>
                <w:rFonts w:ascii="仿宋_GB2312" w:eastAsia="仿宋_GB2312"/>
                <w:szCs w:val="21"/>
              </w:rPr>
            </w:pP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vAlign w:val="center"/>
          </w:tcPr>
          <w:p>
            <w:pPr>
              <w:rPr>
                <w:rFonts w:ascii="仿宋_GB2312" w:eastAsia="仿宋_GB2312"/>
                <w:szCs w:val="21"/>
              </w:rPr>
            </w:pPr>
          </w:p>
        </w:tc>
        <w:tc>
          <w:tcPr>
            <w:tcW w:w="674" w:type="dxa"/>
            <w:vMerge w:val="restart"/>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6"/>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vAlign w:val="center"/>
          </w:tcPr>
          <w:p>
            <w:pPr>
              <w:rPr>
                <w:rFonts w:ascii="仿宋_GB2312" w:eastAsia="仿宋_GB2312"/>
                <w:szCs w:val="21"/>
              </w:rPr>
            </w:pPr>
          </w:p>
        </w:tc>
        <w:tc>
          <w:tcPr>
            <w:tcW w:w="674" w:type="dxa"/>
            <w:vMerge w:val="continue"/>
            <w:vAlign w:val="center"/>
          </w:tcPr>
          <w:p>
            <w:pPr>
              <w:jc w:val="center"/>
              <w:rPr>
                <w:rFonts w:ascii="仿宋_GB2312" w:eastAsia="仿宋_GB2312"/>
                <w:szCs w:val="21"/>
              </w:rPr>
            </w:pP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6"/>
              <w:numPr>
                <w:ilvl w:val="0"/>
                <w:numId w:val="8"/>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42" w:hRule="atLeast"/>
          <w:jc w:val="center"/>
        </w:trPr>
        <w:tc>
          <w:tcPr>
            <w:tcW w:w="777" w:type="dxa"/>
            <w:vMerge w:val="restart"/>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r>
            <w:r>
              <w:rPr>
                <w:rFonts w:hint="eastAsia" w:ascii="仿宋_GB2312" w:eastAsia="仿宋_GB2312"/>
                <w:szCs w:val="21"/>
              </w:rPr>
              <w:t>管理（10）</w:t>
            </w: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5" w:hRule="atLeast"/>
          <w:jc w:val="center"/>
        </w:trPr>
        <w:tc>
          <w:tcPr>
            <w:tcW w:w="777" w:type="dxa"/>
            <w:vMerge w:val="continue"/>
            <w:vAlign w:val="center"/>
          </w:tcPr>
          <w:p>
            <w:pPr>
              <w:jc w:val="center"/>
              <w:rPr>
                <w:rFonts w:ascii="仿宋_GB2312" w:eastAsia="仿宋_GB2312"/>
                <w:szCs w:val="21"/>
              </w:rPr>
            </w:pPr>
          </w:p>
        </w:tc>
        <w:tc>
          <w:tcPr>
            <w:tcW w:w="674" w:type="dxa"/>
            <w:vMerge w:val="continue"/>
            <w:tcMar>
              <w:top w:w="10" w:type="dxa"/>
              <w:left w:w="10" w:type="dxa"/>
              <w:bottom w:w="0" w:type="dxa"/>
              <w:right w:w="10" w:type="dxa"/>
            </w:tcMar>
            <w:vAlign w:val="center"/>
          </w:tcPr>
          <w:p>
            <w:pPr>
              <w:jc w:val="center"/>
              <w:rPr>
                <w:rFonts w:ascii="仿宋_GB2312" w:eastAsia="仿宋_GB2312"/>
                <w:szCs w:val="21"/>
              </w:rPr>
            </w:pP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vAlign w:val="center"/>
          </w:tcPr>
          <w:p>
            <w:pPr>
              <w:jc w:val="center"/>
              <w:rPr>
                <w:rFonts w:ascii="仿宋_GB2312" w:eastAsia="仿宋_GB2312"/>
                <w:szCs w:val="21"/>
              </w:rPr>
            </w:pPr>
          </w:p>
        </w:tc>
        <w:tc>
          <w:tcPr>
            <w:tcW w:w="674" w:type="dxa"/>
            <w:vMerge w:val="continue"/>
            <w:vAlign w:val="center"/>
          </w:tcPr>
          <w:p>
            <w:pPr>
              <w:rPr>
                <w:rFonts w:ascii="仿宋_GB2312" w:eastAsia="仿宋_GB2312"/>
                <w:szCs w:val="21"/>
              </w:rPr>
            </w:pP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vAlign w:val="center"/>
          </w:tcPr>
          <w:p>
            <w:pPr>
              <w:rPr>
                <w:rFonts w:ascii="仿宋_GB2312" w:eastAsia="仿宋_GB2312"/>
                <w:szCs w:val="21"/>
              </w:rPr>
            </w:pPr>
          </w:p>
        </w:tc>
        <w:tc>
          <w:tcPr>
            <w:tcW w:w="674" w:type="dxa"/>
            <w:vMerge w:val="continue"/>
            <w:vAlign w:val="center"/>
          </w:tcPr>
          <w:p>
            <w:pPr>
              <w:rPr>
                <w:rFonts w:ascii="仿宋_GB2312" w:eastAsia="仿宋_GB2312"/>
                <w:szCs w:val="21"/>
              </w:rPr>
            </w:pP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81" w:hRule="atLeast"/>
          <w:jc w:val="center"/>
        </w:trPr>
        <w:tc>
          <w:tcPr>
            <w:tcW w:w="777" w:type="dxa"/>
            <w:vMerge w:val="restart"/>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04" w:hRule="atLeast"/>
          <w:jc w:val="center"/>
        </w:trPr>
        <w:tc>
          <w:tcPr>
            <w:tcW w:w="777" w:type="dxa"/>
            <w:vMerge w:val="continue"/>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55" w:hRule="atLeast"/>
          <w:jc w:val="center"/>
        </w:trPr>
        <w:tc>
          <w:tcPr>
            <w:tcW w:w="777" w:type="dxa"/>
            <w:vMerge w:val="continue"/>
            <w:vAlign w:val="center"/>
          </w:tcPr>
          <w:p>
            <w:pPr>
              <w:rPr>
                <w:rFonts w:ascii="仿宋_GB2312" w:eastAsia="仿宋_GB2312"/>
                <w:szCs w:val="21"/>
              </w:rPr>
            </w:pPr>
          </w:p>
        </w:tc>
        <w:tc>
          <w:tcPr>
            <w:tcW w:w="674" w:type="dxa"/>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restart"/>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r>
            <w:r>
              <w:rPr>
                <w:rFonts w:hint="eastAsia" w:ascii="仿宋_GB2312" w:eastAsia="仿宋_GB2312"/>
                <w:szCs w:val="21"/>
              </w:rPr>
              <w:t>效益（10）</w:t>
            </w: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vAlign w:val="center"/>
          </w:tcPr>
          <w:p>
            <w:pPr>
              <w:rPr>
                <w:rFonts w:ascii="仿宋_GB2312" w:eastAsia="仿宋_GB2312"/>
                <w:szCs w:val="21"/>
              </w:rPr>
            </w:pPr>
          </w:p>
        </w:tc>
        <w:tc>
          <w:tcPr>
            <w:tcW w:w="674" w:type="dxa"/>
            <w:vMerge w:val="continue"/>
            <w:vAlign w:val="center"/>
          </w:tcPr>
          <w:p>
            <w:pPr>
              <w:rPr>
                <w:rFonts w:ascii="仿宋_GB2312" w:eastAsia="仿宋_GB2312"/>
                <w:szCs w:val="21"/>
              </w:rPr>
            </w:pPr>
          </w:p>
        </w:tc>
        <w:tc>
          <w:tcPr>
            <w:tcW w:w="1071" w:type="dxa"/>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r>
        <w:rPr>
          <w:rFonts w:hint="eastAsia" w:eastAsia="黑体"/>
          <w:sz w:val="32"/>
          <w:szCs w:val="32"/>
          <w:lang w:eastAsia="zh-CN"/>
        </w:rPr>
        <w:t>（</w:t>
      </w:r>
      <w:r>
        <w:rPr>
          <w:rFonts w:hint="eastAsia" w:eastAsia="黑体"/>
          <w:sz w:val="32"/>
          <w:szCs w:val="32"/>
          <w:lang w:val="en-US" w:eastAsia="zh-CN"/>
        </w:rPr>
        <w:t>1）</w:t>
      </w:r>
    </w:p>
    <w:tbl>
      <w:tblPr>
        <w:tblW w:w="99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人大代表基层平台建设</w:t>
            </w: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盈口乡人民政府</w:t>
            </w:r>
          </w:p>
        </w:tc>
        <w:tc>
          <w:tcPr>
            <w:tcW w:w="1134" w:type="dxa"/>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18</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6.4</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35%</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16</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推进基层人大服务平台建设</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推动了</w:t>
            </w:r>
            <w:r>
              <w:rPr>
                <w:rFonts w:hint="eastAsia" w:eastAsia="仿宋_GB2312"/>
                <w:color w:val="000000"/>
                <w:kern w:val="0"/>
                <w:szCs w:val="21"/>
                <w:lang w:val="en-US" w:eastAsia="zh-CN"/>
              </w:rPr>
              <w:t>村级</w:t>
            </w:r>
            <w:r>
              <w:rPr>
                <w:rFonts w:hint="eastAsia" w:eastAsia="仿宋_GB2312"/>
                <w:color w:val="000000"/>
                <w:kern w:val="0"/>
                <w:szCs w:val="21"/>
                <w:lang w:eastAsia="zh-CN"/>
              </w:rPr>
              <w:t>人大服务平台建设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人大基层平台建设数量</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5个</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5个</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召开会议次数</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2次</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2次</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平台建设达标率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会议召开圆满度</w:t>
            </w: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 xml:space="preserve">  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平台建设及时完工率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 xml:space="preserve">  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会议召开及时性</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平台建设资金</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5万元</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5万元</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会议召开费用支出</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1.5万元</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1.2万元</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textDirection w:val="lrTb"/>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服务群众率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 xml:space="preserve">   </w:t>
            </w: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 xml:space="preserve">   </w:t>
            </w: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6" w:hRule="atLeast"/>
          <w:jc w:val="center"/>
        </w:trPr>
        <w:tc>
          <w:tcPr>
            <w:tcW w:w="1135"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98%</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9.8</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继续提高满意度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93.3</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杨慧</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 xml:space="preserve">2020年9月17日    </w:t>
      </w:r>
      <w:r>
        <w:rPr>
          <w:rFonts w:eastAsia="仿宋_GB2312"/>
          <w:sz w:val="24"/>
        </w:rPr>
        <w:t xml:space="preserve"> </w:t>
      </w:r>
      <w:r>
        <w:rPr>
          <w:rFonts w:hint="eastAsia" w:eastAsia="仿宋_GB2312"/>
          <w:sz w:val="24"/>
          <w:lang w:val="en-US" w:eastAsia="zh-CN"/>
        </w:rPr>
        <w:t xml:space="preserve">  </w:t>
      </w:r>
      <w:r>
        <w:rPr>
          <w:rFonts w:eastAsia="仿宋_GB2312"/>
          <w:sz w:val="24"/>
        </w:rPr>
        <w:t>联系电话：</w:t>
      </w:r>
      <w:r>
        <w:rPr>
          <w:rFonts w:hint="eastAsia" w:eastAsia="仿宋_GB2312"/>
          <w:sz w:val="24"/>
          <w:lang w:val="en-US" w:eastAsia="zh-CN"/>
        </w:rPr>
        <w:t>18244859533</w:t>
      </w:r>
      <w:r>
        <w:rPr>
          <w:rFonts w:eastAsia="仿宋_GB2312"/>
          <w:sz w:val="24"/>
        </w:rPr>
        <w:t xml:space="preserve"> </w:t>
      </w:r>
    </w:p>
    <w:p>
      <w:pPr>
        <w:spacing w:beforeLines="50" w:line="320" w:lineRule="exact"/>
        <w:rPr>
          <w:rFonts w:eastAsia="仿宋_GB2312"/>
          <w:sz w:val="24"/>
        </w:rPr>
      </w:pPr>
      <w:r>
        <w:rPr>
          <w:rFonts w:eastAsia="仿宋_GB2312"/>
          <w:sz w:val="24"/>
        </w:rPr>
        <w:t>单位负责人签字：</w:t>
      </w:r>
      <w:r>
        <w:rPr>
          <w:rFonts w:hint="eastAsia" w:eastAsia="仿宋_GB2312"/>
          <w:sz w:val="24"/>
          <w:lang w:eastAsia="zh-CN"/>
        </w:rPr>
        <w:t>李述友</w:t>
      </w: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hint="eastAsia" w:eastAsia="黑体"/>
          <w:sz w:val="32"/>
          <w:szCs w:val="32"/>
          <w:lang w:eastAsia="zh-CN"/>
        </w:rPr>
        <w:t>附件</w:t>
      </w:r>
      <w:r>
        <w:rPr>
          <w:rFonts w:hint="eastAsia" w:eastAsia="黑体"/>
          <w:sz w:val="32"/>
          <w:szCs w:val="32"/>
        </w:rPr>
        <w:t>4-2</w:t>
      </w:r>
      <w:r>
        <w:rPr>
          <w:rFonts w:hint="eastAsia" w:eastAsia="黑体"/>
          <w:sz w:val="32"/>
          <w:szCs w:val="32"/>
          <w:lang w:eastAsia="zh-CN"/>
        </w:rPr>
        <w:t>（</w:t>
      </w:r>
      <w:r>
        <w:rPr>
          <w:rFonts w:hint="eastAsia" w:eastAsia="黑体"/>
          <w:sz w:val="32"/>
          <w:szCs w:val="32"/>
          <w:lang w:val="en-US" w:eastAsia="zh-CN"/>
        </w:rPr>
        <w:t>2）</w:t>
      </w:r>
    </w:p>
    <w:tbl>
      <w:tblPr>
        <w:tblW w:w="99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992"/>
        <w:gridCol w:w="1261"/>
        <w:gridCol w:w="1100"/>
        <w:gridCol w:w="124"/>
        <w:gridCol w:w="940"/>
        <w:gridCol w:w="1064"/>
        <w:gridCol w:w="264"/>
        <w:gridCol w:w="676"/>
        <w:gridCol w:w="152"/>
        <w:gridCol w:w="873"/>
        <w:gridCol w:w="94"/>
        <w:gridCol w:w="13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jc w:val="center"/>
        </w:trPr>
        <w:tc>
          <w:tcPr>
            <w:tcW w:w="9999" w:type="dxa"/>
            <w:gridSpan w:val="13"/>
            <w:tcBorders>
              <w:top w:val="nil"/>
              <w:left w:val="nil"/>
              <w:bottom w:val="nil"/>
              <w:right w:val="nil"/>
            </w:tcBorders>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9999" w:type="dxa"/>
            <w:gridSpan w:val="13"/>
            <w:tcBorders>
              <w:top w:val="nil"/>
              <w:left w:val="nil"/>
              <w:bottom w:val="single" w:color="auto" w:sz="4" w:space="0"/>
              <w:right w:val="nil"/>
            </w:tcBorders>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12"/>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综治维稳工作经费</w:t>
            </w: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417" w:type="dxa"/>
            <w:gridSpan w:val="5"/>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盈口乡人民政府</w:t>
            </w:r>
          </w:p>
        </w:tc>
        <w:tc>
          <w:tcPr>
            <w:tcW w:w="1064" w:type="dxa"/>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383" w:type="dxa"/>
            <w:gridSpan w:val="6"/>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00"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064"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064"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全年执行数</w:t>
            </w:r>
          </w:p>
        </w:tc>
        <w:tc>
          <w:tcPr>
            <w:tcW w:w="940" w:type="dxa"/>
            <w:gridSpan w:val="2"/>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分值</w:t>
            </w:r>
          </w:p>
        </w:tc>
        <w:tc>
          <w:tcPr>
            <w:tcW w:w="1119" w:type="dxa"/>
            <w:gridSpan w:val="3"/>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执行率</w:t>
            </w:r>
          </w:p>
        </w:tc>
        <w:tc>
          <w:tcPr>
            <w:tcW w:w="1324"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100"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10</w:t>
            </w:r>
          </w:p>
        </w:tc>
        <w:tc>
          <w:tcPr>
            <w:tcW w:w="1064"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18.04</w:t>
            </w:r>
          </w:p>
        </w:tc>
        <w:tc>
          <w:tcPr>
            <w:tcW w:w="1064" w:type="dxa"/>
            <w:tcBorders>
              <w:top w:val="nil"/>
              <w:left w:val="nil"/>
              <w:bottom w:val="single" w:color="auto" w:sz="4" w:space="0"/>
              <w:right w:val="single" w:color="auto" w:sz="4" w:space="0"/>
            </w:tcBorders>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17.78</w:t>
            </w:r>
          </w:p>
        </w:tc>
        <w:tc>
          <w:tcPr>
            <w:tcW w:w="940"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119" w:type="dxa"/>
            <w:gridSpan w:val="3"/>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98.55%</w:t>
            </w:r>
          </w:p>
        </w:tc>
        <w:tc>
          <w:tcPr>
            <w:tcW w:w="13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100" w:type="dxa"/>
            <w:tcBorders>
              <w:top w:val="nil"/>
              <w:left w:val="nil"/>
              <w:bottom w:val="single" w:color="auto" w:sz="4" w:space="0"/>
              <w:right w:val="single" w:color="auto" w:sz="4" w:space="0"/>
            </w:tcBorders>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2.04</w:t>
            </w:r>
          </w:p>
        </w:tc>
        <w:tc>
          <w:tcPr>
            <w:tcW w:w="1064" w:type="dxa"/>
            <w:gridSpan w:val="2"/>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2.04</w:t>
            </w:r>
            <w:r>
              <w:rPr>
                <w:rFonts w:eastAsia="仿宋_GB2312"/>
                <w:color w:val="000000"/>
                <w:kern w:val="0"/>
                <w:szCs w:val="21"/>
              </w:rPr>
              <w:t>　</w:t>
            </w:r>
          </w:p>
        </w:tc>
        <w:tc>
          <w:tcPr>
            <w:tcW w:w="1064" w:type="dxa"/>
            <w:tcBorders>
              <w:top w:val="nil"/>
              <w:left w:val="nil"/>
              <w:bottom w:val="single" w:color="auto" w:sz="4" w:space="0"/>
              <w:right w:val="single" w:color="auto" w:sz="4" w:space="0"/>
            </w:tcBorders>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2.04</w:t>
            </w:r>
          </w:p>
        </w:tc>
        <w:tc>
          <w:tcPr>
            <w:tcW w:w="940"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9" w:type="dxa"/>
            <w:gridSpan w:val="3"/>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100"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064" w:type="dxa"/>
            <w:gridSpan w:val="2"/>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06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940"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9" w:type="dxa"/>
            <w:gridSpan w:val="3"/>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100"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7.96</w:t>
            </w:r>
          </w:p>
        </w:tc>
        <w:tc>
          <w:tcPr>
            <w:tcW w:w="1064"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16</w:t>
            </w:r>
          </w:p>
        </w:tc>
        <w:tc>
          <w:tcPr>
            <w:tcW w:w="106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15.74</w:t>
            </w:r>
          </w:p>
        </w:tc>
        <w:tc>
          <w:tcPr>
            <w:tcW w:w="940"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9" w:type="dxa"/>
            <w:gridSpan w:val="3"/>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3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417" w:type="dxa"/>
            <w:gridSpan w:val="5"/>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447" w:type="dxa"/>
            <w:gridSpan w:val="7"/>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417" w:type="dxa"/>
            <w:gridSpan w:val="5"/>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创建平安鹤城</w:t>
            </w:r>
            <w:r>
              <w:rPr>
                <w:rFonts w:eastAsia="仿宋_GB2312"/>
                <w:color w:val="000000"/>
                <w:kern w:val="0"/>
                <w:szCs w:val="21"/>
              </w:rPr>
              <w:t>　　</w:t>
            </w:r>
          </w:p>
        </w:tc>
        <w:tc>
          <w:tcPr>
            <w:tcW w:w="4447" w:type="dxa"/>
            <w:gridSpan w:val="7"/>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r>
              <w:rPr>
                <w:rFonts w:hint="eastAsia" w:eastAsia="仿宋_GB2312"/>
                <w:color w:val="000000"/>
                <w:kern w:val="0"/>
                <w:szCs w:val="21"/>
                <w:lang w:eastAsia="zh-CN"/>
              </w:rPr>
              <w:t>有序维护了城区秩序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940"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28"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gridSpan w:val="2"/>
            <w:tcBorders>
              <w:top w:val="single" w:color="auto" w:sz="4" w:space="0"/>
              <w:left w:val="nil"/>
              <w:bottom w:val="single" w:color="auto" w:sz="4" w:space="0"/>
              <w:right w:val="single" w:color="auto" w:sz="4" w:space="0"/>
            </w:tcBorders>
            <w:textDirection w:val="lrTb"/>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矛盾发生率</w:t>
            </w:r>
          </w:p>
        </w:tc>
        <w:tc>
          <w:tcPr>
            <w:tcW w:w="940" w:type="dxa"/>
            <w:tcBorders>
              <w:top w:val="single" w:color="auto" w:sz="4" w:space="0"/>
              <w:left w:val="nil"/>
              <w:bottom w:val="single" w:color="auto" w:sz="4" w:space="0"/>
              <w:right w:val="single" w:color="auto" w:sz="4" w:space="0"/>
            </w:tcBorders>
            <w:textDirection w:val="lrTb"/>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 xml:space="preserve">  0</w:t>
            </w:r>
          </w:p>
        </w:tc>
        <w:tc>
          <w:tcPr>
            <w:tcW w:w="1328" w:type="dxa"/>
            <w:gridSpan w:val="2"/>
            <w:tcBorders>
              <w:top w:val="single" w:color="auto" w:sz="4" w:space="0"/>
              <w:left w:val="nil"/>
              <w:bottom w:val="single" w:color="auto" w:sz="4" w:space="0"/>
              <w:right w:val="single" w:color="auto" w:sz="4" w:space="0"/>
            </w:tcBorders>
            <w:textDirection w:val="lrTb"/>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144起</w:t>
            </w:r>
          </w:p>
        </w:tc>
        <w:tc>
          <w:tcPr>
            <w:tcW w:w="828" w:type="dxa"/>
            <w:gridSpan w:val="2"/>
            <w:tcBorders>
              <w:top w:val="single" w:color="auto" w:sz="4" w:space="0"/>
              <w:left w:val="nil"/>
              <w:bottom w:val="single" w:color="auto" w:sz="4" w:space="0"/>
              <w:right w:val="single" w:color="auto" w:sz="4" w:space="0"/>
            </w:tcBorders>
            <w:textDirection w:val="lrTb"/>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textDirection w:val="lrTb"/>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 xml:space="preserve">   5</w:t>
            </w:r>
          </w:p>
        </w:tc>
        <w:tc>
          <w:tcPr>
            <w:tcW w:w="1418" w:type="dxa"/>
            <w:gridSpan w:val="2"/>
            <w:tcBorders>
              <w:top w:val="single" w:color="auto" w:sz="4" w:space="0"/>
              <w:left w:val="nil"/>
              <w:bottom w:val="single" w:color="auto" w:sz="4" w:space="0"/>
              <w:right w:val="single" w:color="auto" w:sz="4" w:space="0"/>
            </w:tcBorders>
            <w:textDirection w:val="lrTb"/>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争取降低矛盾发生率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化解矛盾率</w:t>
            </w:r>
          </w:p>
        </w:tc>
        <w:tc>
          <w:tcPr>
            <w:tcW w:w="940"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32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化解矛盾及时性</w:t>
            </w:r>
          </w:p>
        </w:tc>
        <w:tc>
          <w:tcPr>
            <w:tcW w:w="940"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及时</w:t>
            </w:r>
          </w:p>
        </w:tc>
        <w:tc>
          <w:tcPr>
            <w:tcW w:w="132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及时</w:t>
            </w:r>
          </w:p>
        </w:tc>
        <w:tc>
          <w:tcPr>
            <w:tcW w:w="82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接访费用</w:t>
            </w:r>
          </w:p>
        </w:tc>
        <w:tc>
          <w:tcPr>
            <w:tcW w:w="940"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5000元</w:t>
            </w:r>
          </w:p>
        </w:tc>
        <w:tc>
          <w:tcPr>
            <w:tcW w:w="132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4563.5元</w:t>
            </w:r>
          </w:p>
        </w:tc>
        <w:tc>
          <w:tcPr>
            <w:tcW w:w="82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940"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群众知晓度</w:t>
            </w:r>
          </w:p>
        </w:tc>
        <w:tc>
          <w:tcPr>
            <w:tcW w:w="940"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32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94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8"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社会平安稳定性</w:t>
            </w:r>
          </w:p>
        </w:tc>
        <w:tc>
          <w:tcPr>
            <w:tcW w:w="94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可持续提高</w:t>
            </w:r>
          </w:p>
        </w:tc>
        <w:tc>
          <w:tcPr>
            <w:tcW w:w="1328"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提高</w:t>
            </w:r>
          </w:p>
        </w:tc>
        <w:tc>
          <w:tcPr>
            <w:tcW w:w="828"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14</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992" w:type="dxa"/>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群众满意度</w:t>
            </w:r>
          </w:p>
        </w:tc>
        <w:tc>
          <w:tcPr>
            <w:tcW w:w="940"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328"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98%</w:t>
            </w:r>
          </w:p>
        </w:tc>
        <w:tc>
          <w:tcPr>
            <w:tcW w:w="828"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9.8</w:t>
            </w:r>
          </w:p>
        </w:tc>
        <w:tc>
          <w:tcPr>
            <w:tcW w:w="1418"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6880" w:type="dxa"/>
            <w:gridSpan w:val="8"/>
            <w:tcBorders>
              <w:top w:val="single" w:color="auto" w:sz="4" w:space="0"/>
              <w:left w:val="single" w:color="auto" w:sz="4" w:space="0"/>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gridSpan w:val="2"/>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93.6</w:t>
            </w:r>
          </w:p>
        </w:tc>
        <w:tc>
          <w:tcPr>
            <w:tcW w:w="1418"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杨慧</w:t>
      </w:r>
      <w:r>
        <w:rPr>
          <w:rFonts w:eastAsia="仿宋_GB2312"/>
          <w:sz w:val="24"/>
        </w:rPr>
        <w:t xml:space="preserve">       填报日期：</w:t>
      </w:r>
      <w:r>
        <w:rPr>
          <w:rFonts w:hint="eastAsia" w:eastAsia="仿宋_GB2312"/>
          <w:sz w:val="24"/>
          <w:lang w:val="en-US" w:eastAsia="zh-CN"/>
        </w:rPr>
        <w:t>2020年9月17日</w:t>
      </w:r>
      <w:r>
        <w:rPr>
          <w:rFonts w:eastAsia="仿宋_GB2312"/>
          <w:sz w:val="24"/>
        </w:rPr>
        <w:t xml:space="preserve">      联系电话： </w:t>
      </w:r>
      <w:r>
        <w:rPr>
          <w:rFonts w:hint="eastAsia" w:eastAsia="仿宋_GB2312"/>
          <w:sz w:val="24"/>
          <w:lang w:val="en-US" w:eastAsia="zh-CN"/>
        </w:rPr>
        <w:t>18244859533</w:t>
      </w:r>
      <w:r>
        <w:rPr>
          <w:rFonts w:eastAsia="仿宋_GB2312"/>
          <w:sz w:val="24"/>
        </w:rPr>
        <w:t xml:space="preserve">      </w:t>
      </w:r>
    </w:p>
    <w:p>
      <w:pPr>
        <w:spacing w:beforeLines="50" w:line="320" w:lineRule="exact"/>
        <w:rPr>
          <w:rFonts w:eastAsia="仿宋_GB2312"/>
          <w:sz w:val="24"/>
        </w:rPr>
      </w:pPr>
      <w:r>
        <w:rPr>
          <w:rFonts w:eastAsia="仿宋_GB2312"/>
          <w:sz w:val="24"/>
        </w:rPr>
        <w:t>单位负责人签字：</w:t>
      </w:r>
      <w:r>
        <w:rPr>
          <w:rFonts w:hint="eastAsia" w:eastAsia="仿宋_GB2312"/>
          <w:sz w:val="24"/>
          <w:lang w:eastAsia="zh-CN"/>
        </w:rPr>
        <w:t>李述友</w:t>
      </w:r>
    </w:p>
    <w:p>
      <w:pPr>
        <w:widowControl/>
        <w:spacing w:line="400" w:lineRule="exact"/>
        <w:jc w:val="left"/>
        <w:rPr>
          <w:rFonts w:eastAsia="黑体"/>
          <w:sz w:val="32"/>
          <w:szCs w:val="32"/>
        </w:rPr>
      </w:pPr>
      <w:r>
        <w:rPr>
          <w:rFonts w:hint="eastAsia" w:eastAsia="黑体"/>
          <w:sz w:val="32"/>
          <w:szCs w:val="32"/>
          <w:lang w:eastAsia="zh-CN"/>
        </w:rPr>
        <w:t>附件</w:t>
      </w:r>
      <w:r>
        <w:rPr>
          <w:rFonts w:hint="eastAsia" w:eastAsia="黑体"/>
          <w:sz w:val="32"/>
          <w:szCs w:val="32"/>
        </w:rPr>
        <w:t>4-2</w:t>
      </w:r>
      <w:r>
        <w:rPr>
          <w:rFonts w:hint="eastAsia" w:eastAsia="黑体"/>
          <w:sz w:val="32"/>
          <w:szCs w:val="32"/>
          <w:lang w:eastAsia="zh-CN"/>
        </w:rPr>
        <w:t>（</w:t>
      </w:r>
      <w:r>
        <w:rPr>
          <w:rFonts w:hint="eastAsia" w:eastAsia="黑体"/>
          <w:sz w:val="32"/>
          <w:szCs w:val="32"/>
          <w:lang w:val="en-US" w:eastAsia="zh-CN"/>
        </w:rPr>
        <w:t>3）</w:t>
      </w:r>
    </w:p>
    <w:tbl>
      <w:tblPr>
        <w:tblW w:w="99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8" w:hRule="atLeast"/>
          <w:jc w:val="center"/>
        </w:trPr>
        <w:tc>
          <w:tcPr>
            <w:tcW w:w="9999" w:type="dxa"/>
            <w:gridSpan w:val="9"/>
            <w:tcBorders>
              <w:top w:val="nil"/>
              <w:left w:val="nil"/>
              <w:bottom w:val="single" w:color="auto" w:sz="4" w:space="0"/>
              <w:right w:val="nil"/>
            </w:tcBorders>
            <w:textDirection w:val="lrTb"/>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textDirection w:val="lrTb"/>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textDirection w:val="lrTb"/>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村级运转经费及服务群众专项经费</w:t>
            </w: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盈口乡人民政府</w:t>
            </w:r>
          </w:p>
        </w:tc>
        <w:tc>
          <w:tcPr>
            <w:tcW w:w="1134" w:type="dxa"/>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80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65</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65</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65</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65</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15</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保障村级运转开支，有效服务群众</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及时拨付村级运转经费，推进村级工作开展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村级运转资金</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39</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39</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服务群众专项资金</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26</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26</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村级开支合理性</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开支合理</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合理</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及时拨付</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及时</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及时</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服务群众覆盖面</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全覆盖</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全覆盖</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村级工作持续性</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可持续</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可持续</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992" w:type="dxa"/>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黑体"/>
          <w:sz w:val="32"/>
          <w:szCs w:val="32"/>
        </w:rPr>
      </w:pPr>
      <w:r>
        <w:rPr>
          <w:rFonts w:eastAsia="仿宋_GB2312"/>
          <w:sz w:val="24"/>
        </w:rPr>
        <w:t>填表人：</w:t>
      </w:r>
      <w:r>
        <w:rPr>
          <w:rFonts w:hint="eastAsia" w:eastAsia="仿宋_GB2312"/>
          <w:sz w:val="24"/>
          <w:lang w:eastAsia="zh-CN"/>
        </w:rPr>
        <w:t>杨慧</w:t>
      </w:r>
      <w:r>
        <w:rPr>
          <w:rFonts w:eastAsia="仿宋_GB2312"/>
          <w:sz w:val="24"/>
        </w:rPr>
        <w:t xml:space="preserve">     填报日期：</w:t>
      </w:r>
      <w:r>
        <w:rPr>
          <w:rFonts w:hint="eastAsia" w:eastAsia="仿宋_GB2312"/>
          <w:sz w:val="24"/>
          <w:lang w:val="en-US" w:eastAsia="zh-CN"/>
        </w:rPr>
        <w:t>2020年9月17日</w:t>
      </w:r>
      <w:r>
        <w:rPr>
          <w:rFonts w:eastAsia="仿宋_GB2312"/>
          <w:sz w:val="24"/>
        </w:rPr>
        <w:t xml:space="preserve">        联系电话： </w:t>
      </w:r>
      <w:r>
        <w:rPr>
          <w:rFonts w:hint="eastAsia" w:eastAsia="仿宋_GB2312"/>
          <w:sz w:val="24"/>
          <w:lang w:val="en-US" w:eastAsia="zh-CN"/>
        </w:rPr>
        <w:t>18244859533</w:t>
      </w:r>
      <w:r>
        <w:rPr>
          <w:rFonts w:eastAsia="仿宋_GB2312"/>
          <w:sz w:val="24"/>
        </w:rPr>
        <w:t xml:space="preserve">      单位负责人签字：</w:t>
      </w:r>
      <w:r>
        <w:rPr>
          <w:rFonts w:hint="eastAsia" w:eastAsia="仿宋_GB2312"/>
          <w:sz w:val="24"/>
          <w:lang w:eastAsia="zh-CN"/>
        </w:rPr>
        <w:t>李述友</w:t>
      </w:r>
    </w:p>
    <w:p>
      <w:pPr>
        <w:widowControl/>
        <w:spacing w:line="400" w:lineRule="exact"/>
        <w:jc w:val="left"/>
        <w:rPr>
          <w:rFonts w:eastAsia="黑体"/>
          <w:sz w:val="32"/>
          <w:szCs w:val="32"/>
        </w:rPr>
      </w:pPr>
      <w:r>
        <w:rPr>
          <w:rFonts w:hint="eastAsia" w:eastAsia="黑体"/>
          <w:sz w:val="32"/>
          <w:szCs w:val="32"/>
          <w:lang w:eastAsia="zh-CN"/>
        </w:rPr>
        <w:t>附件</w:t>
      </w:r>
      <w:r>
        <w:rPr>
          <w:rFonts w:hint="eastAsia" w:eastAsia="黑体"/>
          <w:sz w:val="32"/>
          <w:szCs w:val="32"/>
        </w:rPr>
        <w:t>4-2</w:t>
      </w:r>
      <w:r>
        <w:rPr>
          <w:rFonts w:hint="eastAsia" w:eastAsia="黑体"/>
          <w:sz w:val="32"/>
          <w:szCs w:val="32"/>
          <w:lang w:eastAsia="zh-CN"/>
        </w:rPr>
        <w:t>（</w:t>
      </w:r>
      <w:r>
        <w:rPr>
          <w:rFonts w:hint="eastAsia" w:eastAsia="黑体"/>
          <w:sz w:val="32"/>
          <w:szCs w:val="32"/>
          <w:lang w:val="en-US" w:eastAsia="zh-CN"/>
        </w:rPr>
        <w:t>4）</w:t>
      </w:r>
    </w:p>
    <w:tbl>
      <w:tblPr>
        <w:tblW w:w="99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992"/>
        <w:gridCol w:w="1261"/>
        <w:gridCol w:w="64"/>
        <w:gridCol w:w="1227"/>
        <w:gridCol w:w="1173"/>
        <w:gridCol w:w="1118"/>
        <w:gridCol w:w="96"/>
        <w:gridCol w:w="642"/>
        <w:gridCol w:w="873"/>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jc w:val="center"/>
        </w:trPr>
        <w:tc>
          <w:tcPr>
            <w:tcW w:w="9999" w:type="dxa"/>
            <w:gridSpan w:val="11"/>
            <w:tcBorders>
              <w:top w:val="nil"/>
              <w:left w:val="nil"/>
              <w:bottom w:val="nil"/>
              <w:right w:val="nil"/>
            </w:tcBorders>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9999" w:type="dxa"/>
            <w:gridSpan w:val="11"/>
            <w:tcBorders>
              <w:top w:val="nil"/>
              <w:left w:val="nil"/>
              <w:bottom w:val="single" w:color="auto" w:sz="4" w:space="0"/>
              <w:right w:val="nil"/>
            </w:tcBorders>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3"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10"/>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在职及离任村干部工资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17" w:type="dxa"/>
            <w:gridSpan w:val="5"/>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盈口乡人民政府</w:t>
            </w:r>
          </w:p>
        </w:tc>
        <w:tc>
          <w:tcPr>
            <w:tcW w:w="1214" w:type="dxa"/>
            <w:gridSpan w:val="2"/>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33" w:type="dxa"/>
            <w:gridSpan w:val="3"/>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1"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14" w:type="dxa"/>
            <w:gridSpan w:val="2"/>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全年执行数</w:t>
            </w:r>
          </w:p>
        </w:tc>
        <w:tc>
          <w:tcPr>
            <w:tcW w:w="642"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91"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261</w:t>
            </w:r>
          </w:p>
        </w:tc>
        <w:tc>
          <w:tcPr>
            <w:tcW w:w="11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 xml:space="preserve"> 206.64</w:t>
            </w:r>
          </w:p>
        </w:tc>
        <w:tc>
          <w:tcPr>
            <w:tcW w:w="1214"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206.64</w:t>
            </w:r>
          </w:p>
        </w:tc>
        <w:tc>
          <w:tcPr>
            <w:tcW w:w="642"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91" w:type="dxa"/>
            <w:gridSpan w:val="2"/>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261</w:t>
            </w:r>
          </w:p>
        </w:tc>
        <w:tc>
          <w:tcPr>
            <w:tcW w:w="1173" w:type="dxa"/>
            <w:tcBorders>
              <w:top w:val="nil"/>
              <w:left w:val="nil"/>
              <w:bottom w:val="single" w:color="auto" w:sz="4" w:space="0"/>
              <w:right w:val="single" w:color="auto" w:sz="4" w:space="0"/>
            </w:tcBorders>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206.64</w:t>
            </w:r>
          </w:p>
        </w:tc>
        <w:tc>
          <w:tcPr>
            <w:tcW w:w="1214" w:type="dxa"/>
            <w:gridSpan w:val="2"/>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206.64</w:t>
            </w:r>
          </w:p>
        </w:tc>
        <w:tc>
          <w:tcPr>
            <w:tcW w:w="642"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91" w:type="dxa"/>
            <w:gridSpan w:val="2"/>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173"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214" w:type="dxa"/>
            <w:gridSpan w:val="2"/>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642"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91"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42"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17" w:type="dxa"/>
            <w:gridSpan w:val="5"/>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47" w:type="dxa"/>
            <w:gridSpan w:val="5"/>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1"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717" w:type="dxa"/>
            <w:gridSpan w:val="5"/>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及时足额发放村干及离干工资</w:t>
            </w:r>
          </w:p>
        </w:tc>
        <w:tc>
          <w:tcPr>
            <w:tcW w:w="4147" w:type="dxa"/>
            <w:gridSpan w:val="5"/>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按月发放村干工资，半年发放离干工资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325"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7"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1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8"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325" w:type="dxa"/>
            <w:gridSpan w:val="2"/>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7"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村干工资金额</w:t>
            </w:r>
          </w:p>
        </w:tc>
        <w:tc>
          <w:tcPr>
            <w:tcW w:w="11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169.21</w:t>
            </w:r>
          </w:p>
        </w:tc>
        <w:tc>
          <w:tcPr>
            <w:tcW w:w="11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169.21</w:t>
            </w:r>
          </w:p>
        </w:tc>
        <w:tc>
          <w:tcPr>
            <w:tcW w:w="73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325" w:type="dxa"/>
            <w:gridSpan w:val="2"/>
            <w:vMerge w:val="continue"/>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227"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离任村干工资金额</w:t>
            </w:r>
          </w:p>
        </w:tc>
        <w:tc>
          <w:tcPr>
            <w:tcW w:w="11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37.43</w:t>
            </w:r>
          </w:p>
        </w:tc>
        <w:tc>
          <w:tcPr>
            <w:tcW w:w="11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37.43</w:t>
            </w:r>
          </w:p>
        </w:tc>
        <w:tc>
          <w:tcPr>
            <w:tcW w:w="73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325"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7"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足额发放</w:t>
            </w:r>
          </w:p>
        </w:tc>
        <w:tc>
          <w:tcPr>
            <w:tcW w:w="11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3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bookmarkStart w:id="0" w:name="_GoBack"/>
            <w:bookmarkEnd w:id="0"/>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325"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7"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及时性</w:t>
            </w:r>
          </w:p>
        </w:tc>
        <w:tc>
          <w:tcPr>
            <w:tcW w:w="11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及时</w:t>
            </w:r>
          </w:p>
        </w:tc>
        <w:tc>
          <w:tcPr>
            <w:tcW w:w="11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按月、半年发放</w:t>
            </w:r>
          </w:p>
        </w:tc>
        <w:tc>
          <w:tcPr>
            <w:tcW w:w="73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325"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7"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325"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7"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325"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7"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受益人数</w:t>
            </w:r>
          </w:p>
        </w:tc>
        <w:tc>
          <w:tcPr>
            <w:tcW w:w="11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215</w:t>
            </w:r>
          </w:p>
        </w:tc>
        <w:tc>
          <w:tcPr>
            <w:tcW w:w="11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215</w:t>
            </w:r>
          </w:p>
        </w:tc>
        <w:tc>
          <w:tcPr>
            <w:tcW w:w="738" w:type="dxa"/>
            <w:gridSpan w:val="2"/>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325"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7"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8"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325"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7"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8"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61" w:hRule="atLeast"/>
          <w:jc w:val="center"/>
        </w:trPr>
        <w:tc>
          <w:tcPr>
            <w:tcW w:w="1135"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992" w:type="dxa"/>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325" w:type="dxa"/>
            <w:gridSpan w:val="2"/>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7" w:type="dxa"/>
            <w:tcBorders>
              <w:top w:val="nil"/>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村干满意度</w:t>
            </w:r>
          </w:p>
        </w:tc>
        <w:tc>
          <w:tcPr>
            <w:tcW w:w="11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38"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6970" w:type="dxa"/>
            <w:gridSpan w:val="7"/>
            <w:tcBorders>
              <w:top w:val="single" w:color="auto" w:sz="4" w:space="0"/>
              <w:left w:val="single" w:color="auto" w:sz="4" w:space="0"/>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8" w:type="dxa"/>
            <w:gridSpan w:val="2"/>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杨慧</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填报日期：</w:t>
      </w:r>
      <w:r>
        <w:rPr>
          <w:rFonts w:hint="eastAsia" w:eastAsia="仿宋_GB2312"/>
          <w:sz w:val="24"/>
          <w:lang w:val="en-US" w:eastAsia="zh-CN"/>
        </w:rPr>
        <w:t>18244859533</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w:t>
      </w:r>
      <w:r>
        <w:rPr>
          <w:rFonts w:hint="eastAsia" w:eastAsia="仿宋_GB2312"/>
          <w:sz w:val="24"/>
          <w:lang w:val="en-US" w:eastAsia="zh-CN"/>
        </w:rPr>
        <w:t xml:space="preserve"> </w:t>
      </w:r>
      <w:r>
        <w:rPr>
          <w:rFonts w:eastAsia="仿宋_GB2312"/>
          <w:sz w:val="24"/>
        </w:rPr>
        <w:t>联系电话：</w:t>
      </w:r>
      <w:r>
        <w:rPr>
          <w:rFonts w:hint="eastAsia" w:eastAsia="仿宋_GB2312"/>
          <w:sz w:val="24"/>
          <w:lang w:val="en-US" w:eastAsia="zh-CN"/>
        </w:rPr>
        <w:t>18244859533</w:t>
      </w:r>
      <w:r>
        <w:rPr>
          <w:rFonts w:eastAsia="仿宋_GB2312"/>
          <w:sz w:val="24"/>
        </w:rPr>
        <w:t xml:space="preserve">      </w:t>
      </w:r>
    </w:p>
    <w:p>
      <w:pPr>
        <w:spacing w:beforeLines="50" w:line="320" w:lineRule="exact"/>
        <w:rPr>
          <w:rFonts w:eastAsia="仿宋_GB2312"/>
          <w:sz w:val="24"/>
        </w:rPr>
      </w:pPr>
      <w:r>
        <w:rPr>
          <w:rFonts w:eastAsia="仿宋_GB2312"/>
          <w:sz w:val="24"/>
        </w:rPr>
        <w:t>单位负责人签字：</w:t>
      </w:r>
      <w:r>
        <w:rPr>
          <w:rFonts w:hint="eastAsia" w:eastAsia="仿宋_GB2312"/>
          <w:sz w:val="24"/>
          <w:lang w:eastAsia="zh-CN"/>
        </w:rPr>
        <w:t>李述友</w:t>
      </w:r>
    </w:p>
    <w:p>
      <w:pPr>
        <w:widowControl/>
        <w:spacing w:line="400" w:lineRule="exact"/>
        <w:jc w:val="left"/>
        <w:rPr>
          <w:rFonts w:hint="eastAsia" w:eastAsia="黑体"/>
          <w:sz w:val="32"/>
          <w:szCs w:val="32"/>
          <w:lang w:eastAsia="zh-CN"/>
        </w:rPr>
      </w:pPr>
    </w:p>
    <w:p>
      <w:pPr>
        <w:widowControl/>
        <w:spacing w:line="400" w:lineRule="exact"/>
        <w:jc w:val="left"/>
        <w:rPr>
          <w:rFonts w:eastAsia="黑体"/>
          <w:sz w:val="32"/>
          <w:szCs w:val="32"/>
        </w:rPr>
      </w:pPr>
      <w:r>
        <w:rPr>
          <w:rFonts w:hint="eastAsia" w:eastAsia="黑体"/>
          <w:sz w:val="32"/>
          <w:szCs w:val="32"/>
          <w:lang w:eastAsia="zh-CN"/>
        </w:rPr>
        <w:t>附件</w:t>
      </w:r>
      <w:r>
        <w:rPr>
          <w:rFonts w:hint="eastAsia" w:eastAsia="黑体"/>
          <w:sz w:val="32"/>
          <w:szCs w:val="32"/>
        </w:rPr>
        <w:t>4-2</w:t>
      </w:r>
      <w:r>
        <w:rPr>
          <w:rFonts w:hint="eastAsia" w:eastAsia="黑体"/>
          <w:sz w:val="32"/>
          <w:szCs w:val="32"/>
          <w:lang w:eastAsia="zh-CN"/>
        </w:rPr>
        <w:t>（</w:t>
      </w:r>
      <w:r>
        <w:rPr>
          <w:rFonts w:hint="eastAsia" w:eastAsia="黑体"/>
          <w:sz w:val="32"/>
          <w:szCs w:val="32"/>
          <w:lang w:val="en-US" w:eastAsia="zh-CN"/>
        </w:rPr>
        <w:t>5）</w:t>
      </w:r>
    </w:p>
    <w:tbl>
      <w:tblPr>
        <w:tblW w:w="99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创卫项目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盈口乡人民政府</w:t>
            </w:r>
          </w:p>
        </w:tc>
        <w:tc>
          <w:tcPr>
            <w:tcW w:w="1134" w:type="dxa"/>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vAlign w:val="top"/>
          </w:tcPr>
          <w:p>
            <w:pPr>
              <w:spacing w:line="320" w:lineRule="exact"/>
              <w:rPr>
                <w:rFonts w:eastAsia="仿宋_GB2312"/>
                <w:szCs w:val="21"/>
              </w:rPr>
            </w:pPr>
            <w:r>
              <w:rPr>
                <w:rFonts w:eastAsia="仿宋_GB2312"/>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40</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11</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 xml:space="preserve">   11</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hint="eastAsia" w:eastAsia="仿宋_GB2312"/>
                <w:color w:val="000000"/>
                <w:kern w:val="0"/>
                <w:szCs w:val="21"/>
                <w:lang w:val="en-US" w:eastAsia="zh-CN"/>
              </w:rPr>
            </w:pP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hint="eastAsia" w:eastAsia="仿宋_GB2312"/>
                <w:color w:val="000000"/>
                <w:kern w:val="0"/>
                <w:szCs w:val="21"/>
                <w:lang w:val="en-US" w:eastAsia="zh-CN"/>
              </w:rPr>
            </w:pP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hint="eastAsia" w:eastAsia="仿宋_GB2312"/>
                <w:color w:val="000000"/>
                <w:kern w:val="0"/>
                <w:szCs w:val="21"/>
                <w:lang w:val="en-US" w:eastAsia="zh-CN"/>
              </w:rPr>
            </w:pP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vAlign w:val="center"/>
          </w:tcPr>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 xml:space="preserve">   10</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 xml:space="preserve">    30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 xml:space="preserve">   1</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提高城乡生态环境水平和人民群众健康水平</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营造了良好乡村环境，提高村民健康水平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垃圾堆积</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减少</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减少</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生活垃圾定点存放清运率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生活垃圾无害化处理率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生活垃圾及时处理率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保洁员工资</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7.3</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7.3</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商业环境</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改善</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改善</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 xml:space="preserve">  7.5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7.5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城市清洁度</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提高</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提高</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7.5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7.5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卫生水平</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提高</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提高</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7.5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7.5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宣传政策知晓率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7.5</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7.5</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群众满意度</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杨慧</w:t>
      </w:r>
      <w:r>
        <w:rPr>
          <w:rFonts w:eastAsia="仿宋_GB2312"/>
          <w:sz w:val="24"/>
        </w:rPr>
        <w:t xml:space="preserve">      填报日期：</w:t>
      </w:r>
      <w:r>
        <w:rPr>
          <w:rFonts w:hint="eastAsia" w:eastAsia="仿宋_GB2312"/>
          <w:sz w:val="24"/>
          <w:lang w:val="en-US" w:eastAsia="zh-CN"/>
        </w:rPr>
        <w:t>2020年9月17日</w:t>
      </w:r>
      <w:r>
        <w:rPr>
          <w:rFonts w:eastAsia="仿宋_GB2312"/>
          <w:sz w:val="24"/>
        </w:rPr>
        <w:t xml:space="preserve">       联系电话：</w:t>
      </w:r>
      <w:r>
        <w:rPr>
          <w:rFonts w:hint="eastAsia" w:eastAsia="仿宋_GB2312"/>
          <w:sz w:val="24"/>
          <w:lang w:val="en-US" w:eastAsia="zh-CN"/>
        </w:rPr>
        <w:t>18244859533</w:t>
      </w:r>
      <w:r>
        <w:rPr>
          <w:rFonts w:eastAsia="仿宋_GB2312"/>
          <w:sz w:val="24"/>
        </w:rPr>
        <w:t xml:space="preserve">       单位负责人签字：</w:t>
      </w:r>
      <w:r>
        <w:rPr>
          <w:rFonts w:hint="eastAsia" w:eastAsia="仿宋_GB2312"/>
          <w:sz w:val="24"/>
          <w:lang w:eastAsia="zh-CN"/>
        </w:rPr>
        <w:t>李述友</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hint="eastAsia" w:eastAsia="仿宋_GB2312"/>
          <w:sz w:val="32"/>
          <w:szCs w:val="32"/>
          <w:lang w:val="en-US" w:eastAsia="zh-CN"/>
        </w:rPr>
      </w:pPr>
      <w:r>
        <w:rPr>
          <w:rFonts w:eastAsia="楷体_GB2312"/>
          <w:b/>
          <w:sz w:val="32"/>
          <w:szCs w:val="32"/>
        </w:rPr>
        <w:t>（一）预算支出概况。</w:t>
      </w:r>
      <w:r>
        <w:rPr>
          <w:rFonts w:hint="eastAsia" w:eastAsia="仿宋_GB2312"/>
          <w:sz w:val="32"/>
          <w:szCs w:val="32"/>
          <w:lang w:val="en-US" w:eastAsia="zh-CN"/>
        </w:rPr>
        <w:t>2019年盈口乡人民政府预算支出1725万元，其中人员支出789.39万元，公用经费支出541.61万元，项目支出394万元。</w:t>
      </w:r>
    </w:p>
    <w:p>
      <w:pPr>
        <w:spacing w:line="600" w:lineRule="exact"/>
        <w:ind w:firstLine="643" w:firstLineChars="200"/>
        <w:rPr>
          <w:rFonts w:hint="eastAsia" w:eastAsia="仿宋_GB2312"/>
          <w:sz w:val="32"/>
          <w:szCs w:val="32"/>
          <w:lang w:eastAsia="zh-CN"/>
        </w:rPr>
      </w:pPr>
      <w:r>
        <w:rPr>
          <w:rFonts w:eastAsia="楷体_GB2312"/>
          <w:b/>
          <w:sz w:val="32"/>
          <w:szCs w:val="32"/>
        </w:rPr>
        <w:t>（二）预算资金使用管理情况。</w:t>
      </w:r>
      <w:r>
        <w:rPr>
          <w:rFonts w:hint="eastAsia" w:eastAsia="仿宋_GB2312"/>
          <w:sz w:val="32"/>
          <w:szCs w:val="32"/>
          <w:lang w:eastAsia="zh-CN"/>
        </w:rPr>
        <w:t>我乡严格按照年初预算执行。在收到财政下达的各类款项后，按照资金用途，依据预算执行计划，及时拨付各项资金。</w:t>
      </w:r>
    </w:p>
    <w:p>
      <w:pPr>
        <w:spacing w:line="600" w:lineRule="exact"/>
        <w:ind w:firstLine="643" w:firstLineChars="200"/>
        <w:rPr>
          <w:rFonts w:hint="eastAsia" w:eastAsia="仿宋_GB2312"/>
          <w:sz w:val="32"/>
          <w:szCs w:val="32"/>
          <w:lang w:val="en-US" w:eastAsia="zh-CN"/>
        </w:rPr>
      </w:pPr>
      <w:r>
        <w:rPr>
          <w:rFonts w:hint="eastAsia" w:eastAsia="仿宋_GB2312"/>
          <w:sz w:val="32"/>
          <w:szCs w:val="32"/>
          <w:lang w:val="en-US" w:eastAsia="zh-CN"/>
        </w:rPr>
        <w:t>针对项目资金，从源头入手，落实责任，完善制度，合理使用，加强监管，注重宣传，确保项目资金的管理使用高效率。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pPr>
        <w:spacing w:line="600" w:lineRule="exact"/>
        <w:ind w:firstLine="643" w:firstLineChars="200"/>
        <w:rPr>
          <w:rFonts w:eastAsia="仿宋_GB2312"/>
          <w:sz w:val="32"/>
          <w:szCs w:val="32"/>
          <w:lang w:val="en-US"/>
        </w:rPr>
      </w:pPr>
      <w:r>
        <w:rPr>
          <w:rFonts w:eastAsia="楷体_GB2312"/>
          <w:b/>
          <w:sz w:val="32"/>
          <w:szCs w:val="32"/>
        </w:rPr>
        <w:t>（三）预算支出绩效目标完成程度。</w:t>
      </w:r>
      <w:r>
        <w:rPr>
          <w:rFonts w:hint="eastAsia" w:eastAsia="仿宋_GB2312"/>
          <w:sz w:val="32"/>
          <w:szCs w:val="32"/>
          <w:lang w:val="en-US" w:eastAsia="zh-CN"/>
        </w:rPr>
        <w:t>2019年年初预算数为1725万元，通过对预算资金合理安排和使用，保障了我乡各项工作的顺利开展，服务了全乡村民。</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3" w:firstLineChars="200"/>
        <w:rPr>
          <w:rFonts w:hint="eastAsia" w:eastAsia="仿宋_GB2312"/>
          <w:sz w:val="32"/>
          <w:szCs w:val="32"/>
          <w:lang w:val="en-US" w:eastAsia="zh-CN"/>
        </w:rPr>
      </w:pPr>
      <w:r>
        <w:rPr>
          <w:rFonts w:hint="eastAsia" w:eastAsia="仿宋_GB2312"/>
          <w:sz w:val="32"/>
          <w:szCs w:val="32"/>
          <w:lang w:val="en-US" w:eastAsia="zh-CN"/>
        </w:rPr>
        <w:t>我乡在预算执行和支出绩效方面，按照规定严格执行，合理安排支出，使财政资金发挥最大效益。</w:t>
      </w:r>
    </w:p>
    <w:p>
      <w:pPr>
        <w:numPr>
          <w:ilvl w:val="0"/>
          <w:numId w:val="9"/>
        </w:numPr>
        <w:spacing w:line="600" w:lineRule="exact"/>
        <w:ind w:firstLine="640" w:firstLineChars="200"/>
        <w:rPr>
          <w:rFonts w:eastAsia="黑体"/>
          <w:sz w:val="32"/>
          <w:szCs w:val="32"/>
        </w:rPr>
      </w:pPr>
      <w:r>
        <w:rPr>
          <w:rFonts w:eastAsia="黑体"/>
          <w:sz w:val="32"/>
          <w:szCs w:val="32"/>
        </w:rPr>
        <w:t>预算支出主要绩效及评价结论</w:t>
      </w:r>
    </w:p>
    <w:p>
      <w:pPr>
        <w:numPr>
          <w:numId w:val="0"/>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我乡2019年的基本支出，保障了工作人员的基本工资，确保了基础性工作的运转。</w:t>
      </w:r>
    </w:p>
    <w:p>
      <w:pPr>
        <w:numPr>
          <w:numId w:val="0"/>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项目支出中，人大运行经费提高了人大的履职能力；综治维稳经费创建了和谐平安的环境；村级办公经费及服务群众专项资金有效推动了村级工作的基础性开展；村干工资为村级力量提供了保障；创卫经费营造了清洁美丽的城乡环境。</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numPr>
          <w:numId w:val="0"/>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按照年初预算绩效目标，合理安排资金的使用。</w:t>
      </w:r>
    </w:p>
    <w:p>
      <w:pPr>
        <w:numPr>
          <w:ilvl w:val="0"/>
          <w:numId w:val="10"/>
        </w:numPr>
        <w:spacing w:line="600" w:lineRule="exact"/>
        <w:ind w:firstLine="643" w:firstLineChars="200"/>
        <w:rPr>
          <w:rFonts w:eastAsia="楷体_GB2312"/>
          <w:b/>
          <w:sz w:val="32"/>
          <w:szCs w:val="32"/>
        </w:rPr>
      </w:pPr>
      <w:r>
        <w:rPr>
          <w:rFonts w:eastAsia="楷体_GB2312"/>
          <w:b/>
          <w:sz w:val="32"/>
          <w:szCs w:val="32"/>
        </w:rPr>
        <w:t>预算执行过程情况</w:t>
      </w:r>
    </w:p>
    <w:p>
      <w:pPr>
        <w:numPr>
          <w:numId w:val="0"/>
        </w:numPr>
        <w:spacing w:line="600" w:lineRule="exact"/>
        <w:rPr>
          <w:rFonts w:hint="eastAsia" w:eastAsia="楷体_GB2312"/>
          <w:b/>
          <w:sz w:val="32"/>
          <w:szCs w:val="32"/>
          <w:lang w:val="en-US" w:eastAsia="zh-CN"/>
        </w:rPr>
      </w:pPr>
      <w:r>
        <w:rPr>
          <w:rFonts w:hint="eastAsia" w:eastAsia="楷体_GB2312"/>
          <w:b/>
          <w:sz w:val="32"/>
          <w:szCs w:val="32"/>
          <w:lang w:val="en-US" w:eastAsia="zh-CN"/>
        </w:rPr>
        <w:t xml:space="preserve">    </w:t>
      </w:r>
      <w:r>
        <w:rPr>
          <w:rFonts w:hint="eastAsia" w:eastAsia="仿宋_GB2312"/>
          <w:sz w:val="32"/>
          <w:szCs w:val="32"/>
          <w:lang w:val="en-US" w:eastAsia="zh-CN"/>
        </w:rPr>
        <w:t>严格按照资金用途，在预算资金范围内合理支出，强化监督。</w:t>
      </w:r>
    </w:p>
    <w:p>
      <w:pPr>
        <w:numPr>
          <w:ilvl w:val="0"/>
          <w:numId w:val="11"/>
        </w:numPr>
        <w:spacing w:line="600" w:lineRule="exact"/>
        <w:ind w:firstLine="643" w:firstLineChars="200"/>
        <w:rPr>
          <w:rFonts w:eastAsia="楷体_GB2312"/>
          <w:b/>
          <w:sz w:val="32"/>
          <w:szCs w:val="32"/>
        </w:rPr>
      </w:pPr>
      <w:r>
        <w:rPr>
          <w:rFonts w:eastAsia="楷体_GB2312"/>
          <w:b/>
          <w:sz w:val="32"/>
          <w:szCs w:val="32"/>
        </w:rPr>
        <w:t>预算支出产出情况</w:t>
      </w:r>
    </w:p>
    <w:p>
      <w:pPr>
        <w:numPr>
          <w:numId w:val="0"/>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通过合理支出，各项资金均取得了一定的产出。基本支出保障乡镇基本工作运行。项目支出中，人大运行经费支持了村级人大服务平台建设，举行了人大会议；综治维稳经费化解了邻里矛盾；村级办公经费及服务群众专项资金为村务工作提供资金支持；村干工资为村干提供补助；创卫项目使垃圾及时清理。</w:t>
      </w:r>
    </w:p>
    <w:p>
      <w:pPr>
        <w:numPr>
          <w:ilvl w:val="0"/>
          <w:numId w:val="12"/>
        </w:numPr>
        <w:spacing w:line="600" w:lineRule="exact"/>
        <w:ind w:firstLine="643" w:firstLineChars="200"/>
        <w:rPr>
          <w:rFonts w:eastAsia="楷体_GB2312"/>
          <w:b/>
          <w:sz w:val="32"/>
          <w:szCs w:val="32"/>
        </w:rPr>
      </w:pPr>
      <w:r>
        <w:rPr>
          <w:rFonts w:eastAsia="楷体_GB2312"/>
          <w:b/>
          <w:sz w:val="32"/>
          <w:szCs w:val="32"/>
        </w:rPr>
        <w:t>预算支出效益情况</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通过对预算资金的合理安排、使用，我乡基本完成了年初绩效目标，通过乡村两级的共同努力，创造了和谐、美丽的城乡环境。</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主要经验及做法：严格遵循财务制度，基本做到专款专用，严格资金审批程序，确保了项目质量，财政资金的安全。</w:t>
      </w:r>
    </w:p>
    <w:p>
      <w:pPr>
        <w:widowControl/>
        <w:spacing w:before="42" w:beforeAutospacing="0" w:after="42" w:afterAutospacing="0" w:line="360" w:lineRule="auto"/>
        <w:ind w:left="0" w:right="0" w:firstLine="570"/>
        <w:jc w:val="left"/>
        <w:rPr>
          <w:rFonts w:hint="eastAsia" w:eastAsia="仿宋_GB2312"/>
          <w:sz w:val="32"/>
          <w:szCs w:val="32"/>
        </w:rPr>
      </w:pPr>
      <w:r>
        <w:rPr>
          <w:rFonts w:hint="eastAsia" w:eastAsia="仿宋_GB2312"/>
          <w:sz w:val="32"/>
          <w:szCs w:val="32"/>
          <w:lang w:val="en-US" w:eastAsia="zh-CN"/>
        </w:rPr>
        <w:t>存在的问题：1、预算执行存在偏差；</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 xml:space="preserve">            2、固定资产管理水平有待进一步提高 。  </w:t>
      </w:r>
    </w:p>
    <w:p>
      <w:pPr>
        <w:numPr>
          <w:ilvl w:val="0"/>
          <w:numId w:val="13"/>
        </w:numPr>
        <w:spacing w:line="600" w:lineRule="exact"/>
        <w:ind w:firstLine="640" w:firstLineChars="200"/>
        <w:rPr>
          <w:rFonts w:eastAsia="黑体"/>
          <w:sz w:val="32"/>
          <w:szCs w:val="32"/>
        </w:rPr>
      </w:pPr>
      <w:r>
        <w:rPr>
          <w:rFonts w:eastAsia="黑体"/>
          <w:sz w:val="32"/>
          <w:szCs w:val="32"/>
        </w:rPr>
        <w:t>有关建议</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1、科学合理编制预算，严格执行预算。按照新《预算法》及其实施条例的相关规定，按本部门的发展规划，结合上一年度预算执行情况和本年度预算收支变化因素，科学合理的编制本年度预算方案，避免预算支出与实际执行出现较大偏差情况。</w:t>
      </w:r>
    </w:p>
    <w:p>
      <w:pPr>
        <w:widowControl/>
        <w:spacing w:before="42" w:beforeAutospacing="0" w:after="42" w:afterAutospacing="0" w:line="360" w:lineRule="auto"/>
        <w:ind w:left="0" w:right="0" w:firstLine="570"/>
        <w:jc w:val="left"/>
        <w:rPr>
          <w:rFonts w:hint="eastAsia" w:eastAsia="仿宋_GB2312"/>
          <w:sz w:val="32"/>
          <w:szCs w:val="32"/>
          <w:lang w:val="en-US" w:eastAsia="zh-CN"/>
        </w:rPr>
      </w:pPr>
      <w:r>
        <w:rPr>
          <w:rFonts w:hint="eastAsia" w:eastAsia="仿宋_GB2312"/>
          <w:sz w:val="32"/>
          <w:szCs w:val="32"/>
          <w:lang w:val="en-US" w:eastAsia="zh-CN"/>
        </w:rPr>
        <w:t>2、严格按照《固定资产管理办法》的规定加强固定资产管理，及时登记、加强资产卡片管理，年终前对各类实物资产进行全面盘点，确保账账、账实相符。</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r>
        <w:rPr>
          <w:rFonts w:eastAsia="仿宋_GB2312"/>
          <w:sz w:val="32"/>
          <w:szCs w:val="32"/>
        </w:rPr>
        <w:t xml:space="preserve">  </w:t>
      </w:r>
      <w:r>
        <w:rPr>
          <w:rFonts w:hint="eastAsia" w:eastAsia="仿宋_GB2312"/>
          <w:sz w:val="32"/>
          <w:szCs w:val="32"/>
          <w:lang w:val="en-US" w:eastAsia="zh-CN"/>
        </w:rPr>
        <w:t xml:space="preserve">    </w:t>
      </w:r>
      <w:r>
        <w:rPr>
          <w:rFonts w:hint="eastAsia" w:eastAsia="仿宋_GB2312"/>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altName w:val="微软雅黑"/>
    <w:panose1 w:val="020F0502020204030204"/>
    <w:charset w:val="00"/>
    <w:family w:val="auto"/>
    <w:pitch w:val="default"/>
    <w:sig w:usb0="E10002FF" w:usb1="4000ACFF" w:usb2="00000009" w:usb3="00000000" w:csb0="2000019F" w:csb1="00000000"/>
  </w:font>
  <w:font w:name="仿宋">
    <w:altName w:val="仿宋_GB2312"/>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287" w:usb1="080F0000" w:usb2="00000010" w:usb3="00000000" w:csb0="0004009F" w:csb1="00000000"/>
  </w:font>
  <w:font w:name="Cambria">
    <w:altName w:val="Palatino Linotype"/>
    <w:panose1 w:val="02040503050406030204"/>
    <w:charset w:val="00"/>
    <w:family w:val="auto"/>
    <w:pitch w:val="default"/>
    <w:sig w:usb0="E00006FF" w:usb1="420024FF" w:usb2="02000000" w:usb3="00000000" w:csb0="0000019F" w:csb1="0000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Calibri" w:hAnsi="Calibri" w:eastAsia="宋体" w:cs="黑体"/>
        <w:kern w:val="2"/>
        <w:sz w:val="18"/>
        <w:szCs w:val="18"/>
        <w:lang w:val="en-US" w:eastAsia="zh-CN" w:bidi="ar-SA"/>
      </w:rPr>
      <w:pict>
        <v:shape id="文本框1"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603533472">
    <w:nsid w:val="23F930A0"/>
    <w:multiLevelType w:val="multilevel"/>
    <w:tmpl w:val="23F930A0"/>
    <w:lvl w:ilvl="0" w:tentative="1">
      <w:start w:val="1"/>
      <w:numFmt w:val="decimalEnclosedCircle"/>
      <w:lvlText w:val="%1"/>
      <w:lvlJc w:val="left"/>
      <w:pPr>
        <w:ind w:left="465" w:hanging="360"/>
      </w:pPr>
      <w:rPr>
        <w:rFonts w:hint="default" w:hAnsi="宋体" w:cs="宋体"/>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596955075">
    <w:nsid w:val="5F2F99C3"/>
    <w:multiLevelType w:val="singleLevel"/>
    <w:tmpl w:val="5F2F99C3"/>
    <w:lvl w:ilvl="0" w:tentative="1">
      <w:start w:val="5"/>
      <w:numFmt w:val="chineseCounting"/>
      <w:suff w:val="nothing"/>
      <w:lvlText w:val="%1、"/>
      <w:lvlJc w:val="left"/>
    </w:lvl>
  </w:abstractNum>
  <w:abstractNum w:abstractNumId="1596955041">
    <w:nsid w:val="5F2F99A1"/>
    <w:multiLevelType w:val="singleLevel"/>
    <w:tmpl w:val="5F2F99A1"/>
    <w:lvl w:ilvl="0" w:tentative="1">
      <w:start w:val="4"/>
      <w:numFmt w:val="chineseCounting"/>
      <w:suff w:val="nothing"/>
      <w:lvlText w:val="%1、"/>
      <w:lvlJc w:val="left"/>
    </w:lvl>
  </w:abstractNum>
  <w:abstractNum w:abstractNumId="2002200826">
    <w:nsid w:val="775728FA"/>
    <w:multiLevelType w:val="multilevel"/>
    <w:tmpl w:val="775728FA"/>
    <w:lvl w:ilvl="0" w:tentative="1">
      <w:start w:val="1"/>
      <w:numFmt w:val="decimalEnclosedCircle"/>
      <w:lvlText w:val="%1"/>
      <w:lvlJc w:val="left"/>
      <w:pPr>
        <w:ind w:left="465" w:hanging="360"/>
      </w:pPr>
      <w:rPr>
        <w:rFonts w:hint="default" w:hAnsi="宋体" w:cs="宋体"/>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162695720">
    <w:nsid w:val="454D5428"/>
    <w:multiLevelType w:val="multilevel"/>
    <w:tmpl w:val="454D5428"/>
    <w:lvl w:ilvl="0" w:tentative="1">
      <w:start w:val="1"/>
      <w:numFmt w:val="decimalEnclosedCircle"/>
      <w:lvlText w:val="%1"/>
      <w:lvlJc w:val="left"/>
      <w:pPr>
        <w:ind w:left="465" w:hanging="360"/>
      </w:pPr>
      <w:rPr>
        <w:rFonts w:hint="default" w:hAnsi="宋体" w:cs="宋体"/>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531606221">
    <w:nsid w:val="5B4A74CD"/>
    <w:multiLevelType w:val="multilevel"/>
    <w:tmpl w:val="5B4A74CD"/>
    <w:lvl w:ilvl="0" w:tentative="1">
      <w:start w:val="1"/>
      <w:numFmt w:val="decimalEnclosedCircle"/>
      <w:lvlText w:val="%1"/>
      <w:lvlJc w:val="left"/>
      <w:pPr>
        <w:ind w:left="465" w:hanging="360"/>
      </w:pPr>
      <w:rPr>
        <w:rFonts w:hint="default" w:hAnsi="宋体" w:cs="宋体"/>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596954851">
    <w:nsid w:val="5F2F98E3"/>
    <w:multiLevelType w:val="singleLevel"/>
    <w:tmpl w:val="5F2F98E3"/>
    <w:lvl w:ilvl="0" w:tentative="1">
      <w:start w:val="1"/>
      <w:numFmt w:val="chineseCounting"/>
      <w:suff w:val="nothing"/>
      <w:lvlText w:val="%1、"/>
      <w:lvlJc w:val="left"/>
    </w:lvl>
  </w:abstractNum>
  <w:abstractNum w:abstractNumId="1596955000">
    <w:nsid w:val="5F2F9978"/>
    <w:multiLevelType w:val="singleLevel"/>
    <w:tmpl w:val="5F2F9978"/>
    <w:lvl w:ilvl="0" w:tentative="1">
      <w:start w:val="3"/>
      <w:numFmt w:val="chineseCounting"/>
      <w:suff w:val="nothing"/>
      <w:lvlText w:val="%1、"/>
      <w:lvlJc w:val="left"/>
    </w:lvl>
  </w:abstractNum>
  <w:abstractNum w:abstractNumId="1580709711">
    <w:nsid w:val="5E37B74F"/>
    <w:multiLevelType w:val="singleLevel"/>
    <w:tmpl w:val="5E37B74F"/>
    <w:lvl w:ilvl="0" w:tentative="1">
      <w:start w:val="6"/>
      <w:numFmt w:val="chineseCounting"/>
      <w:suff w:val="nothing"/>
      <w:lvlText w:val="%1、"/>
      <w:lvlJc w:val="left"/>
    </w:lvl>
  </w:abstractNum>
  <w:abstractNum w:abstractNumId="1580710206">
    <w:nsid w:val="5E37B93E"/>
    <w:multiLevelType w:val="singleLevel"/>
    <w:tmpl w:val="5E37B93E"/>
    <w:lvl w:ilvl="0" w:tentative="1">
      <w:start w:val="3"/>
      <w:numFmt w:val="chineseCounting"/>
      <w:suff w:val="nothing"/>
      <w:lvlText w:val="%1、"/>
      <w:lvlJc w:val="left"/>
    </w:lvl>
  </w:abstractNum>
  <w:abstractNum w:abstractNumId="1580710037">
    <w:nsid w:val="5E37B895"/>
    <w:multiLevelType w:val="singleLevel"/>
    <w:tmpl w:val="5E37B895"/>
    <w:lvl w:ilvl="0" w:tentative="1">
      <w:start w:val="2"/>
      <w:numFmt w:val="chineseCounting"/>
      <w:suff w:val="nothing"/>
      <w:lvlText w:val="（%1）"/>
      <w:lvlJc w:val="left"/>
    </w:lvl>
  </w:abstractNum>
  <w:abstractNum w:abstractNumId="1580710698">
    <w:nsid w:val="5E37BB2A"/>
    <w:multiLevelType w:val="singleLevel"/>
    <w:tmpl w:val="5E37BB2A"/>
    <w:lvl w:ilvl="0" w:tentative="1">
      <w:start w:val="3"/>
      <w:numFmt w:val="chineseCounting"/>
      <w:suff w:val="nothing"/>
      <w:lvlText w:val="（%1）"/>
      <w:lvlJc w:val="left"/>
    </w:lvl>
  </w:abstractNum>
  <w:abstractNum w:abstractNumId="1580711397">
    <w:nsid w:val="5E37BDE5"/>
    <w:multiLevelType w:val="singleLevel"/>
    <w:tmpl w:val="5E37BDE5"/>
    <w:lvl w:ilvl="0" w:tentative="1">
      <w:start w:val="4"/>
      <w:numFmt w:val="chineseCounting"/>
      <w:suff w:val="nothing"/>
      <w:lvlText w:val="（%1）"/>
      <w:lvlJc w:val="left"/>
    </w:lvl>
  </w:abstractNum>
  <w:num w:numId="1">
    <w:abstractNumId w:val="1596954851"/>
  </w:num>
  <w:num w:numId="2">
    <w:abstractNumId w:val="1596955000"/>
  </w:num>
  <w:num w:numId="3">
    <w:abstractNumId w:val="1596955041"/>
  </w:num>
  <w:num w:numId="4">
    <w:abstractNumId w:val="1596955075"/>
  </w:num>
  <w:num w:numId="5">
    <w:abstractNumId w:val="1162695720"/>
  </w:num>
  <w:num w:numId="6">
    <w:abstractNumId w:val="603533472"/>
  </w:num>
  <w:num w:numId="7">
    <w:abstractNumId w:val="2002200826"/>
  </w:num>
  <w:num w:numId="8">
    <w:abstractNumId w:val="1531606221"/>
  </w:num>
  <w:num w:numId="9">
    <w:abstractNumId w:val="1580710206"/>
  </w:num>
  <w:num w:numId="10">
    <w:abstractNumId w:val="1580710037"/>
  </w:num>
  <w:num w:numId="11">
    <w:abstractNumId w:val="1580710698"/>
  </w:num>
  <w:num w:numId="12">
    <w:abstractNumId w:val="1580711397"/>
  </w:num>
  <w:num w:numId="13">
    <w:abstractNumId w:val="15807097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Autospacing="0" w:after="330" w:afterAutospacing="0" w:line="576" w:lineRule="auto"/>
      <w:outlineLvl w:val="0"/>
    </w:pPr>
    <w:rPr>
      <w:b/>
      <w:kern w:val="44"/>
      <w:sz w:val="44"/>
    </w:rPr>
  </w:style>
  <w:style w:type="character" w:default="1" w:styleId="5">
    <w:name w:val="Default Paragraph Font"/>
    <w:semiHidden/>
    <w:unhideWhenUsed/>
    <w:uiPriority w:val="1"/>
  </w:style>
  <w:style w:type="paragraph" w:styleId="3">
    <w:name w:val="footer"/>
    <w:basedOn w:val="1"/>
    <w:link w:val="11"/>
    <w:semiHidden/>
    <w:unhideWhenUsed/>
    <w:uiPriority w:val="99"/>
    <w:pPr>
      <w:tabs>
        <w:tab w:val="center" w:pos="4153"/>
        <w:tab w:val="right" w:pos="8306"/>
      </w:tabs>
      <w:snapToGrid w:val="0"/>
      <w:jc w:val="left"/>
    </w:pPr>
    <w:rPr>
      <w:rFonts w:ascii="Calibri" w:hAnsi="Calibri" w:eastAsia="宋体" w:cs="黑体"/>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paragraph" w:customStyle="1" w:styleId="6">
    <w:name w:val="List Paragraph"/>
    <w:basedOn w:val="1"/>
    <w:qFormat/>
    <w:uiPriority w:val="99"/>
    <w:pPr>
      <w:ind w:firstLine="420" w:firstLineChars="200"/>
    </w:pPr>
    <w:rPr>
      <w:rFonts w:ascii="Calibri" w:hAnsi="Calibri"/>
      <w:szCs w:val="22"/>
    </w:rPr>
  </w:style>
  <w:style w:type="paragraph" w:customStyle="1" w:styleId="7">
    <w:name w:val="Default"/>
    <w:qFormat/>
    <w:uiPriority w:val="0"/>
    <w:pPr>
      <w:widowControl w:val="0"/>
      <w:autoSpaceDE w:val="0"/>
      <w:autoSpaceDN w:val="0"/>
      <w:adjustRightInd w:val="0"/>
    </w:pPr>
    <w:rPr>
      <w:rFonts w:ascii="黑体" w:hAnsi="Times New Roman" w:eastAsia="黑体" w:cs="黑体"/>
      <w:color w:val="000000"/>
      <w:kern w:val="0"/>
      <w:sz w:val="24"/>
      <w:szCs w:val="24"/>
      <w:lang w:val="en-US" w:eastAsia="zh-CN" w:bidi="ar-SA"/>
    </w:rPr>
  </w:style>
  <w:style w:type="paragraph" w:customStyle="1" w:styleId="8">
    <w:name w:val="1、"/>
    <w:basedOn w:val="1"/>
    <w:link w:val="12"/>
    <w:unhideWhenUsed/>
    <w:qFormat/>
    <w:uiPriority w:val="0"/>
    <w:rPr>
      <w:rFonts w:hint="eastAsia" w:eastAsia="仿宋"/>
      <w:b/>
      <w:sz w:val="32"/>
    </w:rPr>
  </w:style>
  <w:style w:type="paragraph" w:customStyle="1" w:styleId="9">
    <w:name w:val="一、"/>
    <w:basedOn w:val="1"/>
    <w:unhideWhenUsed/>
    <w:qFormat/>
    <w:uiPriority w:val="0"/>
    <w:pPr>
      <w:ind w:firstLine="915" w:firstLineChars="200"/>
    </w:pPr>
    <w:rPr>
      <w:rFonts w:hint="eastAsia" w:eastAsia="黑体"/>
      <w:sz w:val="32"/>
    </w:rPr>
  </w:style>
  <w:style w:type="character" w:customStyle="1" w:styleId="10">
    <w:name w:val="页眉 Char"/>
    <w:basedOn w:val="5"/>
    <w:link w:val="4"/>
    <w:semiHidden/>
    <w:qFormat/>
    <w:uiPriority w:val="99"/>
    <w:rPr>
      <w:sz w:val="18"/>
      <w:szCs w:val="18"/>
    </w:rPr>
  </w:style>
  <w:style w:type="character" w:customStyle="1" w:styleId="11">
    <w:name w:val="页脚 Char"/>
    <w:basedOn w:val="5"/>
    <w:link w:val="3"/>
    <w:semiHidden/>
    <w:qFormat/>
    <w:uiPriority w:val="99"/>
    <w:rPr>
      <w:sz w:val="18"/>
      <w:szCs w:val="18"/>
    </w:rPr>
  </w:style>
  <w:style w:type="character" w:customStyle="1" w:styleId="12">
    <w:name w:val="1、 Char"/>
    <w:link w:val="8"/>
    <w:unhideWhenUsed/>
    <w:qFormat/>
    <w:uiPriority w:val="0"/>
    <w:rPr>
      <w:rFonts w:hint="eastAsia" w:eastAsia="仿宋"/>
      <w:b/>
      <w:sz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ScaleCrop>false</ScaleCrop>
  <LinksUpToDate>false</LinksUpToDate>
  <CharactersWithSpaces>0</CharactersWithSpaces>
  <Application>WPS Office 个人版_9.1.0.4517_{F1E327BC-269C-435d-A152-05C5408002CA}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2020-06-24T02:12:00Z</cp:lastPrinted>
  <dcterms:modified xsi:type="dcterms:W3CDTF">2020-02-03T06:58:50Z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2052-9.1.0.4517</vt:lpwstr>
  </property>
</Properties>
</file>