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widowControl/>
        <w:jc w:val="left"/>
        <w:rPr>
          <w:rFonts w:eastAsia="仿宋_GB2312"/>
          <w:sz w:val="32"/>
          <w:szCs w:val="32"/>
        </w:rPr>
      </w:pPr>
      <w:r>
        <w:rPr>
          <w:rFonts w:eastAsia="黑体"/>
          <w:sz w:val="32"/>
          <w:szCs w:val="32"/>
        </w:rPr>
        <w:t>附件1</w:t>
      </w:r>
    </w:p>
    <w:p>
      <w:pPr>
        <w:spacing w:beforeLines="50" w:afterLines="50"/>
        <w:jc w:val="center"/>
        <w:rPr>
          <w:rFonts w:eastAsia="方正小标宋_GBK"/>
          <w:bCs/>
          <w:sz w:val="36"/>
          <w:szCs w:val="36"/>
        </w:rPr>
      </w:pPr>
      <w:r>
        <w:rPr>
          <w:rFonts w:eastAsia="方正小标宋_GBK"/>
          <w:bCs/>
          <w:sz w:val="36"/>
          <w:szCs w:val="36"/>
        </w:rPr>
        <w:t>部门整体支出绩效评价共性指标框架（参考）</w:t>
      </w:r>
    </w:p>
    <w:tbl>
      <w:tblPr>
        <w:tblStyle w:val="4"/>
        <w:tblW w:w="1058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666"/>
        <w:gridCol w:w="866"/>
        <w:gridCol w:w="951"/>
        <w:gridCol w:w="2908"/>
        <w:gridCol w:w="4252"/>
        <w:gridCol w:w="9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61" w:hRule="atLeast"/>
          <w:tblHeader/>
          <w:jc w:val="center"/>
        </w:trPr>
        <w:tc>
          <w:tcPr>
            <w:tcW w:w="666"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866" w:type="dxa"/>
            <w:shd w:val="clear" w:color="auto" w:fill="auto"/>
            <w:tcMar>
              <w:top w:w="10" w:type="dxa"/>
              <w:left w:w="10" w:type="dxa"/>
              <w:bottom w:w="0" w:type="dxa"/>
              <w:right w:w="10" w:type="dxa"/>
            </w:tcMar>
            <w:vAlign w:val="center"/>
          </w:tcPr>
          <w:p>
            <w:pPr>
              <w:ind w:right="-174" w:rightChars="-83"/>
              <w:jc w:val="center"/>
              <w:rPr>
                <w:rFonts w:ascii="仿宋_GB2312" w:eastAsia="仿宋_GB2312"/>
                <w:b/>
                <w:bCs/>
                <w:szCs w:val="21"/>
              </w:rPr>
            </w:pPr>
            <w:r>
              <w:rPr>
                <w:rFonts w:hint="eastAsia" w:ascii="仿宋_GB2312" w:eastAsia="仿宋_GB2312"/>
                <w:b/>
                <w:bCs/>
                <w:szCs w:val="21"/>
              </w:rPr>
              <w:t>二级</w:t>
            </w:r>
          </w:p>
          <w:p>
            <w:pPr>
              <w:ind w:right="-174" w:rightChars="-83"/>
              <w:jc w:val="center"/>
              <w:rPr>
                <w:rFonts w:ascii="仿宋_GB2312" w:eastAsia="仿宋_GB2312"/>
                <w:b/>
                <w:bCs/>
                <w:szCs w:val="21"/>
              </w:rPr>
            </w:pPr>
            <w:r>
              <w:rPr>
                <w:rFonts w:hint="eastAsia" w:ascii="仿宋_GB2312" w:eastAsia="仿宋_GB2312"/>
                <w:b/>
                <w:bCs/>
                <w:szCs w:val="21"/>
              </w:rPr>
              <w:t>指标</w:t>
            </w:r>
          </w:p>
        </w:tc>
        <w:tc>
          <w:tcPr>
            <w:tcW w:w="95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w:t>
            </w:r>
          </w:p>
          <w:p>
            <w:pPr>
              <w:jc w:val="center"/>
              <w:rPr>
                <w:rFonts w:ascii="仿宋_GB2312" w:eastAsia="仿宋_GB2312"/>
                <w:b/>
                <w:bCs/>
                <w:szCs w:val="21"/>
              </w:rPr>
            </w:pPr>
            <w:r>
              <w:rPr>
                <w:rFonts w:hint="eastAsia" w:ascii="仿宋_GB2312" w:eastAsia="仿宋_GB2312"/>
                <w:b/>
                <w:bCs/>
                <w:szCs w:val="21"/>
              </w:rPr>
              <w:t>指标</w:t>
            </w:r>
          </w:p>
        </w:tc>
        <w:tc>
          <w:tcPr>
            <w:tcW w:w="2908"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评分及标准</w:t>
            </w:r>
          </w:p>
        </w:tc>
        <w:tc>
          <w:tcPr>
            <w:tcW w:w="4252" w:type="dxa"/>
            <w:shd w:val="clear" w:color="auto" w:fill="auto"/>
            <w:tcMar>
              <w:top w:w="10" w:type="dxa"/>
              <w:left w:w="10" w:type="dxa"/>
              <w:bottom w:w="0" w:type="dxa"/>
              <w:right w:w="10" w:type="dxa"/>
            </w:tcMar>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指标说明</w:t>
            </w:r>
          </w:p>
        </w:tc>
        <w:tc>
          <w:tcPr>
            <w:tcW w:w="938" w:type="dxa"/>
            <w:vAlign w:val="center"/>
          </w:tcPr>
          <w:p>
            <w:pPr>
              <w:ind w:left="105" w:leftChars="50" w:right="105" w:rightChars="50"/>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7"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投   入 （20分）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目标</w:t>
            </w:r>
            <w:r>
              <w:rPr>
                <w:rFonts w:hint="eastAsia" w:ascii="仿宋_GB2312" w:eastAsia="仿宋_GB2312"/>
                <w:szCs w:val="21"/>
              </w:rPr>
              <w:br w:type="textWrapping"/>
            </w:r>
            <w:r>
              <w:rPr>
                <w:rFonts w:hint="eastAsia" w:ascii="仿宋_GB2312" w:eastAsia="仿宋_GB2312"/>
                <w:szCs w:val="21"/>
              </w:rPr>
              <w:t>设定  （14分）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绩效目标</w:t>
            </w:r>
          </w:p>
          <w:p>
            <w:pPr>
              <w:spacing w:line="320" w:lineRule="exact"/>
              <w:jc w:val="center"/>
              <w:rPr>
                <w:rFonts w:ascii="仿宋_GB2312" w:eastAsia="仿宋_GB2312"/>
                <w:szCs w:val="21"/>
              </w:rPr>
            </w:pPr>
            <w:r>
              <w:rPr>
                <w:rFonts w:hint="eastAsia" w:ascii="仿宋_GB2312" w:eastAsia="仿宋_GB2312"/>
                <w:szCs w:val="21"/>
              </w:rPr>
              <w:t>合理性 （6分）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是否符合国家法律法规、国民经济和社会发展总体规划2分</w:t>
            </w:r>
            <w:r>
              <w:rPr>
                <w:rFonts w:hint="eastAsia" w:ascii="仿宋_GB2312" w:hAnsi="宋体" w:eastAsia="仿宋_GB2312" w:cs="宋体"/>
                <w:szCs w:val="21"/>
              </w:rPr>
              <w:t>②</w:t>
            </w:r>
            <w:r>
              <w:rPr>
                <w:rFonts w:hint="eastAsia" w:ascii="仿宋_GB2312" w:eastAsia="仿宋_GB2312"/>
                <w:szCs w:val="21"/>
              </w:rPr>
              <w:t>是否符合部门“三定”方案确定的职责2分</w:t>
            </w:r>
            <w:r>
              <w:rPr>
                <w:rFonts w:hint="eastAsia" w:ascii="仿宋_GB2312" w:hAnsi="宋体" w:eastAsia="仿宋_GB2312" w:cs="宋体"/>
                <w:szCs w:val="21"/>
              </w:rPr>
              <w:t>③</w:t>
            </w:r>
            <w:r>
              <w:rPr>
                <w:rFonts w:hint="eastAsia" w:ascii="仿宋_GB2312" w:eastAsia="仿宋_GB2312"/>
                <w:szCs w:val="21"/>
              </w:rPr>
              <w:t>是否符合部门制定的中长期实施规划2分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8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绩效指标</w:t>
            </w:r>
          </w:p>
          <w:p>
            <w:pPr>
              <w:spacing w:line="320" w:lineRule="exact"/>
              <w:jc w:val="center"/>
              <w:rPr>
                <w:rFonts w:ascii="仿宋_GB2312" w:eastAsia="仿宋_GB2312"/>
                <w:szCs w:val="21"/>
              </w:rPr>
            </w:pPr>
            <w:r>
              <w:rPr>
                <w:rFonts w:hint="eastAsia" w:ascii="仿宋_GB2312" w:eastAsia="仿宋_GB2312"/>
                <w:szCs w:val="21"/>
              </w:rPr>
              <w:t>明确性 （8分）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每项指标评价要点加2分。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是否将部门整体的绩效目标细化分解为具体的工作任务2分；</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 xml:space="preserve">是否通过清晰、可衡量的指标值予以体现。    </w:t>
            </w:r>
            <w:r>
              <w:rPr>
                <w:rFonts w:hint="eastAsia" w:ascii="仿宋_GB2312" w:hAnsi="宋体" w:eastAsia="仿宋_GB2312" w:cs="宋体"/>
                <w:szCs w:val="21"/>
              </w:rPr>
              <w:t>③</w:t>
            </w:r>
            <w:r>
              <w:rPr>
                <w:rFonts w:hint="eastAsia" w:ascii="仿宋_GB2312" w:eastAsia="仿宋_GB2312"/>
                <w:szCs w:val="21"/>
              </w:rPr>
              <w:t>是否与部门年度的任务数或计划数相对应2分；</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是否与本年度部门预算资金相匹配2分。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8</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1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配置</w:t>
            </w:r>
          </w:p>
          <w:p>
            <w:pPr>
              <w:spacing w:line="320" w:lineRule="exact"/>
              <w:jc w:val="center"/>
              <w:rPr>
                <w:rFonts w:ascii="仿宋_GB2312" w:eastAsia="仿宋_GB2312"/>
                <w:szCs w:val="21"/>
              </w:rPr>
            </w:pPr>
            <w:r>
              <w:rPr>
                <w:rFonts w:hint="eastAsia" w:ascii="仿宋_GB2312" w:eastAsia="仿宋_GB2312"/>
                <w:szCs w:val="21"/>
              </w:rPr>
              <w:t>（6分）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在职人员</w:t>
            </w:r>
          </w:p>
          <w:p>
            <w:pPr>
              <w:spacing w:line="320" w:lineRule="exact"/>
              <w:jc w:val="center"/>
              <w:rPr>
                <w:rFonts w:ascii="仿宋_GB2312" w:eastAsia="仿宋_GB2312"/>
                <w:szCs w:val="21"/>
              </w:rPr>
            </w:pPr>
            <w:r>
              <w:rPr>
                <w:rFonts w:hint="eastAsia" w:ascii="仿宋_GB2312" w:eastAsia="仿宋_GB2312"/>
                <w:szCs w:val="21"/>
              </w:rPr>
              <w:t>控制率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以100%为标准，在职人员控制率≤100%，计2分；每超过一个百分点扣0.5分，扣完为止。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在职人员控制率=（在职人员数/编制数）×100%。</w:t>
            </w:r>
            <w:r>
              <w:rPr>
                <w:rFonts w:hint="eastAsia" w:ascii="仿宋_GB2312" w:eastAsia="仿宋_GB2312"/>
                <w:szCs w:val="21"/>
              </w:rPr>
              <w:br w:type="textWrapping"/>
            </w:r>
            <w:r>
              <w:rPr>
                <w:rFonts w:hint="eastAsia" w:ascii="仿宋_GB2312" w:eastAsia="仿宋_GB2312"/>
                <w:szCs w:val="21"/>
              </w:rPr>
              <w:t>在职人员数：部门实际在职人数，以财政部确定的部门决算编制口径为准。</w:t>
            </w:r>
            <w:r>
              <w:rPr>
                <w:rFonts w:hint="eastAsia" w:ascii="仿宋_GB2312" w:eastAsia="仿宋_GB2312"/>
                <w:szCs w:val="21"/>
              </w:rPr>
              <w:br w:type="textWrapping"/>
            </w:r>
            <w:r>
              <w:rPr>
                <w:rFonts w:hint="eastAsia" w:ascii="仿宋_GB2312" w:eastAsia="仿宋_GB2312"/>
                <w:szCs w:val="21"/>
              </w:rPr>
              <w:t>编制数：机构编制部门核定批复的部门的人员编制数。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w:t>
            </w:r>
          </w:p>
          <w:p>
            <w:pPr>
              <w:spacing w:line="320" w:lineRule="exact"/>
              <w:jc w:val="center"/>
              <w:rPr>
                <w:rFonts w:ascii="仿宋_GB2312" w:eastAsia="仿宋_GB2312"/>
                <w:szCs w:val="21"/>
              </w:rPr>
            </w:pPr>
            <w:r>
              <w:rPr>
                <w:rFonts w:hint="eastAsia" w:ascii="仿宋_GB2312" w:eastAsia="仿宋_GB2312"/>
                <w:szCs w:val="21"/>
              </w:rPr>
              <w:t>变动率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“三公经费”变动率为0，计5分；“三公经费”＞0，每超过一个百分点扣1分，扣完为止。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“三公经费”变动率=[（本年度“三公经费”总额-上年度“三公经费”总额）/上年度“三公经费”总额]×100%。</w:t>
            </w:r>
            <w:r>
              <w:rPr>
                <w:rFonts w:hint="eastAsia" w:ascii="仿宋_GB2312" w:eastAsia="仿宋_GB2312"/>
                <w:szCs w:val="21"/>
              </w:rPr>
              <w:br w:type="textWrapping"/>
            </w:r>
            <w:r>
              <w:rPr>
                <w:rFonts w:hint="eastAsia" w:ascii="仿宋_GB2312" w:eastAsia="仿宋_GB2312"/>
                <w:szCs w:val="21"/>
              </w:rPr>
              <w:t>“三公经费”：年度预算安排的因公出国（境）费、公务车辆购置及运行费和公务招待费。</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61"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重点支出</w:t>
            </w:r>
          </w:p>
          <w:p>
            <w:pPr>
              <w:spacing w:line="320" w:lineRule="exact"/>
              <w:jc w:val="center"/>
              <w:rPr>
                <w:rFonts w:ascii="仿宋_GB2312" w:eastAsia="仿宋_GB2312"/>
                <w:szCs w:val="21"/>
              </w:rPr>
            </w:pPr>
            <w:r>
              <w:rPr>
                <w:rFonts w:hint="eastAsia" w:ascii="仿宋_GB2312" w:eastAsia="仿宋_GB2312"/>
                <w:szCs w:val="21"/>
              </w:rPr>
              <w:t>安排率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“重点支出安排率” ＞50%，计2分，每下降一个百分点扣0.5分，扣完为止。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重点支出安排率=（重点预算支出/预算总支出）×100%。</w:t>
            </w:r>
            <w:r>
              <w:rPr>
                <w:rFonts w:hint="eastAsia" w:ascii="仿宋_GB2312" w:eastAsia="仿宋_GB2312"/>
                <w:szCs w:val="21"/>
              </w:rPr>
              <w:br w:type="textWrapping"/>
            </w:r>
            <w:r>
              <w:rPr>
                <w:rFonts w:hint="eastAsia" w:ascii="仿宋_GB2312" w:eastAsia="仿宋_GB2312"/>
                <w:szCs w:val="21"/>
              </w:rPr>
              <w:t>重点预算支出：部门年度预算安排的，与本部门履职和发展密切相关、具有明显社会和经济影响、党委政府关心或社会比较关注的预算支出支出总额。</w:t>
            </w:r>
            <w:r>
              <w:rPr>
                <w:rFonts w:hint="eastAsia" w:ascii="仿宋_GB2312" w:eastAsia="仿宋_GB2312"/>
                <w:szCs w:val="21"/>
              </w:rPr>
              <w:br w:type="textWrapping"/>
            </w:r>
            <w:r>
              <w:rPr>
                <w:rFonts w:hint="eastAsia" w:ascii="仿宋_GB2312" w:eastAsia="仿宋_GB2312"/>
                <w:szCs w:val="21"/>
              </w:rPr>
              <w:t>预算总支出：部门年度预算安排的预算支出支出总额。</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60"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w:t>
            </w:r>
          </w:p>
          <w:p>
            <w:pPr>
              <w:spacing w:line="320" w:lineRule="exact"/>
              <w:jc w:val="center"/>
              <w:rPr>
                <w:rFonts w:ascii="仿宋_GB2312" w:eastAsia="仿宋_GB2312"/>
                <w:szCs w:val="21"/>
              </w:rPr>
            </w:pPr>
            <w:r>
              <w:rPr>
                <w:rFonts w:hint="eastAsia" w:ascii="仿宋_GB2312" w:eastAsia="仿宋_GB2312"/>
                <w:szCs w:val="21"/>
              </w:rPr>
              <w:t>（40分）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执行率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预算执行率=（预算执行数/预算数）×100%。</w:t>
            </w:r>
            <w:r>
              <w:rPr>
                <w:rFonts w:hint="eastAsia" w:ascii="仿宋_GB2312" w:eastAsia="仿宋_GB2312"/>
                <w:szCs w:val="21"/>
              </w:rPr>
              <w:br w:type="textWrapping"/>
            </w:r>
            <w:r>
              <w:rPr>
                <w:rFonts w:hint="eastAsia" w:ascii="仿宋_GB2312" w:eastAsia="仿宋_GB2312"/>
                <w:szCs w:val="21"/>
              </w:rPr>
              <w:t>预算执行数：部门本年度实际完成的预算数。</w:t>
            </w:r>
            <w:r>
              <w:rPr>
                <w:rFonts w:hint="eastAsia" w:ascii="仿宋_GB2312" w:eastAsia="仿宋_GB2312"/>
                <w:szCs w:val="21"/>
              </w:rPr>
              <w:br w:type="textWrapping"/>
            </w:r>
            <w:r>
              <w:rPr>
                <w:rFonts w:hint="eastAsia" w:ascii="仿宋_GB2312" w:eastAsia="仿宋_GB2312"/>
                <w:szCs w:val="21"/>
              </w:rPr>
              <w:t>预算数：财政部门批复的本年度部门预算数。</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7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调整率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预算调整率=（预算调整数/预算数）×100%。</w:t>
            </w:r>
            <w:r>
              <w:rPr>
                <w:rFonts w:hint="eastAsia" w:ascii="仿宋_GB2312" w:eastAsia="仿宋_GB2312"/>
                <w:szCs w:val="21"/>
              </w:rPr>
              <w:br w:type="textWrapping"/>
            </w:r>
            <w:r>
              <w:rPr>
                <w:rFonts w:hint="eastAsia" w:ascii="仿宋_GB2312" w:eastAsia="仿宋_GB2312"/>
                <w:szCs w:val="21"/>
              </w:rPr>
              <w:t>预算调整数：部门在本年度内涉及预算的追加、追减或结构调整的资金总和（因落实国家政策、发生不可抗力、上级部门或本级党委政府临时交办而产生的调整除外）。</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1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支付</w:t>
            </w:r>
          </w:p>
          <w:p>
            <w:pPr>
              <w:spacing w:line="320" w:lineRule="exact"/>
              <w:jc w:val="center"/>
              <w:rPr>
                <w:rFonts w:ascii="仿宋_GB2312" w:eastAsia="仿宋_GB2312"/>
                <w:szCs w:val="21"/>
              </w:rPr>
            </w:pPr>
            <w:r>
              <w:rPr>
                <w:rFonts w:hint="eastAsia" w:ascii="仿宋_GB2312" w:eastAsia="仿宋_GB2312"/>
                <w:szCs w:val="21"/>
              </w:rPr>
              <w:t>进度率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100%计满分，每低于5%扣1分，扣完为止。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支付进度率=（实际支付进度/既定支付进度）×100%。</w:t>
            </w:r>
            <w:r>
              <w:rPr>
                <w:rFonts w:hint="eastAsia" w:ascii="仿宋_GB2312" w:eastAsia="仿宋_GB2312"/>
                <w:szCs w:val="21"/>
              </w:rPr>
              <w:br w:type="textWrapping"/>
            </w:r>
            <w:r>
              <w:rPr>
                <w:rFonts w:hint="eastAsia" w:ascii="仿宋_GB2312" w:eastAsia="仿宋_GB2312"/>
                <w:szCs w:val="21"/>
              </w:rPr>
              <w:t>实际支付进度：部门在某一时点的支出预算执行总数与年度支出预算数的比率。</w:t>
            </w:r>
            <w:r>
              <w:rPr>
                <w:rFonts w:hint="eastAsia" w:ascii="仿宋_GB2312" w:eastAsia="仿宋_GB2312"/>
                <w:szCs w:val="21"/>
              </w:rPr>
              <w:br w:type="textWrapping"/>
            </w:r>
            <w:r>
              <w:rPr>
                <w:rFonts w:hint="eastAsia" w:ascii="仿宋_GB2312" w:eastAsia="仿宋_GB2312"/>
                <w:szCs w:val="21"/>
              </w:rPr>
              <w:t>既定支付进度：由部门在申报部门整体绩效目标时，参照序时支付进度、前三年支付进度、本级部门平均支付进度水平等确定的，在某一时点应达到的支付进度（比率）。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9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continue"/>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w:t>
            </w:r>
          </w:p>
          <w:p>
            <w:pPr>
              <w:spacing w:line="320" w:lineRule="exact"/>
              <w:jc w:val="center"/>
              <w:rPr>
                <w:rFonts w:ascii="仿宋_GB2312" w:eastAsia="仿宋_GB2312"/>
                <w:szCs w:val="21"/>
              </w:rPr>
            </w:pPr>
            <w:r>
              <w:rPr>
                <w:rFonts w:hint="eastAsia" w:ascii="仿宋_GB2312" w:eastAsia="仿宋_GB2312"/>
                <w:szCs w:val="21"/>
              </w:rPr>
              <w:t>结余率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结转结余率=结转结余总额/支出预算数×100%。</w:t>
            </w:r>
            <w:r>
              <w:rPr>
                <w:rFonts w:hint="eastAsia" w:ascii="仿宋_GB2312" w:eastAsia="仿宋_GB2312"/>
                <w:szCs w:val="21"/>
              </w:rPr>
              <w:br w:type="textWrapping"/>
            </w:r>
            <w:r>
              <w:rPr>
                <w:rFonts w:hint="eastAsia" w:ascii="仿宋_GB2312" w:eastAsia="仿宋_GB2312"/>
                <w:szCs w:val="21"/>
              </w:rPr>
              <w:t>结转结余总额：部门本年度的结转资金与结余资金之和（以决算数为准）。</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结转结余</w:t>
            </w:r>
          </w:p>
          <w:p>
            <w:pPr>
              <w:spacing w:line="320" w:lineRule="exact"/>
              <w:jc w:val="center"/>
              <w:rPr>
                <w:rFonts w:ascii="仿宋_GB2312" w:eastAsia="仿宋_GB2312"/>
                <w:szCs w:val="21"/>
              </w:rPr>
            </w:pPr>
            <w:r>
              <w:rPr>
                <w:rFonts w:hint="eastAsia" w:ascii="仿宋_GB2312" w:eastAsia="仿宋_GB2312"/>
                <w:szCs w:val="21"/>
              </w:rPr>
              <w:t>变动率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0%计满分，每超过5%扣1分，扣完为止。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结转结余变动率=[（本年度累计结转结余资金总额-上年度累计结转结余资金总额）/上年度累计结转结余资金总额]×100%。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2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公用经费</w:t>
            </w:r>
          </w:p>
          <w:p>
            <w:pPr>
              <w:spacing w:line="320" w:lineRule="exact"/>
              <w:jc w:val="center"/>
              <w:rPr>
                <w:rFonts w:ascii="仿宋_GB2312" w:eastAsia="仿宋_GB2312"/>
                <w:szCs w:val="21"/>
              </w:rPr>
            </w:pPr>
            <w:r>
              <w:rPr>
                <w:rFonts w:hint="eastAsia" w:ascii="仿宋_GB2312" w:eastAsia="仿宋_GB2312"/>
                <w:szCs w:val="21"/>
              </w:rPr>
              <w:t>控制率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公用经费控制率=（实际支出公用经费总额/预算安排公用经费总额）×100%。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44"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预算</w:t>
            </w:r>
            <w:r>
              <w:rPr>
                <w:rFonts w:hint="eastAsia" w:ascii="仿宋_GB2312" w:eastAsia="仿宋_GB2312"/>
                <w:szCs w:val="21"/>
              </w:rPr>
              <w:br w:type="textWrapping"/>
            </w:r>
            <w:r>
              <w:rPr>
                <w:rFonts w:hint="eastAsia" w:ascii="仿宋_GB2312" w:eastAsia="仿宋_GB2312"/>
                <w:szCs w:val="21"/>
              </w:rPr>
              <w:t>执行 （26分）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“三公经费”控制率（3分）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“三公经费”控制率=（“三公经费”实际支出数/“三公经费”预算安排数）×100%。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政府采购</w:t>
            </w:r>
          </w:p>
          <w:p>
            <w:pPr>
              <w:spacing w:line="320" w:lineRule="exact"/>
              <w:jc w:val="center"/>
              <w:rPr>
                <w:rFonts w:ascii="仿宋_GB2312" w:eastAsia="仿宋_GB2312"/>
                <w:szCs w:val="21"/>
              </w:rPr>
            </w:pPr>
            <w:r>
              <w:rPr>
                <w:rFonts w:hint="eastAsia" w:ascii="仿宋_GB2312" w:eastAsia="仿宋_GB2312"/>
                <w:szCs w:val="21"/>
              </w:rPr>
              <w:t>执行率 （3分）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政府采购执行率=（实际政府采购金额/政府采购预算数）×100%；</w:t>
            </w:r>
            <w:r>
              <w:rPr>
                <w:rFonts w:hint="eastAsia" w:ascii="仿宋_GB2312" w:eastAsia="仿宋_GB2312"/>
                <w:szCs w:val="21"/>
              </w:rPr>
              <w:br w:type="textWrapping"/>
            </w:r>
            <w:r>
              <w:rPr>
                <w:rFonts w:hint="eastAsia" w:ascii="仿宋_GB2312" w:eastAsia="仿宋_GB2312"/>
                <w:szCs w:val="21"/>
              </w:rPr>
              <w:t xml:space="preserve">政府采购预算：采购机关根据事业发展计划和行政任务编制的、并经过规定程序批准的年度政府采购计划。 </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398"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p>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1.有内部财务管理制度，会计核算制度等管理制度，0.5分；2.有本部门厉行节约制度，0.5分；3.相关管理制度合法、合规、完整，0.5分；4.相关管理制度得到有效执行，0.5分。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是否已制定或具有预算资金管理办法、内部财务管理制度、会计核算制度等管理制度；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相关管理制度是否合法、合规、完整；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509"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资金使用</w:t>
            </w:r>
          </w:p>
          <w:p>
            <w:pPr>
              <w:spacing w:line="320" w:lineRule="exact"/>
              <w:jc w:val="center"/>
              <w:rPr>
                <w:rFonts w:ascii="仿宋_GB2312" w:eastAsia="仿宋_GB2312"/>
                <w:szCs w:val="21"/>
              </w:rPr>
            </w:pPr>
            <w:r>
              <w:rPr>
                <w:rFonts w:hint="eastAsia" w:ascii="仿宋_GB2312" w:eastAsia="仿宋_GB2312"/>
                <w:szCs w:val="21"/>
              </w:rPr>
              <w:t>合规性 （2分）</w:t>
            </w:r>
          </w:p>
        </w:tc>
        <w:tc>
          <w:tcPr>
            <w:tcW w:w="2908" w:type="dxa"/>
            <w:shd w:val="clear" w:color="auto" w:fill="auto"/>
            <w:tcMar>
              <w:top w:w="10" w:type="dxa"/>
              <w:left w:w="10" w:type="dxa"/>
              <w:bottom w:w="0" w:type="dxa"/>
              <w:right w:w="10" w:type="dxa"/>
            </w:tcMar>
            <w:vAlign w:val="center"/>
          </w:tcPr>
          <w:p>
            <w:pPr>
              <w:spacing w:line="300" w:lineRule="exact"/>
              <w:rPr>
                <w:rFonts w:ascii="仿宋_GB2312" w:eastAsia="仿宋_GB2312"/>
                <w:szCs w:val="21"/>
              </w:rPr>
            </w:pPr>
            <w:r>
              <w:rPr>
                <w:rFonts w:hint="eastAsia" w:ascii="仿宋_GB2312" w:eastAsia="仿宋_GB2312"/>
                <w:szCs w:val="21"/>
              </w:rPr>
              <w:t>1.支出符合国家财经法规和财务管理制度规定以及有关专项资金管理办法的规定；2.资金拨付有完整的审批程序和手续；3.项目支出按规定经过评估论证；4.支出符合部门预算批复的用途；5.资金使用无截留、挤占、挪用、虚列支出等情况。</w:t>
            </w:r>
          </w:p>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以上情况每出现一例不符合要求的扣0.5分，扣完为止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是否符合国家财经法规和财务管理制度规定以及有关预算支出管理办法的规定；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预算支出的重大开支是否经过评估论证；</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是否符合部门预算批复的用途；</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是否存在截留、挤占、挪用、虚列支出等情况。</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13"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预决算信</w:t>
            </w:r>
          </w:p>
          <w:p>
            <w:pPr>
              <w:spacing w:line="320" w:lineRule="exact"/>
              <w:jc w:val="center"/>
              <w:rPr>
                <w:rFonts w:ascii="仿宋_GB2312" w:eastAsia="仿宋_GB2312"/>
                <w:szCs w:val="21"/>
              </w:rPr>
            </w:pPr>
            <w:r>
              <w:rPr>
                <w:rFonts w:hint="eastAsia" w:ascii="仿宋_GB2312" w:eastAsia="仿宋_GB2312"/>
                <w:szCs w:val="21"/>
              </w:rPr>
              <w:t>息公开性（2分）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rPr>
                <w:rFonts w:ascii="仿宋_GB2312" w:eastAsia="仿宋_GB2312"/>
                <w:szCs w:val="21"/>
              </w:rPr>
            </w:pPr>
            <w:r>
              <w:rPr>
                <w:rFonts w:hint="eastAsia" w:ascii="仿宋_GB2312" w:eastAsia="仿宋_GB2312"/>
                <w:szCs w:val="21"/>
              </w:rPr>
              <w:t>部门预算、执行、决算、监督、绩效等管理相关的信息未公开，每一项扣0.5分，扣完为止。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是否按规定内容公开预决算信息；</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是否按规定时限公开预决算信息。</w:t>
            </w:r>
            <w:r>
              <w:rPr>
                <w:rFonts w:hint="eastAsia" w:ascii="仿宋_GB2312" w:eastAsia="仿宋_GB2312"/>
                <w:szCs w:val="21"/>
              </w:rPr>
              <w:br w:type="textWrapping"/>
            </w:r>
            <w:r>
              <w:rPr>
                <w:rFonts w:hint="eastAsia" w:ascii="仿宋_GB2312" w:eastAsia="仿宋_GB2312"/>
                <w:szCs w:val="21"/>
              </w:rPr>
              <w:t>预决算信息是指与部门预算、执行、决算、监督、绩效等管理相关的信息。</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802" w:hRule="atLeast"/>
          <w:jc w:val="center"/>
        </w:trPr>
        <w:tc>
          <w:tcPr>
            <w:tcW w:w="666" w:type="dxa"/>
            <w:vMerge w:val="restart"/>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过</w:t>
            </w:r>
          </w:p>
          <w:p>
            <w:pPr>
              <w:spacing w:line="320" w:lineRule="exact"/>
              <w:jc w:val="center"/>
              <w:rPr>
                <w:rFonts w:ascii="仿宋_GB2312" w:eastAsia="仿宋_GB2312"/>
                <w:szCs w:val="21"/>
              </w:rPr>
            </w:pPr>
            <w:r>
              <w:rPr>
                <w:rFonts w:hint="eastAsia" w:ascii="仿宋_GB2312" w:eastAsia="仿宋_GB2312"/>
                <w:szCs w:val="21"/>
              </w:rPr>
              <w:t>程  （40分）</w:t>
            </w:r>
          </w:p>
        </w:tc>
        <w:tc>
          <w:tcPr>
            <w:tcW w:w="866" w:type="dxa"/>
            <w:shd w:val="clear" w:color="auto" w:fill="auto"/>
            <w:vAlign w:val="center"/>
          </w:tcPr>
          <w:p>
            <w:pPr>
              <w:spacing w:line="320" w:lineRule="exact"/>
              <w:jc w:val="center"/>
              <w:rPr>
                <w:rFonts w:ascii="仿宋_GB2312" w:eastAsia="仿宋_GB2312"/>
                <w:szCs w:val="21"/>
              </w:rPr>
            </w:pPr>
            <w:r>
              <w:rPr>
                <w:rFonts w:hint="eastAsia" w:ascii="仿宋_GB2312" w:eastAsia="仿宋_GB2312"/>
                <w:szCs w:val="21"/>
              </w:rPr>
              <w:t>预算</w:t>
            </w:r>
          </w:p>
          <w:p>
            <w:pPr>
              <w:spacing w:line="320" w:lineRule="exact"/>
              <w:jc w:val="center"/>
              <w:rPr>
                <w:rFonts w:ascii="仿宋_GB2312" w:eastAsia="仿宋_GB2312"/>
                <w:szCs w:val="21"/>
              </w:rPr>
            </w:pPr>
            <w:r>
              <w:rPr>
                <w:rFonts w:hint="eastAsia" w:ascii="仿宋_GB2312" w:eastAsia="仿宋_GB2312"/>
                <w:szCs w:val="21"/>
              </w:rPr>
              <w:t>管理   （8分）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基础信息</w:t>
            </w:r>
          </w:p>
          <w:p>
            <w:pPr>
              <w:spacing w:line="320" w:lineRule="exact"/>
              <w:jc w:val="center"/>
              <w:rPr>
                <w:rFonts w:ascii="仿宋_GB2312" w:eastAsia="仿宋_GB2312"/>
                <w:szCs w:val="21"/>
              </w:rPr>
            </w:pPr>
            <w:r>
              <w:rPr>
                <w:rFonts w:hint="eastAsia" w:ascii="仿宋_GB2312" w:eastAsia="仿宋_GB2312"/>
                <w:szCs w:val="21"/>
              </w:rPr>
              <w:t>完善性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部门基础信息是否完善，缺一项扣0.5分，扣完为止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基础数据信息和会计信息资料是否真实；</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基础数据信息和会计信息资料是否完整；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基础数据信息和会计信息资料是否准确。</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219" w:hRule="atLeast"/>
          <w:jc w:val="center"/>
        </w:trPr>
        <w:tc>
          <w:tcPr>
            <w:tcW w:w="666" w:type="dxa"/>
            <w:vMerge w:val="continue"/>
            <w:shd w:val="clear" w:color="auto" w:fill="auto"/>
            <w:noWrap/>
            <w:tcMar>
              <w:top w:w="10" w:type="dxa"/>
              <w:left w:w="10" w:type="dxa"/>
              <w:bottom w:w="0" w:type="dxa"/>
              <w:right w:w="10" w:type="dxa"/>
            </w:tcMar>
            <w:textDirection w:val="tbRlV"/>
            <w:vAlign w:val="center"/>
          </w:tcPr>
          <w:p>
            <w:pPr>
              <w:spacing w:line="320" w:lineRule="exact"/>
              <w:jc w:val="center"/>
              <w:rPr>
                <w:rFonts w:ascii="仿宋_GB2312" w:eastAsia="仿宋_GB2312"/>
                <w:szCs w:val="21"/>
              </w:rPr>
            </w:pP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w:t>
            </w:r>
            <w:r>
              <w:rPr>
                <w:rFonts w:hint="eastAsia" w:ascii="仿宋_GB2312" w:eastAsia="仿宋_GB2312"/>
                <w:szCs w:val="21"/>
              </w:rPr>
              <w:br w:type="textWrapping"/>
            </w:r>
            <w:r>
              <w:rPr>
                <w:rFonts w:hint="eastAsia" w:ascii="仿宋_GB2312" w:eastAsia="仿宋_GB2312"/>
                <w:szCs w:val="21"/>
              </w:rPr>
              <w:t>管理  （6分）</w:t>
            </w:r>
          </w:p>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管理制度</w:t>
            </w:r>
          </w:p>
          <w:p>
            <w:pPr>
              <w:spacing w:line="320" w:lineRule="exact"/>
              <w:jc w:val="center"/>
              <w:rPr>
                <w:rFonts w:ascii="仿宋_GB2312" w:eastAsia="仿宋_GB2312"/>
                <w:szCs w:val="21"/>
              </w:rPr>
            </w:pPr>
            <w:r>
              <w:rPr>
                <w:rFonts w:hint="eastAsia" w:ascii="仿宋_GB2312" w:eastAsia="仿宋_GB2312"/>
                <w:szCs w:val="21"/>
              </w:rPr>
              <w:t>健全性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部门有加强资产管理、规范资产管理行为而制定的管理制度的计1分；有效执行相关文件的计1分。反之不计分。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 xml:space="preserve">是否已制定或具有资产管理制度；           </w:t>
            </w:r>
            <w:r>
              <w:rPr>
                <w:rFonts w:hint="eastAsia" w:ascii="仿宋_GB2312" w:hAnsi="宋体" w:eastAsia="仿宋_GB2312" w:cs="宋体"/>
                <w:szCs w:val="21"/>
              </w:rPr>
              <w:t>②</w:t>
            </w:r>
            <w:r>
              <w:rPr>
                <w:rFonts w:hint="eastAsia" w:ascii="仿宋_GB2312" w:eastAsia="仿宋_GB2312"/>
                <w:szCs w:val="21"/>
              </w:rPr>
              <w:t>相关资金管理制度是否合法、合规、完整；</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相关资产管理制度是否得到有效执行。</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837" w:hRule="atLeast"/>
          <w:jc w:val="center"/>
        </w:trPr>
        <w:tc>
          <w:tcPr>
            <w:tcW w:w="666" w:type="dxa"/>
            <w:vMerge w:val="continue"/>
            <w:shd w:val="clear" w:color="auto" w:fill="auto"/>
            <w:vAlign w:val="center"/>
          </w:tcPr>
          <w:p>
            <w:pPr>
              <w:spacing w:line="320" w:lineRule="exact"/>
              <w:jc w:val="center"/>
              <w:rPr>
                <w:rFonts w:ascii="仿宋_GB2312" w:eastAsia="仿宋_GB2312"/>
                <w:szCs w:val="21"/>
              </w:rPr>
            </w:pPr>
          </w:p>
        </w:tc>
        <w:tc>
          <w:tcPr>
            <w:tcW w:w="866" w:type="dxa"/>
            <w:vMerge w:val="continue"/>
            <w:shd w:val="clear" w:color="auto" w:fill="auto"/>
            <w:vAlign w:val="center"/>
          </w:tcPr>
          <w:p>
            <w:pPr>
              <w:spacing w:line="320" w:lineRule="exact"/>
              <w:jc w:val="center"/>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资产管理</w:t>
            </w:r>
          </w:p>
          <w:p>
            <w:pPr>
              <w:spacing w:line="320" w:lineRule="exact"/>
              <w:jc w:val="center"/>
              <w:rPr>
                <w:rFonts w:ascii="仿宋_GB2312" w:eastAsia="仿宋_GB2312"/>
                <w:szCs w:val="21"/>
              </w:rPr>
            </w:pPr>
            <w:r>
              <w:rPr>
                <w:rFonts w:hint="eastAsia" w:ascii="仿宋_GB2312" w:eastAsia="仿宋_GB2312"/>
                <w:szCs w:val="21"/>
              </w:rPr>
              <w:t>安全性 （2分）</w:t>
            </w:r>
          </w:p>
        </w:tc>
        <w:tc>
          <w:tcPr>
            <w:tcW w:w="2908" w:type="dxa"/>
            <w:shd w:val="clear" w:color="auto" w:fill="auto"/>
            <w:tcMar>
              <w:top w:w="10" w:type="dxa"/>
              <w:left w:w="10" w:type="dxa"/>
              <w:bottom w:w="0" w:type="dxa"/>
              <w:right w:w="10" w:type="dxa"/>
            </w:tcMar>
            <w:vAlign w:val="center"/>
          </w:tcPr>
          <w:p>
            <w:pPr>
              <w:tabs>
                <w:tab w:val="left" w:pos="761"/>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部门的资产是否保存完整、使用合规、配置合理、处置规范、收入及时足额上缴计满分，每一项不达标扣0.5分，扣完为止。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资产保存是否完整；</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资产配置是否合理；</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资产处置是否规范；</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资产账务管理是否合规，是否帐实相符；</w:t>
            </w:r>
            <w:r>
              <w:rPr>
                <w:rFonts w:hint="eastAsia" w:ascii="仿宋_GB2312" w:eastAsia="仿宋_GB2312"/>
                <w:szCs w:val="21"/>
              </w:rPr>
              <w:br w:type="textWrapping"/>
            </w:r>
            <w:r>
              <w:rPr>
                <w:rFonts w:hint="eastAsia" w:ascii="仿宋_GB2312" w:hAnsi="宋体" w:eastAsia="仿宋_GB2312" w:cs="宋体"/>
                <w:szCs w:val="21"/>
              </w:rPr>
              <w:t>⑤</w:t>
            </w:r>
            <w:r>
              <w:rPr>
                <w:rFonts w:hint="eastAsia" w:ascii="仿宋_GB2312" w:eastAsia="仿宋_GB2312"/>
                <w:szCs w:val="21"/>
              </w:rPr>
              <w:t>资产是否有偿使用及处置收入及时足额上缴。</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995" w:hRule="atLeast"/>
          <w:jc w:val="center"/>
        </w:trPr>
        <w:tc>
          <w:tcPr>
            <w:tcW w:w="666" w:type="dxa"/>
            <w:vMerge w:val="continue"/>
            <w:shd w:val="clear" w:color="auto" w:fill="auto"/>
            <w:vAlign w:val="center"/>
          </w:tcPr>
          <w:p>
            <w:pPr>
              <w:spacing w:line="320" w:lineRule="exact"/>
              <w:rPr>
                <w:rFonts w:ascii="仿宋_GB2312" w:eastAsia="仿宋_GB2312"/>
                <w:szCs w:val="21"/>
              </w:rPr>
            </w:pPr>
          </w:p>
        </w:tc>
        <w:tc>
          <w:tcPr>
            <w:tcW w:w="866" w:type="dxa"/>
            <w:vMerge w:val="continue"/>
            <w:shd w:val="clear" w:color="auto" w:fill="auto"/>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固定资产</w:t>
            </w:r>
          </w:p>
          <w:p>
            <w:pPr>
              <w:spacing w:line="320" w:lineRule="exact"/>
              <w:jc w:val="center"/>
              <w:rPr>
                <w:rFonts w:ascii="仿宋_GB2312" w:eastAsia="仿宋_GB2312"/>
                <w:szCs w:val="21"/>
              </w:rPr>
            </w:pPr>
            <w:r>
              <w:rPr>
                <w:rFonts w:hint="eastAsia" w:ascii="仿宋_GB2312" w:eastAsia="仿宋_GB2312"/>
                <w:szCs w:val="21"/>
              </w:rPr>
              <w:t>利用率 （2分）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100%计满分，每降低5%扣1分，扣完为止。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固定资产利用率=（实际在用固定资产总额/所有固定资产总额）×100%。</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799" w:hRule="atLeast"/>
          <w:jc w:val="center"/>
        </w:trPr>
        <w:tc>
          <w:tcPr>
            <w:tcW w:w="666" w:type="dxa"/>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产出（20分）</w:t>
            </w:r>
          </w:p>
        </w:tc>
        <w:tc>
          <w:tcPr>
            <w:tcW w:w="866"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实际</w:t>
            </w:r>
          </w:p>
          <w:p>
            <w:pPr>
              <w:spacing w:line="320" w:lineRule="exact"/>
              <w:jc w:val="center"/>
              <w:rPr>
                <w:rFonts w:ascii="仿宋_GB2312" w:eastAsia="仿宋_GB2312"/>
                <w:szCs w:val="21"/>
              </w:rPr>
            </w:pPr>
            <w:r>
              <w:rPr>
                <w:rFonts w:hint="eastAsia" w:ascii="仿宋_GB2312" w:eastAsia="仿宋_GB2312"/>
                <w:szCs w:val="21"/>
              </w:rPr>
              <w:t>完成率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实际完成率=（实际完成工作数/计划工作数）×100%。</w:t>
            </w:r>
            <w:r>
              <w:rPr>
                <w:rFonts w:hint="eastAsia" w:ascii="仿宋_GB2312" w:eastAsia="仿宋_GB2312"/>
                <w:szCs w:val="21"/>
              </w:rPr>
              <w:br w:type="textWrapping"/>
            </w:r>
            <w:r>
              <w:rPr>
                <w:rFonts w:hint="eastAsia" w:ascii="仿宋_GB2312" w:eastAsia="仿宋_GB2312"/>
                <w:szCs w:val="21"/>
              </w:rPr>
              <w:t>实际完成工作数：一定时期（年度或规划期）内部门实际完成工作任务的数量。</w:t>
            </w:r>
            <w:r>
              <w:rPr>
                <w:rFonts w:hint="eastAsia" w:ascii="仿宋_GB2312" w:eastAsia="仿宋_GB2312"/>
                <w:szCs w:val="21"/>
              </w:rPr>
              <w:br w:type="textWrapping"/>
            </w:r>
            <w:r>
              <w:rPr>
                <w:rFonts w:hint="eastAsia" w:ascii="仿宋_GB2312" w:eastAsia="仿宋_GB2312"/>
                <w:szCs w:val="21"/>
              </w:rPr>
              <w:t>计划工作数：部门整体绩效目标确定的一定时期（年度或规划期）内预计完成工作任务的数量。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635" w:hRule="atLeast"/>
          <w:jc w:val="center"/>
        </w:trPr>
        <w:tc>
          <w:tcPr>
            <w:tcW w:w="6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产</w:t>
            </w:r>
          </w:p>
          <w:p>
            <w:pPr>
              <w:spacing w:line="320" w:lineRule="exact"/>
              <w:jc w:val="center"/>
              <w:rPr>
                <w:rFonts w:ascii="仿宋_GB2312" w:eastAsia="仿宋_GB2312"/>
                <w:szCs w:val="21"/>
              </w:rPr>
            </w:pPr>
            <w:r>
              <w:rPr>
                <w:rFonts w:hint="eastAsia" w:ascii="仿宋_GB2312" w:eastAsia="仿宋_GB2312"/>
                <w:szCs w:val="21"/>
              </w:rPr>
              <w:t>出</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vAlign w:val="center"/>
          </w:tcPr>
          <w:p>
            <w:pPr>
              <w:spacing w:line="320" w:lineRule="exact"/>
              <w:jc w:val="center"/>
              <w:rPr>
                <w:rFonts w:ascii="仿宋_GB2312" w:eastAsia="仿宋_GB2312"/>
                <w:szCs w:val="21"/>
              </w:rPr>
            </w:pPr>
            <w:r>
              <w:rPr>
                <w:rFonts w:hint="eastAsia" w:ascii="仿宋_GB2312" w:eastAsia="仿宋_GB2312"/>
                <w:szCs w:val="21"/>
              </w:rPr>
              <w:t>职责</w:t>
            </w:r>
            <w:r>
              <w:rPr>
                <w:rFonts w:hint="eastAsia" w:ascii="仿宋_GB2312" w:eastAsia="仿宋_GB2312"/>
                <w:szCs w:val="21"/>
              </w:rPr>
              <w:br w:type="textWrapping"/>
            </w:r>
            <w:r>
              <w:rPr>
                <w:rFonts w:hint="eastAsia" w:ascii="仿宋_GB2312" w:eastAsia="仿宋_GB2312"/>
                <w:szCs w:val="21"/>
              </w:rPr>
              <w:t>履行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完成</w:t>
            </w:r>
          </w:p>
          <w:p>
            <w:pPr>
              <w:spacing w:line="320" w:lineRule="exact"/>
              <w:jc w:val="center"/>
              <w:rPr>
                <w:rFonts w:ascii="仿宋_GB2312" w:eastAsia="仿宋_GB2312"/>
                <w:szCs w:val="21"/>
              </w:rPr>
            </w:pPr>
            <w:r>
              <w:rPr>
                <w:rFonts w:hint="eastAsia" w:ascii="仿宋_GB2312" w:eastAsia="仿宋_GB2312"/>
                <w:szCs w:val="21"/>
              </w:rPr>
              <w:t>及时率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100%以下（含）计满分，每超出1%扣1分，扣完为止。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完成及时率=（及时完成实际工作数/计划工作数）×100%。</w:t>
            </w:r>
            <w:r>
              <w:rPr>
                <w:rFonts w:hint="eastAsia" w:ascii="仿宋_GB2312" w:eastAsia="仿宋_GB2312"/>
                <w:szCs w:val="21"/>
              </w:rPr>
              <w:br w:type="textWrapping"/>
            </w:r>
            <w:r>
              <w:rPr>
                <w:rFonts w:hint="eastAsia" w:ascii="仿宋_GB2312" w:eastAsia="仿宋_GB2312"/>
                <w:szCs w:val="21"/>
              </w:rPr>
              <w:t>及时完成实际工作数：部门按照整体绩效目标确定的时限实际完成的工作任务数量。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37"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质量</w:t>
            </w:r>
          </w:p>
          <w:p>
            <w:pPr>
              <w:spacing w:line="320" w:lineRule="exact"/>
              <w:jc w:val="center"/>
              <w:rPr>
                <w:rFonts w:ascii="仿宋_GB2312" w:eastAsia="仿宋_GB2312"/>
                <w:szCs w:val="21"/>
              </w:rPr>
            </w:pPr>
            <w:r>
              <w:rPr>
                <w:rFonts w:hint="eastAsia" w:ascii="仿宋_GB2312" w:eastAsia="仿宋_GB2312"/>
                <w:szCs w:val="21"/>
              </w:rPr>
              <w:t>达标率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100%计满分，每超过1%扣1分，扣完为止。</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质量达标率=（质量达标实际工作数/计划工作数）×100%。</w:t>
            </w:r>
            <w:r>
              <w:rPr>
                <w:rFonts w:hint="eastAsia" w:ascii="仿宋_GB2312" w:eastAsia="仿宋_GB2312"/>
                <w:szCs w:val="21"/>
              </w:rPr>
              <w:br w:type="textWrapping"/>
            </w:r>
            <w:r>
              <w:rPr>
                <w:rFonts w:hint="eastAsia" w:ascii="仿宋_GB2312" w:eastAsia="仿宋_GB2312"/>
                <w:szCs w:val="21"/>
              </w:rPr>
              <w:t>质量达标实际工作数：一定时期（年度或规划期）内部门实际完成工作数中达到部门绩效目标要求（绩效标准值）的工作任务数量。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470"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重点工作</w:t>
            </w:r>
          </w:p>
          <w:p>
            <w:pPr>
              <w:spacing w:line="320" w:lineRule="exact"/>
              <w:jc w:val="center"/>
              <w:rPr>
                <w:rFonts w:ascii="仿宋_GB2312" w:eastAsia="仿宋_GB2312"/>
                <w:szCs w:val="21"/>
              </w:rPr>
            </w:pPr>
            <w:r>
              <w:rPr>
                <w:rFonts w:hint="eastAsia" w:ascii="仿宋_GB2312" w:eastAsia="仿宋_GB2312"/>
                <w:szCs w:val="21"/>
              </w:rPr>
              <w:t>办结率 （5分）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根据绩效办2019年对各部门为民办实事和部门重点工程与重点工作考核分数折算。该项得分=（绩效办对应部分考核得分）</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重点工作办结率=（重点工作实际完成数/交办或下达数）×100%。</w:t>
            </w:r>
            <w:r>
              <w:rPr>
                <w:rFonts w:hint="eastAsia" w:ascii="仿宋_GB2312" w:eastAsia="仿宋_GB2312"/>
                <w:szCs w:val="21"/>
              </w:rPr>
              <w:br w:type="textWrapping"/>
            </w:r>
            <w:r>
              <w:rPr>
                <w:rFonts w:hint="eastAsia" w:ascii="仿宋_GB2312" w:eastAsia="仿宋_GB2312"/>
                <w:szCs w:val="21"/>
              </w:rPr>
              <w:t>重点工作是指党委、政府、人大、相关部门交办或下达的工作任务。</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restart"/>
            <w:shd w:val="clear" w:color="auto" w:fill="auto"/>
            <w:noWrap/>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效</w:t>
            </w:r>
          </w:p>
          <w:p>
            <w:pPr>
              <w:spacing w:line="320" w:lineRule="exact"/>
              <w:jc w:val="center"/>
              <w:rPr>
                <w:rFonts w:ascii="仿宋_GB2312" w:eastAsia="仿宋_GB2312"/>
                <w:szCs w:val="21"/>
              </w:rPr>
            </w:pPr>
            <w:r>
              <w:rPr>
                <w:rFonts w:hint="eastAsia" w:ascii="仿宋_GB2312" w:eastAsia="仿宋_GB2312"/>
                <w:szCs w:val="21"/>
              </w:rPr>
              <w:t>果</w:t>
            </w:r>
          </w:p>
          <w:p>
            <w:pPr>
              <w:spacing w:line="320" w:lineRule="exact"/>
              <w:jc w:val="center"/>
              <w:rPr>
                <w:rFonts w:ascii="仿宋_GB2312" w:eastAsia="仿宋_GB2312"/>
                <w:szCs w:val="21"/>
              </w:rPr>
            </w:pPr>
            <w:r>
              <w:rPr>
                <w:rFonts w:hint="eastAsia" w:ascii="仿宋_GB2312" w:eastAsia="仿宋_GB2312"/>
                <w:szCs w:val="21"/>
              </w:rPr>
              <w:t>（20分）</w:t>
            </w:r>
          </w:p>
        </w:tc>
        <w:tc>
          <w:tcPr>
            <w:tcW w:w="866" w:type="dxa"/>
            <w:vMerge w:val="restart"/>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履职</w:t>
            </w:r>
            <w:r>
              <w:rPr>
                <w:rFonts w:hint="eastAsia" w:ascii="仿宋_GB2312" w:eastAsia="仿宋_GB2312"/>
                <w:szCs w:val="21"/>
              </w:rPr>
              <w:br w:type="textWrapping"/>
            </w:r>
            <w:r>
              <w:rPr>
                <w:rFonts w:hint="eastAsia" w:ascii="仿宋_GB2312" w:eastAsia="仿宋_GB2312"/>
                <w:szCs w:val="21"/>
              </w:rPr>
              <w:t>效益 （20分）</w:t>
            </w: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经济效益（5分）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部门履行职责对经济发展所带来的直接或间接影响。</w:t>
            </w:r>
          </w:p>
        </w:tc>
        <w:tc>
          <w:tcPr>
            <w:tcW w:w="4252" w:type="dxa"/>
            <w:vMerge w:val="restart"/>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此三项指标为设置部门整体支出绩效评价指标时必须考虑的共性要素，可根据部门实际并结合部门整体支出绩效目标设立情况有选择的进行设置，并将其细化为相应的个性化指标。</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部门履行职责对社会发展所带来的直接或间接影响。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735"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生态效益（5分）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部门履行职责对生态环境所带来的直接或间接影响。</w:t>
            </w:r>
          </w:p>
        </w:tc>
        <w:tc>
          <w:tcPr>
            <w:tcW w:w="4252" w:type="dxa"/>
            <w:vMerge w:val="continue"/>
            <w:vAlign w:val="center"/>
          </w:tcPr>
          <w:p>
            <w:pPr>
              <w:spacing w:line="320" w:lineRule="exact"/>
              <w:ind w:left="105" w:leftChars="50" w:right="105" w:rightChars="50"/>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666" w:type="dxa"/>
            <w:vMerge w:val="continue"/>
            <w:vAlign w:val="center"/>
          </w:tcPr>
          <w:p>
            <w:pPr>
              <w:spacing w:line="320" w:lineRule="exact"/>
              <w:rPr>
                <w:rFonts w:ascii="仿宋_GB2312" w:eastAsia="仿宋_GB2312"/>
                <w:szCs w:val="21"/>
              </w:rPr>
            </w:pPr>
          </w:p>
        </w:tc>
        <w:tc>
          <w:tcPr>
            <w:tcW w:w="866" w:type="dxa"/>
            <w:vMerge w:val="continue"/>
            <w:vAlign w:val="center"/>
          </w:tcPr>
          <w:p>
            <w:pPr>
              <w:spacing w:line="320" w:lineRule="exact"/>
              <w:rPr>
                <w:rFonts w:ascii="仿宋_GB2312" w:eastAsia="仿宋_GB2312"/>
                <w:szCs w:val="21"/>
              </w:rPr>
            </w:pPr>
          </w:p>
        </w:tc>
        <w:tc>
          <w:tcPr>
            <w:tcW w:w="951" w:type="dxa"/>
            <w:shd w:val="clear" w:color="auto" w:fill="auto"/>
            <w:tcMar>
              <w:top w:w="10" w:type="dxa"/>
              <w:left w:w="10" w:type="dxa"/>
              <w:bottom w:w="0" w:type="dxa"/>
              <w:right w:w="10" w:type="dxa"/>
            </w:tcMar>
            <w:vAlign w:val="center"/>
          </w:tcPr>
          <w:p>
            <w:pPr>
              <w:spacing w:line="320" w:lineRule="exact"/>
              <w:jc w:val="center"/>
              <w:rPr>
                <w:rFonts w:ascii="仿宋_GB2312" w:eastAsia="仿宋_GB2312"/>
                <w:szCs w:val="21"/>
              </w:rPr>
            </w:pPr>
            <w:r>
              <w:rPr>
                <w:rFonts w:hint="eastAsia" w:ascii="仿宋_GB2312" w:eastAsia="仿宋_GB2312"/>
                <w:szCs w:val="21"/>
              </w:rPr>
              <w:t>社会公众</w:t>
            </w:r>
          </w:p>
          <w:p>
            <w:pPr>
              <w:spacing w:line="320" w:lineRule="exact"/>
              <w:jc w:val="center"/>
              <w:rPr>
                <w:rFonts w:ascii="仿宋_GB2312" w:eastAsia="仿宋_GB2312"/>
                <w:szCs w:val="21"/>
              </w:rPr>
            </w:pPr>
            <w:r>
              <w:rPr>
                <w:rFonts w:hint="eastAsia" w:ascii="仿宋_GB2312" w:eastAsia="仿宋_GB2312"/>
                <w:szCs w:val="21"/>
              </w:rPr>
              <w:t>或服务对</w:t>
            </w:r>
          </w:p>
          <w:p>
            <w:pPr>
              <w:spacing w:line="320" w:lineRule="exact"/>
              <w:jc w:val="center"/>
              <w:rPr>
                <w:rFonts w:ascii="仿宋_GB2312" w:eastAsia="仿宋_GB2312"/>
                <w:szCs w:val="21"/>
              </w:rPr>
            </w:pPr>
            <w:r>
              <w:rPr>
                <w:rFonts w:hint="eastAsia" w:ascii="仿宋_GB2312" w:eastAsia="仿宋_GB2312"/>
                <w:szCs w:val="21"/>
              </w:rPr>
              <w:t>象满意度（5分）</w:t>
            </w:r>
          </w:p>
        </w:tc>
        <w:tc>
          <w:tcPr>
            <w:tcW w:w="2908"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社会公众或部门的服务对象对部门履职效果的满意程度。</w:t>
            </w:r>
          </w:p>
        </w:tc>
        <w:tc>
          <w:tcPr>
            <w:tcW w:w="4252" w:type="dxa"/>
            <w:shd w:val="clear" w:color="auto" w:fill="auto"/>
            <w:tcMar>
              <w:top w:w="10" w:type="dxa"/>
              <w:left w:w="10" w:type="dxa"/>
              <w:bottom w:w="0" w:type="dxa"/>
              <w:right w:w="10" w:type="dxa"/>
            </w:tcMar>
            <w:vAlign w:val="center"/>
          </w:tcPr>
          <w:p>
            <w:pPr>
              <w:spacing w:line="320" w:lineRule="exact"/>
              <w:ind w:left="105" w:leftChars="50" w:right="105" w:rightChars="50"/>
              <w:rPr>
                <w:rFonts w:ascii="仿宋_GB2312" w:eastAsia="仿宋_GB2312"/>
                <w:szCs w:val="21"/>
              </w:rPr>
            </w:pPr>
            <w:r>
              <w:rPr>
                <w:rFonts w:hint="eastAsia" w:ascii="仿宋_GB2312" w:eastAsia="仿宋_GB2312"/>
                <w:szCs w:val="21"/>
              </w:rPr>
              <w:t>社会公众或服务对象是指部门履行职责而影响到的部门、群体或个人。一般采取社会调查的方式。</w:t>
            </w: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12" w:hRule="atLeast"/>
          <w:jc w:val="center"/>
        </w:trPr>
        <w:tc>
          <w:tcPr>
            <w:tcW w:w="9643" w:type="dxa"/>
            <w:gridSpan w:val="5"/>
            <w:vAlign w:val="center"/>
          </w:tcPr>
          <w:p>
            <w:pPr>
              <w:spacing w:line="320" w:lineRule="exact"/>
              <w:ind w:left="105" w:leftChars="50" w:right="105" w:rightChars="50"/>
              <w:jc w:val="center"/>
              <w:rPr>
                <w:rFonts w:ascii="仿宋_GB2312" w:eastAsia="仿宋_GB2312"/>
                <w:szCs w:val="21"/>
              </w:rPr>
            </w:pPr>
          </w:p>
        </w:tc>
        <w:tc>
          <w:tcPr>
            <w:tcW w:w="938" w:type="dxa"/>
            <w:vAlign w:val="center"/>
          </w:tcPr>
          <w:p>
            <w:pPr>
              <w:spacing w:line="320" w:lineRule="exact"/>
              <w:ind w:left="105" w:leftChars="50" w:right="105" w:rightChars="50"/>
              <w:jc w:val="center"/>
              <w:rPr>
                <w:rFonts w:ascii="仿宋_GB2312" w:eastAsia="仿宋_GB2312"/>
                <w:szCs w:val="21"/>
              </w:rPr>
            </w:pPr>
            <w:r>
              <w:rPr>
                <w:rFonts w:hint="eastAsia" w:ascii="仿宋_GB2312" w:eastAsia="仿宋_GB2312"/>
                <w:szCs w:val="21"/>
              </w:rPr>
              <w:t>94</w:t>
            </w:r>
          </w:p>
        </w:tc>
      </w:tr>
    </w:tbl>
    <w:p/>
    <w:p>
      <w:pPr>
        <w:widowControl/>
        <w:jc w:val="left"/>
      </w:pPr>
      <w:r>
        <w:br w:type="page"/>
      </w:r>
    </w:p>
    <w:p>
      <w:pPr>
        <w:widowControl/>
        <w:jc w:val="left"/>
        <w:rPr>
          <w:rFonts w:eastAsia="仿宋_GB2312"/>
          <w:sz w:val="32"/>
          <w:szCs w:val="32"/>
        </w:rPr>
      </w:pPr>
      <w:r>
        <w:rPr>
          <w:rFonts w:eastAsia="黑体"/>
          <w:sz w:val="32"/>
          <w:szCs w:val="32"/>
        </w:rPr>
        <w:t>附件</w:t>
      </w:r>
      <w:r>
        <w:rPr>
          <w:rFonts w:hint="eastAsia" w:eastAsia="黑体"/>
          <w:sz w:val="32"/>
          <w:szCs w:val="32"/>
        </w:rPr>
        <w:t>2</w:t>
      </w:r>
    </w:p>
    <w:p>
      <w:pPr>
        <w:jc w:val="center"/>
        <w:rPr>
          <w:rFonts w:ascii="仿宋" w:hAnsi="仿宋" w:eastAsia="仿宋"/>
          <w:b/>
          <w:bCs/>
          <w:sz w:val="44"/>
          <w:szCs w:val="44"/>
        </w:rPr>
      </w:pPr>
      <w:r>
        <w:rPr>
          <w:rFonts w:hint="eastAsia" w:ascii="仿宋" w:hAnsi="仿宋" w:eastAsia="仿宋"/>
          <w:b/>
          <w:bCs/>
          <w:sz w:val="44"/>
          <w:szCs w:val="44"/>
        </w:rPr>
        <w:t>部门整体支出绩效评价基础数据表</w:t>
      </w:r>
    </w:p>
    <w:p>
      <w:pPr>
        <w:rPr>
          <w:rFonts w:ascii="仿宋" w:hAnsi="仿宋" w:eastAsia="仿宋"/>
        </w:rPr>
      </w:pPr>
      <w:r>
        <w:rPr>
          <w:rFonts w:hint="eastAsia" w:ascii="仿宋" w:hAnsi="仿宋" w:eastAsia="仿宋"/>
        </w:rPr>
        <w:t>填报单位：</w:t>
      </w:r>
    </w:p>
    <w:tbl>
      <w:tblPr>
        <w:tblStyle w:val="4"/>
        <w:tblW w:w="1031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3597"/>
        <w:gridCol w:w="2181"/>
        <w:gridCol w:w="2292"/>
        <w:gridCol w:w="2244"/>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2" w:hRule="atLeast"/>
          <w:jc w:val="center"/>
        </w:trPr>
        <w:tc>
          <w:tcPr>
            <w:tcW w:w="3597" w:type="dxa"/>
            <w:vMerge w:val="restart"/>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财政供养人员情况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编制数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2019年实际在职人数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控制率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59" w:hRule="atLeast"/>
          <w:jc w:val="center"/>
        </w:trPr>
        <w:tc>
          <w:tcPr>
            <w:tcW w:w="3597" w:type="dxa"/>
            <w:vMerge w:val="continue"/>
            <w:tcBorders>
              <w:top w:val="single" w:color="000000" w:sz="4" w:space="0"/>
              <w:left w:val="single" w:color="000000" w:sz="4" w:space="0"/>
              <w:bottom w:val="single" w:color="000000" w:sz="4" w:space="0"/>
              <w:right w:val="single" w:color="000000" w:sz="4" w:space="0"/>
            </w:tcBorders>
            <w:vAlign w:val="center"/>
          </w:tcPr>
          <w:p>
            <w:pPr>
              <w:widowControl/>
              <w:spacing w:line="440" w:lineRule="exact"/>
              <w:jc w:val="left"/>
              <w:rPr>
                <w:rFonts w:ascii="仿宋" w:hAnsi="仿宋" w:eastAsia="仿宋"/>
              </w:rPr>
            </w:pP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36</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29</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经费控制情况</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2018年决算数</w:t>
            </w:r>
          </w:p>
        </w:tc>
        <w:tc>
          <w:tcPr>
            <w:tcW w:w="2292"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2019年预算数</w:t>
            </w:r>
          </w:p>
        </w:tc>
        <w:tc>
          <w:tcPr>
            <w:tcW w:w="2244"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2019年决算数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2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三公经费</w:t>
            </w:r>
          </w:p>
        </w:tc>
        <w:tc>
          <w:tcPr>
            <w:tcW w:w="2181"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0.44</w:t>
            </w:r>
          </w:p>
        </w:tc>
        <w:tc>
          <w:tcPr>
            <w:tcW w:w="2292"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27.26</w:t>
            </w:r>
          </w:p>
        </w:tc>
        <w:tc>
          <w:tcPr>
            <w:tcW w:w="2244"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0.26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1、公务用车购置和维护经费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40"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其中：公车购置</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公车运行维护</w:t>
            </w:r>
          </w:p>
        </w:tc>
        <w:tc>
          <w:tcPr>
            <w:tcW w:w="2181"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2、出国经费</w:t>
            </w:r>
          </w:p>
        </w:tc>
        <w:tc>
          <w:tcPr>
            <w:tcW w:w="2181" w:type="dxa"/>
            <w:tcBorders>
              <w:top w:val="single" w:color="000000" w:sz="4" w:space="0"/>
              <w:left w:val="nil"/>
              <w:bottom w:val="single" w:color="000000" w:sz="4" w:space="0"/>
              <w:right w:val="single" w:color="000000" w:sz="4" w:space="0"/>
            </w:tcBorders>
            <w:vAlign w:val="center"/>
          </w:tcPr>
          <w:p>
            <w:pPr>
              <w:spacing w:line="440" w:lineRule="exact"/>
              <w:jc w:val="center"/>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3、公务接待</w:t>
            </w:r>
          </w:p>
        </w:tc>
        <w:tc>
          <w:tcPr>
            <w:tcW w:w="2181"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0.44</w:t>
            </w:r>
          </w:p>
        </w:tc>
        <w:tc>
          <w:tcPr>
            <w:tcW w:w="2292"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27.26</w:t>
            </w:r>
          </w:p>
        </w:tc>
        <w:tc>
          <w:tcPr>
            <w:tcW w:w="2244"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0.26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项目支出：</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1、业务工作专项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2、运行维护专项</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w:t>
            </w:r>
            <w:r>
              <w:rPr>
                <w:rFonts w:hint="eastAsia" w:ascii="宋体" w:hAnsi="宋体" w:cs="宋体"/>
              </w:rPr>
              <w:t> </w:t>
            </w:r>
            <w:r>
              <w:rPr>
                <w:rFonts w:hint="eastAsia" w:ascii="仿宋" w:hAnsi="仿宋" w:eastAsia="仿宋"/>
              </w:rPr>
              <w:t>…</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jc w:val="center"/>
              <w:rPr>
                <w:rFonts w:ascii="仿宋" w:hAnsi="仿宋" w:eastAsia="仿宋"/>
              </w:rPr>
            </w:pP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公用经费</w:t>
            </w:r>
          </w:p>
        </w:tc>
        <w:tc>
          <w:tcPr>
            <w:tcW w:w="2181"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202.58</w:t>
            </w:r>
          </w:p>
        </w:tc>
        <w:tc>
          <w:tcPr>
            <w:tcW w:w="2292"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127.99</w:t>
            </w:r>
          </w:p>
        </w:tc>
        <w:tc>
          <w:tcPr>
            <w:tcW w:w="2244"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376.28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其中：办公经费</w:t>
            </w:r>
          </w:p>
        </w:tc>
        <w:tc>
          <w:tcPr>
            <w:tcW w:w="2181"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35.44</w:t>
            </w:r>
          </w:p>
        </w:tc>
        <w:tc>
          <w:tcPr>
            <w:tcW w:w="2292"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31.53</w:t>
            </w:r>
          </w:p>
        </w:tc>
        <w:tc>
          <w:tcPr>
            <w:tcW w:w="2244"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18.68</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76"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水费、电费、差旅费</w:t>
            </w:r>
          </w:p>
        </w:tc>
        <w:tc>
          <w:tcPr>
            <w:tcW w:w="2181"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11.48</w:t>
            </w:r>
          </w:p>
        </w:tc>
        <w:tc>
          <w:tcPr>
            <w:tcW w:w="2292"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10.5</w:t>
            </w:r>
          </w:p>
        </w:tc>
        <w:tc>
          <w:tcPr>
            <w:tcW w:w="2244"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11.06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94"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会议费、培训费</w:t>
            </w:r>
          </w:p>
        </w:tc>
        <w:tc>
          <w:tcPr>
            <w:tcW w:w="2181"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33.11</w:t>
            </w:r>
          </w:p>
        </w:tc>
        <w:tc>
          <w:tcPr>
            <w:tcW w:w="2292"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20</w:t>
            </w:r>
          </w:p>
        </w:tc>
        <w:tc>
          <w:tcPr>
            <w:tcW w:w="2244"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18.45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405"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政府采购金额</w:t>
            </w:r>
          </w:p>
        </w:tc>
        <w:tc>
          <w:tcPr>
            <w:tcW w:w="2181"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0</w:t>
            </w:r>
          </w:p>
        </w:tc>
        <w:tc>
          <w:tcPr>
            <w:tcW w:w="2292"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0</w:t>
            </w:r>
          </w:p>
        </w:tc>
        <w:tc>
          <w:tcPr>
            <w:tcW w:w="2244" w:type="dxa"/>
            <w:tcBorders>
              <w:top w:val="single" w:color="000000" w:sz="4" w:space="0"/>
              <w:left w:val="nil"/>
              <w:bottom w:val="single" w:color="000000" w:sz="4" w:space="0"/>
              <w:right w:val="single" w:color="000000" w:sz="4" w:space="0"/>
            </w:tcBorders>
            <w:vAlign w:val="center"/>
          </w:tcPr>
          <w:p>
            <w:pPr>
              <w:jc w:val="center"/>
              <w:rPr>
                <w:rFonts w:ascii="仿宋" w:hAnsi="仿宋" w:eastAsia="仿宋"/>
              </w:rPr>
            </w:pPr>
            <w:r>
              <w:rPr>
                <w:rFonts w:hint="eastAsia" w:ascii="仿宋" w:hAnsi="仿宋" w:eastAsia="仿宋"/>
              </w:rPr>
              <w:t>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69" w:hRule="atLeast"/>
          <w:jc w:val="center"/>
        </w:trPr>
        <w:tc>
          <w:tcPr>
            <w:tcW w:w="3597" w:type="dxa"/>
            <w:tcBorders>
              <w:top w:val="single" w:color="000000" w:sz="4" w:space="0"/>
              <w:left w:val="single" w:color="000000" w:sz="4" w:space="0"/>
              <w:bottom w:val="single" w:color="000000" w:sz="4" w:space="0"/>
              <w:right w:val="single" w:color="000000" w:sz="4" w:space="0"/>
            </w:tcBorders>
            <w:vAlign w:val="center"/>
          </w:tcPr>
          <w:p>
            <w:pPr>
              <w:spacing w:line="440" w:lineRule="exact"/>
              <w:jc w:val="center"/>
              <w:rPr>
                <w:rFonts w:ascii="仿宋" w:hAnsi="仿宋" w:eastAsia="仿宋"/>
              </w:rPr>
            </w:pPr>
            <w:r>
              <w:rPr>
                <w:rFonts w:hint="eastAsia" w:ascii="仿宋" w:hAnsi="仿宋" w:eastAsia="仿宋"/>
              </w:rPr>
              <w:t>部门整体支出预算调整</w:t>
            </w:r>
          </w:p>
        </w:tc>
        <w:tc>
          <w:tcPr>
            <w:tcW w:w="2181"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92"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c>
          <w:tcPr>
            <w:tcW w:w="2244" w:type="dxa"/>
            <w:tcBorders>
              <w:top w:val="single" w:color="000000" w:sz="4" w:space="0"/>
              <w:left w:val="nil"/>
              <w:bottom w:val="single" w:color="000000" w:sz="4" w:space="0"/>
              <w:right w:val="single" w:color="000000" w:sz="4" w:space="0"/>
            </w:tcBorders>
          </w:tcPr>
          <w:p>
            <w:pPr>
              <w:spacing w:line="440" w:lineRule="exact"/>
              <w:rPr>
                <w:rFonts w:ascii="仿宋" w:hAnsi="仿宋" w:eastAsia="仿宋"/>
              </w:rPr>
            </w:pPr>
          </w:p>
        </w:tc>
      </w:tr>
    </w:tbl>
    <w:p>
      <w:pPr>
        <w:spacing w:line="400" w:lineRule="exact"/>
        <w:rPr>
          <w:rFonts w:ascii="仿宋" w:hAnsi="仿宋" w:eastAsia="仿宋"/>
        </w:rPr>
      </w:pPr>
      <w:r>
        <w:rPr>
          <w:rFonts w:hint="eastAsia" w:ascii="仿宋" w:hAnsi="仿宋" w:eastAsia="仿宋"/>
        </w:rPr>
        <w:t>说明：“项目支出”需要填报除专项资金和基本支出以外的所有项目情况，包括业务工作项目、运行维护项目等；“公用经费”填报基本支出中的一般商品和服务支出。</w:t>
      </w:r>
    </w:p>
    <w:p/>
    <w:p/>
    <w:p/>
    <w:p/>
    <w:p/>
    <w:p/>
    <w:p/>
    <w:p>
      <w:pPr>
        <w:widowControl/>
        <w:spacing w:line="600" w:lineRule="exact"/>
        <w:jc w:val="left"/>
        <w:rPr>
          <w:rFonts w:eastAsia="黑体"/>
          <w:kern w:val="0"/>
          <w:sz w:val="32"/>
          <w:szCs w:val="32"/>
        </w:rPr>
      </w:pPr>
      <w:r>
        <w:rPr>
          <w:rFonts w:eastAsia="黑体"/>
          <w:kern w:val="0"/>
          <w:sz w:val="32"/>
          <w:szCs w:val="32"/>
        </w:rPr>
        <w:t>附件</w:t>
      </w:r>
      <w:r>
        <w:rPr>
          <w:rFonts w:hint="eastAsia" w:eastAsia="黑体"/>
          <w:kern w:val="0"/>
          <w:sz w:val="32"/>
          <w:szCs w:val="32"/>
        </w:rPr>
        <w:t>3</w:t>
      </w:r>
    </w:p>
    <w:p>
      <w:pPr>
        <w:widowControl/>
        <w:spacing w:line="600" w:lineRule="exact"/>
        <w:jc w:val="left"/>
        <w:rPr>
          <w:rFonts w:eastAsia="黑体"/>
          <w:kern w:val="0"/>
          <w:sz w:val="32"/>
          <w:szCs w:val="32"/>
        </w:rPr>
      </w:pPr>
    </w:p>
    <w:p>
      <w:pPr>
        <w:spacing w:line="600" w:lineRule="exact"/>
        <w:jc w:val="center"/>
        <w:rPr>
          <w:rFonts w:eastAsia="楷体_GB2312"/>
          <w:sz w:val="32"/>
          <w:szCs w:val="32"/>
        </w:rPr>
      </w:pPr>
      <w:r>
        <w:rPr>
          <w:rFonts w:eastAsia="方正小标宋_GBK"/>
          <w:sz w:val="36"/>
          <w:szCs w:val="36"/>
        </w:rPr>
        <w:t>部门整体支出绩效评价报告</w:t>
      </w:r>
    </w:p>
    <w:p>
      <w:pPr>
        <w:spacing w:line="600" w:lineRule="exact"/>
        <w:jc w:val="center"/>
        <w:rPr>
          <w:rFonts w:eastAsia="方正小标宋_GBK"/>
          <w:sz w:val="32"/>
          <w:szCs w:val="32"/>
        </w:rPr>
      </w:pPr>
    </w:p>
    <w:p>
      <w:pPr>
        <w:pStyle w:val="8"/>
        <w:widowControl/>
        <w:spacing w:line="600" w:lineRule="exact"/>
        <w:ind w:left="640" w:firstLine="0" w:firstLineChars="0"/>
        <w:rPr>
          <w:rFonts w:ascii="仿宋" w:hAnsi="仿宋" w:eastAsia="仿宋"/>
          <w:b/>
          <w:sz w:val="32"/>
          <w:szCs w:val="32"/>
        </w:rPr>
      </w:pPr>
      <w:r>
        <w:rPr>
          <w:rFonts w:hint="eastAsia" w:ascii="Times New Roman" w:hAnsi="Times New Roman" w:eastAsia="黑体"/>
          <w:sz w:val="32"/>
          <w:szCs w:val="32"/>
        </w:rPr>
        <w:t>一、</w:t>
      </w:r>
      <w:r>
        <w:rPr>
          <w:rFonts w:ascii="Times New Roman" w:hAnsi="Times New Roman" w:eastAsia="黑体"/>
          <w:sz w:val="32"/>
          <w:szCs w:val="32"/>
        </w:rPr>
        <w:t>单位基本情况</w:t>
      </w:r>
    </w:p>
    <w:p>
      <w:pPr>
        <w:widowControl/>
        <w:spacing w:line="600" w:lineRule="exact"/>
        <w:ind w:firstLine="640" w:firstLineChars="200"/>
        <w:rPr>
          <w:rFonts w:ascii="仿宋" w:hAnsi="仿宋" w:eastAsia="仿宋"/>
          <w:sz w:val="32"/>
          <w:szCs w:val="32"/>
        </w:rPr>
      </w:pPr>
      <w:r>
        <w:rPr>
          <w:rFonts w:hint="eastAsia" w:ascii="仿宋" w:hAnsi="仿宋" w:eastAsia="仿宋"/>
          <w:sz w:val="32"/>
          <w:szCs w:val="32"/>
        </w:rPr>
        <w:t>怀化市鹤城区委组织部成立于1998年，主要工作职责:负责研究和指导党组织建设，负责提出领导班子调整、配备的意见建议，研究制订全区组织管理信息系统建设规划，负责干部监督工作的宏观指导，制订干部教育工作规划等。</w:t>
      </w:r>
    </w:p>
    <w:p>
      <w:pPr>
        <w:widowControl/>
        <w:spacing w:line="600" w:lineRule="exact"/>
        <w:ind w:firstLine="640" w:firstLineChars="200"/>
        <w:rPr>
          <w:rFonts w:ascii="仿宋" w:hAnsi="仿宋" w:eastAsia="仿宋"/>
          <w:b/>
          <w:bCs/>
          <w:sz w:val="32"/>
          <w:szCs w:val="32"/>
        </w:rPr>
      </w:pPr>
      <w:r>
        <w:rPr>
          <w:rFonts w:hint="eastAsia" w:ascii="仿宋" w:hAnsi="仿宋" w:eastAsia="仿宋"/>
          <w:sz w:val="32"/>
          <w:szCs w:val="32"/>
        </w:rPr>
        <w:t>鹤城区委组织部内设机构包括：办公室、研究室、组织组、干部组、干部监督教育室、干部档案信息管理室、直属机关工委、非公和社会组织工委、党员远程教育中心、人才组、基层党建办、人才发展服务中心。</w:t>
      </w:r>
    </w:p>
    <w:p>
      <w:pPr>
        <w:pStyle w:val="8"/>
        <w:widowControl/>
        <w:spacing w:line="600" w:lineRule="exact"/>
        <w:ind w:firstLine="640"/>
        <w:rPr>
          <w:rFonts w:ascii="仿宋" w:hAnsi="仿宋" w:eastAsia="仿宋"/>
          <w:sz w:val="32"/>
          <w:szCs w:val="32"/>
        </w:rPr>
      </w:pPr>
      <w:r>
        <w:rPr>
          <w:rFonts w:hint="eastAsia" w:ascii="仿宋" w:hAnsi="仿宋" w:eastAsia="仿宋"/>
          <w:sz w:val="32"/>
          <w:szCs w:val="32"/>
        </w:rPr>
        <w:t>单位有编制数36个，在编</w:t>
      </w:r>
      <w:r>
        <w:rPr>
          <w:rFonts w:ascii="仿宋" w:hAnsi="仿宋" w:eastAsia="仿宋"/>
          <w:sz w:val="32"/>
          <w:szCs w:val="32"/>
        </w:rPr>
        <w:t>2</w:t>
      </w:r>
      <w:r>
        <w:rPr>
          <w:rFonts w:hint="eastAsia" w:ascii="仿宋" w:hAnsi="仿宋" w:eastAsia="仿宋"/>
          <w:sz w:val="32"/>
          <w:szCs w:val="32"/>
        </w:rPr>
        <w:t>9人，领导班子成员</w:t>
      </w:r>
      <w:r>
        <w:rPr>
          <w:rFonts w:ascii="仿宋" w:hAnsi="仿宋" w:eastAsia="仿宋"/>
          <w:sz w:val="32"/>
          <w:szCs w:val="32"/>
        </w:rPr>
        <w:t>4</w:t>
      </w:r>
      <w:r>
        <w:rPr>
          <w:rFonts w:hint="eastAsia" w:ascii="仿宋" w:hAnsi="仿宋" w:eastAsia="仿宋"/>
          <w:sz w:val="32"/>
          <w:szCs w:val="32"/>
        </w:rPr>
        <w:t>人，共有干部职工</w:t>
      </w:r>
      <w:r>
        <w:rPr>
          <w:rFonts w:ascii="仿宋" w:hAnsi="仿宋" w:eastAsia="仿宋"/>
          <w:sz w:val="32"/>
          <w:szCs w:val="32"/>
        </w:rPr>
        <w:t>3</w:t>
      </w:r>
      <w:r>
        <w:rPr>
          <w:rFonts w:hint="eastAsia" w:ascii="仿宋" w:hAnsi="仿宋" w:eastAsia="仿宋"/>
          <w:sz w:val="32"/>
          <w:szCs w:val="32"/>
        </w:rPr>
        <w:t>9人，其中在职</w:t>
      </w:r>
      <w:r>
        <w:rPr>
          <w:rFonts w:ascii="仿宋" w:hAnsi="仿宋" w:eastAsia="仿宋"/>
          <w:sz w:val="32"/>
          <w:szCs w:val="32"/>
        </w:rPr>
        <w:t>2</w:t>
      </w:r>
      <w:r>
        <w:rPr>
          <w:rFonts w:hint="eastAsia" w:ascii="仿宋" w:hAnsi="仿宋" w:eastAsia="仿宋"/>
          <w:sz w:val="32"/>
          <w:szCs w:val="32"/>
        </w:rPr>
        <w:t>9人、离退休</w:t>
      </w:r>
      <w:r>
        <w:rPr>
          <w:rFonts w:ascii="仿宋" w:hAnsi="仿宋" w:eastAsia="仿宋"/>
          <w:sz w:val="32"/>
          <w:szCs w:val="32"/>
        </w:rPr>
        <w:t>10</w:t>
      </w:r>
      <w:r>
        <w:rPr>
          <w:rFonts w:hint="eastAsia" w:ascii="仿宋" w:hAnsi="仿宋" w:eastAsia="仿宋"/>
          <w:sz w:val="32"/>
          <w:szCs w:val="32"/>
        </w:rPr>
        <w:t>人。党总支下设机关、老干等党支部，共有党员</w:t>
      </w:r>
      <w:r>
        <w:rPr>
          <w:rFonts w:ascii="仿宋" w:hAnsi="仿宋" w:eastAsia="仿宋"/>
          <w:sz w:val="32"/>
          <w:szCs w:val="32"/>
        </w:rPr>
        <w:t>3</w:t>
      </w:r>
      <w:r>
        <w:rPr>
          <w:rFonts w:hint="eastAsia" w:ascii="仿宋" w:hAnsi="仿宋" w:eastAsia="仿宋"/>
          <w:sz w:val="32"/>
          <w:szCs w:val="32"/>
        </w:rPr>
        <w:t>9人。</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一般公共预算支出情况</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（一）</w:t>
      </w:r>
      <w:r>
        <w:rPr>
          <w:rFonts w:ascii="Times New Roman" w:hAnsi="Times New Roman" w:eastAsia="黑体"/>
          <w:sz w:val="32"/>
          <w:szCs w:val="32"/>
        </w:rPr>
        <w:t>基本支出情况</w:t>
      </w:r>
    </w:p>
    <w:p>
      <w:pPr>
        <w:pStyle w:val="9"/>
        <w:ind w:firstLine="640" w:firstLineChars="200"/>
        <w:rPr>
          <w:rFonts w:asciiTheme="minorEastAsia" w:hAnsiTheme="minorEastAsia" w:eastAsiaTheme="minorEastAsia"/>
          <w:sz w:val="32"/>
          <w:szCs w:val="32"/>
        </w:rPr>
      </w:pPr>
      <w:r>
        <w:rPr>
          <w:rFonts w:hint="eastAsia" w:ascii="仿宋" w:hAnsi="仿宋" w:eastAsia="仿宋" w:cs="Times New Roman"/>
          <w:color w:val="auto"/>
          <w:kern w:val="2"/>
          <w:sz w:val="32"/>
          <w:szCs w:val="32"/>
        </w:rPr>
        <w:t>2019年度财政拨款基本支出418.09万元，其中：人员经费306.4万元，占基本支出的73.29%,主要包括基本工资、津贴补贴、奖金、伙食补助费等；公用经费111.69万元，占基本支出的26.71%，主要包括办公费、印刷费、邮电费、手续费、差旅费、会议费、培训费等。</w:t>
      </w:r>
    </w:p>
    <w:p>
      <w:pPr>
        <w:pStyle w:val="8"/>
        <w:widowControl/>
        <w:spacing w:line="600" w:lineRule="exact"/>
        <w:ind w:left="640" w:firstLine="0" w:firstLineChars="0"/>
        <w:rPr>
          <w:rFonts w:ascii="Times New Roman" w:hAnsi="Times New Roman" w:eastAsia="黑体"/>
          <w:sz w:val="32"/>
          <w:szCs w:val="32"/>
        </w:rPr>
      </w:pPr>
      <w:r>
        <w:rPr>
          <w:rFonts w:hint="eastAsia" w:ascii="Times New Roman" w:hAnsi="Times New Roman" w:eastAsia="黑体"/>
          <w:sz w:val="32"/>
          <w:szCs w:val="32"/>
        </w:rPr>
        <w:t>（二）</w:t>
      </w:r>
      <w:r>
        <w:rPr>
          <w:rFonts w:ascii="Times New Roman" w:hAnsi="Times New Roman" w:eastAsia="黑体"/>
          <w:sz w:val="32"/>
          <w:szCs w:val="32"/>
        </w:rPr>
        <w:t>项目支出情况</w:t>
      </w:r>
    </w:p>
    <w:p>
      <w:pPr>
        <w:spacing w:line="640" w:lineRule="exact"/>
        <w:ind w:firstLine="640" w:firstLineChars="200"/>
        <w:rPr>
          <w:rFonts w:eastAsia="仿宋_GB2312"/>
          <w:color w:val="FF0000"/>
          <w:sz w:val="32"/>
          <w:szCs w:val="32"/>
        </w:rPr>
      </w:pPr>
      <w:r>
        <w:rPr>
          <w:rFonts w:eastAsia="仿宋_GB2312"/>
          <w:sz w:val="32"/>
          <w:szCs w:val="32"/>
        </w:rPr>
        <w:t>两方面：一是</w:t>
      </w:r>
      <w:r>
        <w:rPr>
          <w:rFonts w:hint="eastAsia" w:eastAsia="仿宋_GB2312"/>
          <w:sz w:val="32"/>
          <w:szCs w:val="32"/>
        </w:rPr>
        <w:t>2019</w:t>
      </w:r>
      <w:r>
        <w:rPr>
          <w:rFonts w:eastAsia="仿宋_GB2312"/>
          <w:sz w:val="32"/>
          <w:szCs w:val="32"/>
        </w:rPr>
        <w:t>年度专项资金安排和使用管理情况，</w:t>
      </w:r>
      <w:r>
        <w:rPr>
          <w:rFonts w:hint="eastAsia" w:eastAsia="仿宋_GB2312"/>
          <w:sz w:val="32"/>
          <w:szCs w:val="32"/>
        </w:rPr>
        <w:t>无</w:t>
      </w:r>
      <w:r>
        <w:rPr>
          <w:rFonts w:eastAsia="仿宋_GB2312"/>
          <w:sz w:val="32"/>
          <w:szCs w:val="32"/>
        </w:rPr>
        <w:t>。二是除专项资金以外的其他项目支出情况。</w:t>
      </w:r>
      <w:r>
        <w:rPr>
          <w:rFonts w:hint="eastAsia" w:eastAsia="仿宋_GB2312"/>
          <w:sz w:val="32"/>
          <w:szCs w:val="32"/>
        </w:rPr>
        <w:t>其他商品和服务支出共计285.15万元，包含2019年两新组织运转经费24.7万元、2019年两新组织支部书记补贴30.57万元、2019年两新组织党建指导员补贴23.64万元、乡镇街道党建工作站工作经费22万元、党建E+网格流量补贴40万元、农村大学生培养计划学员奖学金20万元、大学生村官医保、养老、生育保险缴费29.64万元、人才引进工作经费21.48万元（拨付人社局）、引进人才工资、住房、生活补贴38.61万元、全区干部异地教育培训、教材等专项经费34.51万元等。</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三、</w:t>
      </w:r>
      <w:r>
        <w:rPr>
          <w:rFonts w:ascii="Times New Roman" w:hAnsi="Times New Roman" w:eastAsia="黑体"/>
          <w:sz w:val="32"/>
          <w:szCs w:val="32"/>
        </w:rPr>
        <w:t>政府性基金预算支出情况</w:t>
      </w:r>
    </w:p>
    <w:p>
      <w:pPr>
        <w:spacing w:line="560" w:lineRule="exact"/>
        <w:ind w:firstLine="640" w:firstLineChars="200"/>
        <w:jc w:val="left"/>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年政府性基金支出为</w:t>
      </w:r>
      <w:r>
        <w:rPr>
          <w:rFonts w:ascii="仿宋_GB2312" w:eastAsia="仿宋_GB2312"/>
          <w:sz w:val="32"/>
          <w:szCs w:val="32"/>
        </w:rPr>
        <w:t>0</w:t>
      </w:r>
      <w:r>
        <w:rPr>
          <w:rFonts w:hint="eastAsia" w:ascii="仿宋_GB2312" w:eastAsia="仿宋_GB2312"/>
          <w:sz w:val="32"/>
          <w:szCs w:val="32"/>
        </w:rPr>
        <w:t>万元。</w:t>
      </w:r>
    </w:p>
    <w:p>
      <w:pPr>
        <w:pStyle w:val="8"/>
        <w:widowControl/>
        <w:spacing w:line="600" w:lineRule="exact"/>
        <w:ind w:firstLine="640"/>
        <w:jc w:val="left"/>
        <w:rPr>
          <w:rFonts w:ascii="Times New Roman" w:hAnsi="Times New Roman" w:eastAsia="仿宋_GB2312"/>
          <w:sz w:val="32"/>
          <w:szCs w:val="32"/>
        </w:rPr>
      </w:pPr>
      <w:r>
        <w:rPr>
          <w:rFonts w:hint="eastAsia" w:ascii="仿宋_GB2312" w:eastAsia="仿宋_GB2312"/>
          <w:sz w:val="32"/>
          <w:szCs w:val="32"/>
        </w:rPr>
        <w:t>备注：鹤城区委组织部无政府性基金支出。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四、</w:t>
      </w:r>
      <w:r>
        <w:rPr>
          <w:rFonts w:ascii="Times New Roman" w:hAnsi="Times New Roman" w:eastAsia="黑体"/>
          <w:sz w:val="32"/>
          <w:szCs w:val="32"/>
        </w:rPr>
        <w:t>国有资本经营预算支出情况</w:t>
      </w:r>
    </w:p>
    <w:p>
      <w:pPr>
        <w:pStyle w:val="8"/>
        <w:widowControl/>
        <w:spacing w:line="600" w:lineRule="exact"/>
        <w:ind w:left="640" w:firstLine="0" w:firstLineChars="0"/>
        <w:jc w:val="left"/>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年国有资本经营预算支出为0万元。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仿宋_GB2312" w:eastAsia="仿宋_GB2312"/>
          <w:sz w:val="32"/>
          <w:szCs w:val="32"/>
        </w:rPr>
        <w:t>备注：鹤城区委组织部无</w:t>
      </w:r>
      <w:r>
        <w:rPr>
          <w:rFonts w:hint="eastAsia" w:ascii="Times New Roman" w:hAnsi="Times New Roman" w:eastAsia="仿宋_GB2312"/>
          <w:sz w:val="32"/>
          <w:szCs w:val="32"/>
        </w:rPr>
        <w:t>国有资本经营预算支出。</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五、</w:t>
      </w:r>
      <w:r>
        <w:rPr>
          <w:rFonts w:ascii="Times New Roman" w:hAnsi="Times New Roman" w:eastAsia="黑体"/>
          <w:sz w:val="32"/>
          <w:szCs w:val="32"/>
        </w:rPr>
        <w:t>社会保险基金预算支出情况</w:t>
      </w:r>
    </w:p>
    <w:p>
      <w:pPr>
        <w:pStyle w:val="8"/>
        <w:widowControl/>
        <w:spacing w:line="600" w:lineRule="exact"/>
        <w:ind w:left="640" w:firstLine="0" w:firstLineChars="0"/>
        <w:jc w:val="left"/>
        <w:rPr>
          <w:rFonts w:ascii="仿宋_GB2312" w:eastAsia="仿宋_GB2312"/>
          <w:sz w:val="32"/>
          <w:szCs w:val="32"/>
        </w:rPr>
      </w:pPr>
      <w:r>
        <w:rPr>
          <w:rFonts w:hint="eastAsia" w:ascii="仿宋_GB2312" w:eastAsia="仿宋_GB2312"/>
          <w:sz w:val="32"/>
          <w:szCs w:val="32"/>
        </w:rPr>
        <w:t>20</w:t>
      </w:r>
      <w:r>
        <w:rPr>
          <w:rFonts w:ascii="仿宋_GB2312" w:eastAsia="仿宋_GB2312"/>
          <w:sz w:val="32"/>
          <w:szCs w:val="32"/>
        </w:rPr>
        <w:t>19</w:t>
      </w:r>
      <w:r>
        <w:rPr>
          <w:rFonts w:hint="eastAsia" w:ascii="仿宋_GB2312" w:eastAsia="仿宋_GB2312"/>
          <w:sz w:val="32"/>
          <w:szCs w:val="32"/>
        </w:rPr>
        <w:t>年社会保险基金预算支出为0万元。</w:t>
      </w:r>
    </w:p>
    <w:p>
      <w:pPr>
        <w:pStyle w:val="8"/>
        <w:widowControl/>
        <w:spacing w:line="600" w:lineRule="exact"/>
        <w:ind w:left="640" w:firstLine="0" w:firstLineChars="0"/>
        <w:jc w:val="left"/>
        <w:rPr>
          <w:rFonts w:ascii="Times New Roman" w:hAnsi="Times New Roman" w:eastAsia="黑体"/>
          <w:sz w:val="32"/>
          <w:szCs w:val="32"/>
        </w:rPr>
      </w:pPr>
      <w:r>
        <w:rPr>
          <w:rFonts w:hint="eastAsia" w:ascii="仿宋_GB2312" w:eastAsia="仿宋_GB2312"/>
          <w:sz w:val="32"/>
          <w:szCs w:val="32"/>
        </w:rPr>
        <w:t>备注：鹤城区委组织部</w:t>
      </w:r>
      <w:r>
        <w:rPr>
          <w:rFonts w:hint="eastAsia" w:ascii="Times New Roman" w:hAnsi="Times New Roman" w:eastAsia="仿宋_GB2312"/>
          <w:sz w:val="32"/>
          <w:szCs w:val="32"/>
        </w:rPr>
        <w:t>无社会保险基金预算支出。</w:t>
      </w:r>
    </w:p>
    <w:p>
      <w:pPr>
        <w:widowControl/>
        <w:spacing w:line="600" w:lineRule="exact"/>
        <w:ind w:firstLine="645"/>
        <w:jc w:val="left"/>
        <w:rPr>
          <w:rFonts w:eastAsia="黑体"/>
          <w:sz w:val="32"/>
          <w:szCs w:val="32"/>
        </w:rPr>
      </w:pPr>
      <w:r>
        <w:rPr>
          <w:rFonts w:eastAsia="黑体"/>
          <w:sz w:val="32"/>
          <w:szCs w:val="32"/>
        </w:rPr>
        <w:t>六、部门整体支出绩效情况</w:t>
      </w:r>
    </w:p>
    <w:p>
      <w:pPr>
        <w:spacing w:line="600" w:lineRule="exact"/>
        <w:ind w:firstLine="640" w:firstLineChars="200"/>
        <w:rPr>
          <w:rFonts w:eastAsia="仿宋_GB2312"/>
          <w:color w:val="000000"/>
          <w:sz w:val="32"/>
          <w:szCs w:val="32"/>
        </w:rPr>
      </w:pPr>
      <w:r>
        <w:rPr>
          <w:rFonts w:hint="eastAsia" w:ascii="仿宋" w:hAnsi="仿宋" w:eastAsia="仿宋"/>
          <w:sz w:val="32"/>
          <w:szCs w:val="32"/>
        </w:rPr>
        <w:t>一是夯实基础，有效控制预算执行审核监督风险，二是严格把关，有效控制监督检查风险。按照经费明细管理办法审核了2019年各项支出的原始凭证合法性、合规性。三是规范程序，有效控制流程运行风险。严格执行授权审批制度，按照授权审批程序逐级审批。四是政务公开，有效控制管理风险。在工作中坚持权利制衡，严格按照“三重一大”集体决策机制，大额资金支付、重要事项、重大决策等全部由部务会通过。</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（一）收入决算：</w:t>
      </w:r>
      <w:r>
        <w:rPr>
          <w:rFonts w:hint="eastAsia" w:ascii="仿宋" w:hAnsi="仿宋" w:eastAsia="仿宋"/>
          <w:sz w:val="32"/>
          <w:szCs w:val="32"/>
        </w:rPr>
        <w:t>2019年部门决算收入</w:t>
      </w:r>
      <w:r>
        <w:rPr>
          <w:rFonts w:hint="eastAsia" w:asciiTheme="minorEastAsia" w:hAnsiTheme="minorEastAsia" w:eastAsiaTheme="minorEastAsia"/>
          <w:sz w:val="32"/>
          <w:szCs w:val="32"/>
        </w:rPr>
        <w:t>680.54</w:t>
      </w:r>
      <w:r>
        <w:rPr>
          <w:rFonts w:hint="eastAsia" w:ascii="仿宋" w:hAnsi="仿宋" w:eastAsia="仿宋"/>
          <w:sz w:val="32"/>
          <w:szCs w:val="32"/>
        </w:rPr>
        <w:t>万元，其中财政拨款</w:t>
      </w:r>
      <w:r>
        <w:rPr>
          <w:rFonts w:hint="eastAsia" w:asciiTheme="minorEastAsia" w:hAnsiTheme="minorEastAsia" w:eastAsiaTheme="minorEastAsia"/>
          <w:sz w:val="32"/>
          <w:szCs w:val="32"/>
        </w:rPr>
        <w:t>680.54</w:t>
      </w:r>
      <w:r>
        <w:rPr>
          <w:rFonts w:hint="eastAsia" w:ascii="仿宋" w:hAnsi="仿宋" w:eastAsia="仿宋"/>
          <w:sz w:val="32"/>
          <w:szCs w:val="32"/>
        </w:rPr>
        <w:t>万元，占100%，上级补助收入0万元，事业收入0万元，其他收入0万元。上年结转0.02万元。</w:t>
      </w:r>
    </w:p>
    <w:p>
      <w:pPr>
        <w:spacing w:line="600" w:lineRule="exact"/>
        <w:ind w:firstLine="643" w:firstLineChars="200"/>
        <w:rPr>
          <w:rFonts w:ascii="仿宋" w:hAnsi="仿宋" w:eastAsia="仿宋"/>
          <w:sz w:val="32"/>
          <w:szCs w:val="32"/>
        </w:rPr>
      </w:pPr>
      <w:r>
        <w:rPr>
          <w:rFonts w:hint="eastAsia" w:ascii="仿宋" w:hAnsi="仿宋" w:eastAsia="仿宋"/>
          <w:b/>
          <w:bCs/>
          <w:sz w:val="32"/>
          <w:szCs w:val="32"/>
        </w:rPr>
        <w:t>（二）支出决算：</w:t>
      </w:r>
      <w:r>
        <w:rPr>
          <w:rFonts w:hint="eastAsia" w:ascii="仿宋" w:hAnsi="仿宋" w:eastAsia="仿宋"/>
          <w:sz w:val="32"/>
          <w:szCs w:val="32"/>
        </w:rPr>
        <w:t>2019年部门决算支出</w:t>
      </w:r>
      <w:r>
        <w:rPr>
          <w:rFonts w:hint="eastAsia" w:asciiTheme="minorEastAsia" w:hAnsiTheme="minorEastAsia" w:eastAsiaTheme="minorEastAsia"/>
          <w:sz w:val="32"/>
          <w:szCs w:val="32"/>
        </w:rPr>
        <w:t>682.68</w:t>
      </w:r>
      <w:r>
        <w:rPr>
          <w:rFonts w:hint="eastAsia" w:ascii="仿宋" w:hAnsi="仿宋" w:eastAsia="仿宋"/>
          <w:sz w:val="32"/>
          <w:szCs w:val="32"/>
        </w:rPr>
        <w:t>万元，其中基本支出</w:t>
      </w:r>
      <w:r>
        <w:rPr>
          <w:rFonts w:hint="eastAsia" w:asciiTheme="minorEastAsia" w:hAnsiTheme="minorEastAsia" w:eastAsiaTheme="minorEastAsia"/>
          <w:sz w:val="32"/>
          <w:szCs w:val="32"/>
        </w:rPr>
        <w:t>682.68</w:t>
      </w:r>
      <w:r>
        <w:rPr>
          <w:rFonts w:hint="eastAsia" w:ascii="仿宋" w:hAnsi="仿宋" w:eastAsia="仿宋"/>
          <w:sz w:val="32"/>
          <w:szCs w:val="32"/>
        </w:rPr>
        <w:t>万元，占100%，项目支出0万元。公用经费376.28万元，其中办公经费支出48.2万元，差旅费支出11.06万元，会议费培训费支出18.45万元。</w:t>
      </w:r>
    </w:p>
    <w:p>
      <w:pPr>
        <w:spacing w:line="600" w:lineRule="exact"/>
        <w:ind w:firstLine="640" w:firstLineChars="200"/>
        <w:rPr>
          <w:rFonts w:hint="eastAsia" w:ascii="仿宋" w:hAnsi="仿宋" w:eastAsia="仿宋"/>
          <w:sz w:val="32"/>
          <w:szCs w:val="32"/>
        </w:rPr>
      </w:pPr>
      <w:r>
        <w:rPr>
          <w:rFonts w:hint="eastAsia" w:ascii="仿宋" w:hAnsi="仿宋" w:eastAsia="仿宋"/>
          <w:sz w:val="32"/>
          <w:szCs w:val="32"/>
        </w:rPr>
        <w:t>（三）</w:t>
      </w:r>
      <w:r>
        <w:rPr>
          <w:rFonts w:hint="eastAsia" w:ascii="仿宋" w:hAnsi="仿宋" w:eastAsia="仿宋"/>
          <w:b/>
          <w:bCs/>
          <w:sz w:val="32"/>
          <w:szCs w:val="32"/>
        </w:rPr>
        <w:t>“三公”经费增减情况：</w:t>
      </w:r>
      <w:r>
        <w:rPr>
          <w:rFonts w:hint="eastAsia" w:ascii="仿宋" w:hAnsi="仿宋" w:eastAsia="仿宋"/>
          <w:sz w:val="32"/>
          <w:szCs w:val="32"/>
        </w:rPr>
        <w:t>2019年预算“三公”经费数为27.62万元，实际支出数0.29万元，较2018年支出0.44万元节约0.15万元。其中公务用车购置和维护经费0万元，公务接待节约0.15万元。</w:t>
      </w:r>
    </w:p>
    <w:p>
      <w:pPr>
        <w:spacing w:line="600" w:lineRule="exact"/>
        <w:ind w:firstLine="640" w:firstLineChars="200"/>
        <w:rPr>
          <w:rFonts w:eastAsia="仿宋_GB2312"/>
          <w:color w:val="000000"/>
          <w:sz w:val="32"/>
          <w:szCs w:val="32"/>
        </w:rPr>
      </w:pPr>
      <w:r>
        <w:rPr>
          <w:rFonts w:hint="eastAsia" w:ascii="仿宋" w:hAnsi="仿宋" w:eastAsia="仿宋"/>
          <w:sz w:val="32"/>
          <w:szCs w:val="32"/>
        </w:rPr>
        <w:t>经单位自评：2019年部门整体支出绩效评价得分94分，为优秀。</w:t>
      </w:r>
    </w:p>
    <w:p>
      <w:pPr>
        <w:pStyle w:val="8"/>
        <w:widowControl/>
        <w:spacing w:line="600" w:lineRule="exact"/>
        <w:ind w:left="640" w:firstLine="0" w:firstLineChars="0"/>
        <w:jc w:val="left"/>
        <w:rPr>
          <w:rFonts w:ascii="Times New Roman" w:hAnsi="Times New Roman" w:eastAsia="黑体"/>
          <w:sz w:val="32"/>
          <w:szCs w:val="32"/>
        </w:rPr>
      </w:pPr>
      <w:r>
        <w:rPr>
          <w:rFonts w:hint="eastAsia" w:ascii="Times New Roman" w:hAnsi="Times New Roman" w:eastAsia="黑体"/>
          <w:sz w:val="32"/>
          <w:szCs w:val="32"/>
        </w:rPr>
        <w:t>七、</w:t>
      </w:r>
      <w:r>
        <w:rPr>
          <w:rFonts w:ascii="Times New Roman" w:hAnsi="Times New Roman" w:eastAsia="黑体"/>
          <w:sz w:val="32"/>
          <w:szCs w:val="32"/>
        </w:rPr>
        <w:t>存在的问题及原因分析</w:t>
      </w:r>
    </w:p>
    <w:p>
      <w:pPr>
        <w:widowControl/>
        <w:spacing w:line="600" w:lineRule="exact"/>
        <w:ind w:firstLine="640" w:firstLineChars="200"/>
        <w:jc w:val="left"/>
        <w:rPr>
          <w:rFonts w:eastAsia="仿宋_GB2312"/>
          <w:sz w:val="32"/>
          <w:szCs w:val="32"/>
        </w:rPr>
      </w:pPr>
      <w:r>
        <w:rPr>
          <w:rFonts w:hint="eastAsia" w:eastAsia="仿宋_GB2312"/>
          <w:sz w:val="32"/>
          <w:szCs w:val="32"/>
        </w:rPr>
        <w:t>无</w:t>
      </w:r>
      <w:r>
        <w:rPr>
          <w:rFonts w:eastAsia="仿宋_GB2312"/>
          <w:sz w:val="32"/>
          <w:szCs w:val="32"/>
        </w:rPr>
        <w:t>。</w:t>
      </w:r>
    </w:p>
    <w:p>
      <w:pPr>
        <w:widowControl/>
        <w:spacing w:line="600" w:lineRule="exact"/>
        <w:ind w:firstLine="640" w:firstLineChars="200"/>
        <w:jc w:val="left"/>
        <w:rPr>
          <w:rFonts w:eastAsia="黑体"/>
          <w:sz w:val="32"/>
          <w:szCs w:val="32"/>
        </w:rPr>
      </w:pPr>
      <w:r>
        <w:rPr>
          <w:rFonts w:eastAsia="黑体"/>
          <w:sz w:val="32"/>
          <w:szCs w:val="32"/>
        </w:rPr>
        <w:t>八、下一步改进措施</w:t>
      </w:r>
    </w:p>
    <w:p>
      <w:pPr>
        <w:widowControl/>
        <w:spacing w:line="600" w:lineRule="exact"/>
        <w:ind w:firstLine="645"/>
        <w:jc w:val="left"/>
        <w:rPr>
          <w:rFonts w:eastAsia="黑体"/>
          <w:sz w:val="32"/>
          <w:szCs w:val="32"/>
        </w:rPr>
      </w:pPr>
      <w:r>
        <w:rPr>
          <w:rFonts w:eastAsia="黑体"/>
          <w:sz w:val="32"/>
          <w:szCs w:val="32"/>
        </w:rPr>
        <w:t>九、其他需要说明的情况</w:t>
      </w:r>
    </w:p>
    <w:p>
      <w:pPr>
        <w:widowControl/>
        <w:spacing w:line="600" w:lineRule="exact"/>
        <w:ind w:firstLine="645"/>
        <w:jc w:val="left"/>
        <w:rPr>
          <w:rFonts w:eastAsia="仿宋_GB2312"/>
          <w:sz w:val="32"/>
          <w:szCs w:val="32"/>
        </w:rPr>
      </w:pP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0" w:firstLineChars="200"/>
        <w:jc w:val="left"/>
        <w:rPr>
          <w:rFonts w:eastAsia="仿宋_GB2312"/>
          <w:sz w:val="32"/>
          <w:szCs w:val="32"/>
        </w:rPr>
      </w:pPr>
      <w:r>
        <w:rPr>
          <w:rFonts w:eastAsia="仿宋_GB2312"/>
          <w:sz w:val="32"/>
          <w:szCs w:val="32"/>
        </w:rPr>
        <w:t>1、部门整体支出绩效评价基础数据表</w:t>
      </w:r>
    </w:p>
    <w:p>
      <w:pPr>
        <w:widowControl/>
        <w:spacing w:line="600" w:lineRule="exact"/>
        <w:ind w:firstLine="640" w:firstLineChars="200"/>
        <w:jc w:val="left"/>
        <w:rPr>
          <w:rFonts w:eastAsia="仿宋_GB2312"/>
          <w:sz w:val="32"/>
          <w:szCs w:val="32"/>
        </w:rPr>
      </w:pPr>
      <w:r>
        <w:rPr>
          <w:rFonts w:eastAsia="仿宋_GB2312"/>
          <w:sz w:val="32"/>
          <w:szCs w:val="32"/>
        </w:rPr>
        <w:t>2、部门整体支出绩效自评表</w:t>
      </w: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p>
    <w:p>
      <w:pPr>
        <w:spacing w:line="600" w:lineRule="exact"/>
        <w:rPr>
          <w:rFonts w:eastAsia="黑体"/>
          <w:sz w:val="32"/>
          <w:szCs w:val="32"/>
        </w:rPr>
      </w:pPr>
      <w:r>
        <w:rPr>
          <w:rFonts w:eastAsia="黑体"/>
          <w:sz w:val="32"/>
          <w:szCs w:val="32"/>
        </w:rPr>
        <w:t>附件</w:t>
      </w:r>
      <w:r>
        <w:rPr>
          <w:rFonts w:hint="eastAsia" w:eastAsia="黑体"/>
          <w:sz w:val="32"/>
          <w:szCs w:val="32"/>
        </w:rPr>
        <w:t>4-1</w:t>
      </w:r>
    </w:p>
    <w:p>
      <w:pPr>
        <w:spacing w:line="400" w:lineRule="exact"/>
        <w:rPr>
          <w:rFonts w:eastAsia="黑体"/>
          <w:sz w:val="32"/>
          <w:szCs w:val="32"/>
        </w:rPr>
      </w:pPr>
    </w:p>
    <w:p>
      <w:pPr>
        <w:spacing w:afterLines="50" w:line="400" w:lineRule="exact"/>
        <w:jc w:val="center"/>
        <w:rPr>
          <w:rFonts w:eastAsia="方正小标宋_GBK"/>
          <w:bCs/>
          <w:sz w:val="36"/>
          <w:szCs w:val="36"/>
        </w:rPr>
      </w:pPr>
      <w:r>
        <w:rPr>
          <w:rFonts w:eastAsia="方正小标宋_GBK"/>
          <w:bCs/>
          <w:sz w:val="36"/>
          <w:szCs w:val="36"/>
        </w:rPr>
        <w:t>预算支出绩效评价共性指标体系框架（参考）</w:t>
      </w:r>
    </w:p>
    <w:tbl>
      <w:tblPr>
        <w:tblStyle w:val="4"/>
        <w:tblW w:w="9933"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0" w:type="dxa"/>
          <w:bottom w:w="0" w:type="dxa"/>
          <w:right w:w="0" w:type="dxa"/>
        </w:tblCellMar>
      </w:tblPr>
      <w:tblGrid>
        <w:gridCol w:w="777"/>
        <w:gridCol w:w="674"/>
        <w:gridCol w:w="1071"/>
        <w:gridCol w:w="1975"/>
        <w:gridCol w:w="4482"/>
        <w:gridCol w:w="95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tblHeader/>
          <w:jc w:val="center"/>
        </w:trPr>
        <w:tc>
          <w:tcPr>
            <w:tcW w:w="777"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一级</w:t>
            </w:r>
            <w:r>
              <w:rPr>
                <w:rFonts w:hint="eastAsia" w:ascii="仿宋_GB2312" w:eastAsia="仿宋_GB2312"/>
                <w:b/>
                <w:bCs/>
                <w:szCs w:val="21"/>
              </w:rPr>
              <w:br w:type="textWrapping"/>
            </w:r>
            <w:r>
              <w:rPr>
                <w:rFonts w:hint="eastAsia" w:ascii="仿宋_GB2312" w:eastAsia="仿宋_GB2312"/>
                <w:b/>
                <w:bCs/>
                <w:szCs w:val="21"/>
              </w:rPr>
              <w:t>指标</w:t>
            </w:r>
          </w:p>
        </w:tc>
        <w:tc>
          <w:tcPr>
            <w:tcW w:w="674"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二级</w:t>
            </w:r>
            <w:r>
              <w:rPr>
                <w:rFonts w:hint="eastAsia" w:ascii="仿宋_GB2312" w:eastAsia="仿宋_GB2312"/>
                <w:b/>
                <w:bCs/>
                <w:szCs w:val="21"/>
              </w:rPr>
              <w:br w:type="textWrapping"/>
            </w:r>
            <w:r>
              <w:rPr>
                <w:rFonts w:hint="eastAsia" w:ascii="仿宋_GB2312" w:eastAsia="仿宋_GB2312"/>
                <w:b/>
                <w:bCs/>
                <w:szCs w:val="21"/>
              </w:rPr>
              <w:t>指标</w:t>
            </w:r>
          </w:p>
        </w:tc>
        <w:tc>
          <w:tcPr>
            <w:tcW w:w="1071"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三级指标</w:t>
            </w:r>
          </w:p>
        </w:tc>
        <w:tc>
          <w:tcPr>
            <w:tcW w:w="1975"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评分及标准</w:t>
            </w:r>
          </w:p>
        </w:tc>
        <w:tc>
          <w:tcPr>
            <w:tcW w:w="4482" w:type="dxa"/>
            <w:shd w:val="clear" w:color="auto" w:fill="auto"/>
            <w:tcMar>
              <w:top w:w="10" w:type="dxa"/>
              <w:left w:w="10" w:type="dxa"/>
              <w:bottom w:w="0" w:type="dxa"/>
              <w:right w:w="10" w:type="dxa"/>
            </w:tcMar>
            <w:vAlign w:val="center"/>
          </w:tcPr>
          <w:p>
            <w:pPr>
              <w:jc w:val="center"/>
              <w:rPr>
                <w:rFonts w:ascii="仿宋_GB2312" w:eastAsia="仿宋_GB2312"/>
                <w:b/>
                <w:bCs/>
                <w:szCs w:val="21"/>
              </w:rPr>
            </w:pPr>
            <w:r>
              <w:rPr>
                <w:rFonts w:hint="eastAsia" w:ascii="仿宋_GB2312" w:eastAsia="仿宋_GB2312"/>
                <w:b/>
                <w:bCs/>
                <w:szCs w:val="21"/>
              </w:rPr>
              <w:t>指标说明</w:t>
            </w:r>
          </w:p>
        </w:tc>
        <w:tc>
          <w:tcPr>
            <w:tcW w:w="954" w:type="dxa"/>
            <w:vAlign w:val="center"/>
          </w:tcPr>
          <w:p>
            <w:pPr>
              <w:jc w:val="center"/>
              <w:rPr>
                <w:rFonts w:ascii="仿宋_GB2312" w:eastAsia="仿宋_GB2312"/>
                <w:b/>
                <w:bCs/>
                <w:szCs w:val="21"/>
              </w:rPr>
            </w:pPr>
            <w:r>
              <w:rPr>
                <w:rFonts w:hint="eastAsia" w:ascii="仿宋_GB2312" w:eastAsia="仿宋_GB2312"/>
                <w:b/>
                <w:bCs/>
                <w:szCs w:val="21"/>
              </w:rPr>
              <w:t>自评分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决</w:t>
            </w:r>
          </w:p>
          <w:p>
            <w:pPr>
              <w:jc w:val="center"/>
              <w:rPr>
                <w:rFonts w:ascii="仿宋_GB2312" w:eastAsia="仿宋_GB2312"/>
                <w:szCs w:val="21"/>
              </w:rPr>
            </w:pPr>
            <w:r>
              <w:rPr>
                <w:rFonts w:hint="eastAsia" w:ascii="仿宋_GB2312" w:eastAsia="仿宋_GB2312"/>
                <w:szCs w:val="21"/>
              </w:rPr>
              <w:t>策 （10）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预算支出决策</w:t>
            </w:r>
          </w:p>
          <w:p>
            <w:pPr>
              <w:jc w:val="center"/>
              <w:rPr>
                <w:rFonts w:ascii="仿宋_GB2312" w:eastAsia="仿宋_GB2312"/>
                <w:szCs w:val="21"/>
              </w:rPr>
            </w:pPr>
            <w:r>
              <w:rPr>
                <w:rFonts w:hint="eastAsia" w:ascii="仿宋_GB2312" w:eastAsia="仿宋_GB2312"/>
                <w:szCs w:val="21"/>
              </w:rPr>
              <w:t>（项目立项）（4）</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预算支出决策（项目立项）依据</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充分性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决策（立项）是否符合国家相关法律法规、国民经济发展规划和相关政策；</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决策（立项）是否符合行业发展规划和政策要求；</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决策（立项）是否与部门职责范围相符，属于部门履职所需；</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预算支出是否属于公共财政支持范围，是否符合中央、地方事权支出责任划分原则；</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⑤</w:t>
            </w:r>
            <w:r>
              <w:rPr>
                <w:rFonts w:hint="eastAsia" w:ascii="仿宋_GB2312" w:eastAsia="仿宋_GB2312"/>
                <w:szCs w:val="21"/>
              </w:rPr>
              <w:t>预算支出是否与相关部门同类预算支出或部门内部相关预算支出重复。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365"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决策（立项）程序规范性</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预算支出是否按照规定的程序申请设立；</w:t>
            </w:r>
          </w:p>
          <w:p>
            <w:pPr>
              <w:pStyle w:val="8"/>
              <w:numPr>
                <w:ilvl w:val="0"/>
                <w:numId w:val="1"/>
              </w:numPr>
              <w:spacing w:line="260" w:lineRule="exact"/>
              <w:ind w:firstLineChars="0"/>
              <w:rPr>
                <w:rFonts w:ascii="仿宋_GB2312" w:eastAsia="仿宋_GB2312"/>
                <w:szCs w:val="21"/>
              </w:rPr>
            </w:pPr>
            <w:r>
              <w:rPr>
                <w:rFonts w:hint="eastAsia" w:ascii="仿宋_GB2312" w:eastAsia="仿宋_GB2312"/>
                <w:szCs w:val="21"/>
              </w:rPr>
              <w:t>审批文件、材料是否符合相关要求；</w:t>
            </w:r>
          </w:p>
          <w:p>
            <w:pPr>
              <w:spacing w:line="260" w:lineRule="exact"/>
              <w:ind w:left="105" w:lef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事前是否已经过必要的可行性研究、专家论证、风险评估、绩效评估、集体决策。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473"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绩效</w:t>
            </w:r>
          </w:p>
          <w:p>
            <w:pPr>
              <w:jc w:val="center"/>
              <w:rPr>
                <w:rFonts w:ascii="仿宋_GB2312" w:eastAsia="仿宋_GB2312"/>
                <w:szCs w:val="21"/>
              </w:rPr>
            </w:pPr>
            <w:r>
              <w:rPr>
                <w:rFonts w:hint="eastAsia" w:ascii="仿宋_GB2312" w:eastAsia="仿宋_GB2312"/>
                <w:szCs w:val="21"/>
              </w:rPr>
              <w:t>目标（3）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绩效目标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eastAsia="仿宋_GB2312"/>
                <w:szCs w:val="21"/>
              </w:rPr>
              <w:t>（如未设定预算绩效目标，也可考核其他工作任务目标）</w:t>
            </w:r>
          </w:p>
          <w:p>
            <w:pPr>
              <w:pStyle w:val="8"/>
              <w:numPr>
                <w:ilvl w:val="0"/>
                <w:numId w:val="2"/>
              </w:numPr>
              <w:spacing w:line="260" w:lineRule="exact"/>
              <w:ind w:right="105" w:rightChars="50" w:firstLineChars="0"/>
              <w:rPr>
                <w:rFonts w:ascii="仿宋_GB2312" w:eastAsia="仿宋_GB2312"/>
                <w:szCs w:val="21"/>
              </w:rPr>
            </w:pPr>
            <w:r>
              <w:rPr>
                <w:rFonts w:hint="eastAsia" w:ascii="仿宋_GB2312" w:eastAsia="仿宋_GB2312"/>
                <w:szCs w:val="21"/>
              </w:rPr>
              <w:t>预算支出是否有绩效目标；</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预算支出绩效目标与实际工作内容是否具有相关性；</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预算支出预期产出效益和效果是否符合正常的业绩水平；是否与预算确定的预算支出投资额或资金量相匹配。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绩效指标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明确性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是否将预算支出绩效目标细化分解为具体的绩效指标；</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是否通过清晰、可衡量的指标值体现。</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是否与预算支出目标任务数相对应。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资金</w:t>
            </w:r>
          </w:p>
          <w:p>
            <w:pPr>
              <w:jc w:val="center"/>
              <w:rPr>
                <w:rFonts w:ascii="仿宋_GB2312" w:eastAsia="仿宋_GB2312"/>
                <w:szCs w:val="21"/>
              </w:rPr>
            </w:pPr>
            <w:r>
              <w:rPr>
                <w:rFonts w:hint="eastAsia" w:ascii="仿宋_GB2312" w:eastAsia="仿宋_GB2312"/>
                <w:szCs w:val="21"/>
              </w:rPr>
              <w:t>投入（3）</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预算编制</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科学性 （2分）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3"/>
              </w:numPr>
              <w:spacing w:line="260" w:lineRule="exact"/>
              <w:ind w:right="105" w:rightChars="50" w:firstLineChars="0"/>
              <w:rPr>
                <w:rFonts w:ascii="仿宋_GB2312" w:eastAsia="仿宋_GB2312"/>
                <w:szCs w:val="21"/>
              </w:rPr>
            </w:pPr>
            <w:r>
              <w:rPr>
                <w:rFonts w:hint="eastAsia" w:ascii="仿宋_GB2312" w:eastAsia="仿宋_GB2312"/>
                <w:szCs w:val="21"/>
              </w:rPr>
              <w:t>预算编制是否经过科学论证；</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预算内容与支出内容是否匹配；</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预算额度测算依据是否充分，是否按照标准编制；</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预算确定的预算支出投资额或资金量是否与工作任务相匹配1分。</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资金分配</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合理性 （1分）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pStyle w:val="8"/>
              <w:numPr>
                <w:ilvl w:val="0"/>
                <w:numId w:val="4"/>
              </w:numPr>
              <w:spacing w:line="260" w:lineRule="exact"/>
              <w:ind w:right="105" w:rightChars="50" w:firstLineChars="0"/>
              <w:rPr>
                <w:rFonts w:ascii="仿宋_GB2312" w:eastAsia="仿宋_GB2312"/>
                <w:szCs w:val="21"/>
              </w:rPr>
            </w:pPr>
            <w:r>
              <w:rPr>
                <w:rFonts w:hint="eastAsia" w:ascii="仿宋_GB2312" w:eastAsia="仿宋_GB2312"/>
                <w:szCs w:val="21"/>
              </w:rPr>
              <w:t>预算资金分配依据是否充分；</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资金分配额度是否合理，与项目实施单位或地方实际是否相适应。</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42" w:hRule="atLeast"/>
          <w:jc w:val="center"/>
        </w:trPr>
        <w:tc>
          <w:tcPr>
            <w:tcW w:w="777" w:type="dxa"/>
            <w:vMerge w:val="restart"/>
            <w:shd w:val="clear" w:color="auto" w:fill="auto"/>
            <w:vAlign w:val="center"/>
          </w:tcPr>
          <w:p>
            <w:pPr>
              <w:jc w:val="center"/>
              <w:rPr>
                <w:rFonts w:ascii="仿宋_GB2312" w:eastAsia="仿宋_GB2312"/>
                <w:szCs w:val="21"/>
              </w:rPr>
            </w:pPr>
            <w:r>
              <w:rPr>
                <w:rFonts w:hint="eastAsia" w:ascii="仿宋_GB2312" w:eastAsia="仿宋_GB2312"/>
                <w:szCs w:val="21"/>
              </w:rPr>
              <w:t>过</w:t>
            </w:r>
          </w:p>
          <w:p>
            <w:pPr>
              <w:jc w:val="center"/>
              <w:rPr>
                <w:rFonts w:ascii="仿宋_GB2312" w:eastAsia="仿宋_GB2312"/>
                <w:szCs w:val="21"/>
              </w:rPr>
            </w:pPr>
          </w:p>
          <w:p>
            <w:pPr>
              <w:jc w:val="center"/>
              <w:rPr>
                <w:rFonts w:ascii="仿宋_GB2312" w:eastAsia="仿宋_GB2312"/>
                <w:szCs w:val="21"/>
              </w:rPr>
            </w:pPr>
          </w:p>
          <w:p>
            <w:pPr>
              <w:jc w:val="center"/>
              <w:rPr>
                <w:rFonts w:ascii="仿宋_GB2312" w:eastAsia="仿宋_GB2312"/>
                <w:szCs w:val="21"/>
              </w:rPr>
            </w:pPr>
            <w:r>
              <w:rPr>
                <w:rFonts w:hint="eastAsia" w:ascii="仿宋_GB2312" w:eastAsia="仿宋_GB2312"/>
                <w:szCs w:val="21"/>
              </w:rPr>
              <w:t>程  （20）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资金</w:t>
            </w:r>
            <w:r>
              <w:rPr>
                <w:rFonts w:hint="eastAsia" w:ascii="仿宋_GB2312" w:eastAsia="仿宋_GB2312"/>
                <w:szCs w:val="21"/>
              </w:rPr>
              <w:br w:type="textWrapping"/>
            </w:r>
            <w:r>
              <w:rPr>
                <w:rFonts w:hint="eastAsia" w:ascii="仿宋_GB2312" w:eastAsia="仿宋_GB2312"/>
                <w:szCs w:val="21"/>
              </w:rPr>
              <w:t>管理（10）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到位率</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资金到位率=（实际到位资金/预算资金）×100%。</w:t>
            </w:r>
            <w:r>
              <w:rPr>
                <w:rFonts w:hint="eastAsia" w:ascii="仿宋_GB2312" w:eastAsia="仿宋_GB2312"/>
                <w:szCs w:val="21"/>
              </w:rPr>
              <w:br w:type="textWrapping"/>
            </w:r>
            <w:r>
              <w:rPr>
                <w:rFonts w:hint="eastAsia" w:ascii="仿宋_GB2312" w:eastAsia="仿宋_GB2312"/>
                <w:szCs w:val="21"/>
              </w:rPr>
              <w:t>实际到位资金：一定时期（本年度或预算支出期）内落实到具体预算支出的资金。</w:t>
            </w:r>
            <w:r>
              <w:rPr>
                <w:rFonts w:hint="eastAsia" w:ascii="仿宋_GB2312" w:eastAsia="仿宋_GB2312"/>
                <w:szCs w:val="21"/>
              </w:rPr>
              <w:br w:type="textWrapping"/>
            </w:r>
            <w:r>
              <w:rPr>
                <w:rFonts w:hint="eastAsia" w:ascii="仿宋_GB2312" w:eastAsia="仿宋_GB2312"/>
                <w:szCs w:val="21"/>
              </w:rPr>
              <w:t>预算资金：一定时期（本年度或预算支出期）内预算安排到具体预算支出的资金。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65"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tcMar>
              <w:top w:w="10" w:type="dxa"/>
              <w:left w:w="10" w:type="dxa"/>
              <w:bottom w:w="0" w:type="dxa"/>
              <w:right w:w="10" w:type="dxa"/>
            </w:tcMar>
            <w:vAlign w:val="center"/>
          </w:tcPr>
          <w:p>
            <w:pPr>
              <w:jc w:val="cente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预算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执行率 （3分）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100%计满分，每下降5个百分点扣1分，扣完为止。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预算执行率=（实际支出资金/实际到位资金）×100%。</w:t>
            </w:r>
          </w:p>
          <w:p>
            <w:pPr>
              <w:spacing w:line="260" w:lineRule="exact"/>
              <w:ind w:left="105" w:leftChars="50" w:right="105" w:rightChars="50"/>
              <w:rPr>
                <w:rFonts w:ascii="仿宋_GB2312" w:eastAsia="仿宋_GB2312"/>
                <w:szCs w:val="21"/>
              </w:rPr>
            </w:pPr>
            <w:r>
              <w:rPr>
                <w:rFonts w:hint="eastAsia" w:ascii="仿宋_GB2312" w:eastAsia="仿宋_GB2312"/>
                <w:szCs w:val="21"/>
              </w:rPr>
              <w:t>实际支出资金：一定时期（本年度或预算支出期）内预算支出实际拨付的资金。</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jc w:val="cente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资金使用</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合规性 （4分）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①</w:t>
            </w:r>
            <w:r>
              <w:rPr>
                <w:rFonts w:hint="eastAsia" w:ascii="仿宋_GB2312" w:eastAsia="仿宋_GB2312"/>
                <w:szCs w:val="21"/>
              </w:rPr>
              <w:t>是否符合国家财经法规和财务管理制度以及有关专项资金管理办法的规定；</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②</w:t>
            </w:r>
            <w:r>
              <w:rPr>
                <w:rFonts w:hint="eastAsia" w:ascii="仿宋_GB2312" w:eastAsia="仿宋_GB2312"/>
                <w:szCs w:val="21"/>
              </w:rPr>
              <w:t>资金的拨付是否有完整的审批程序和手续；</w:t>
            </w:r>
          </w:p>
          <w:p>
            <w:pPr>
              <w:spacing w:line="260" w:lineRule="exact"/>
              <w:ind w:right="105" w:rightChars="50" w:firstLine="105" w:firstLineChars="50"/>
              <w:rPr>
                <w:rFonts w:ascii="仿宋_GB2312" w:eastAsia="仿宋_GB2312"/>
                <w:szCs w:val="21"/>
              </w:rPr>
            </w:pPr>
            <w:r>
              <w:rPr>
                <w:rFonts w:hint="eastAsia" w:ascii="仿宋_GB2312" w:hAnsi="宋体" w:eastAsia="仿宋_GB2312" w:cs="宋体"/>
                <w:szCs w:val="21"/>
              </w:rPr>
              <w:t>③</w:t>
            </w:r>
            <w:r>
              <w:rPr>
                <w:rFonts w:hint="eastAsia" w:ascii="仿宋_GB2312" w:eastAsia="仿宋_GB2312"/>
                <w:szCs w:val="21"/>
              </w:rPr>
              <w:t>是否符合预算支出预算批复或合同规定的用途；</w:t>
            </w:r>
          </w:p>
          <w:p>
            <w:pPr>
              <w:spacing w:line="260" w:lineRule="exact"/>
              <w:ind w:left="105" w:leftChars="50" w:right="105" w:rightChars="50"/>
              <w:rPr>
                <w:rFonts w:ascii="仿宋_GB2312" w:eastAsia="仿宋_GB2312"/>
                <w:szCs w:val="21"/>
              </w:rPr>
            </w:pPr>
            <w:r>
              <w:rPr>
                <w:rFonts w:hint="eastAsia" w:ascii="仿宋_GB2312" w:hAnsi="宋体" w:eastAsia="仿宋_GB2312" w:cs="宋体"/>
                <w:szCs w:val="21"/>
              </w:rPr>
              <w:t>④</w:t>
            </w:r>
            <w:r>
              <w:rPr>
                <w:rFonts w:hint="eastAsia" w:ascii="仿宋_GB2312" w:eastAsia="仿宋_GB2312"/>
                <w:szCs w:val="21"/>
              </w:rPr>
              <w:t>是否存在截留、挤占、挪用、虐列支出等情况。</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组织</w:t>
            </w:r>
          </w:p>
          <w:p>
            <w:pPr>
              <w:jc w:val="center"/>
              <w:rPr>
                <w:rFonts w:ascii="仿宋_GB2312" w:eastAsia="仿宋_GB2312"/>
                <w:szCs w:val="21"/>
              </w:rPr>
            </w:pPr>
            <w:r>
              <w:rPr>
                <w:rFonts w:hint="eastAsia" w:ascii="仿宋_GB2312" w:eastAsia="仿宋_GB2312"/>
                <w:szCs w:val="21"/>
              </w:rPr>
              <w:t>实施（10）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管理制度</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健全性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是否已制定或具有相应的业务管理制度；</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财务和业务管理制度是否合法、合规、完整。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制度执行</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有效性 （5分）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按指标说明评价要点，每缺一项扣3分，扣完为止。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评价要点：</w:t>
            </w:r>
            <w:r>
              <w:rPr>
                <w:rFonts w:hint="eastAsia" w:ascii="仿宋_GB2312" w:eastAsia="仿宋_GB2312"/>
                <w:szCs w:val="21"/>
              </w:rPr>
              <w:br w:type="textWrapping"/>
            </w:r>
            <w:r>
              <w:rPr>
                <w:rFonts w:hint="eastAsia" w:ascii="仿宋_GB2312" w:hAnsi="宋体" w:eastAsia="仿宋_GB2312" w:cs="宋体"/>
                <w:szCs w:val="21"/>
              </w:rPr>
              <w:t>①</w:t>
            </w:r>
            <w:r>
              <w:rPr>
                <w:rFonts w:hint="eastAsia" w:ascii="仿宋_GB2312" w:eastAsia="仿宋_GB2312"/>
                <w:szCs w:val="21"/>
              </w:rPr>
              <w:t>是否遵守相关法律法规和相关管理规定；</w:t>
            </w:r>
            <w:r>
              <w:rPr>
                <w:rFonts w:hint="eastAsia" w:ascii="仿宋_GB2312" w:eastAsia="仿宋_GB2312"/>
                <w:szCs w:val="21"/>
              </w:rPr>
              <w:br w:type="textWrapping"/>
            </w:r>
            <w:r>
              <w:rPr>
                <w:rFonts w:hint="eastAsia" w:ascii="仿宋_GB2312" w:hAnsi="宋体" w:eastAsia="仿宋_GB2312" w:cs="宋体"/>
                <w:szCs w:val="21"/>
              </w:rPr>
              <w:t>②</w:t>
            </w:r>
            <w:r>
              <w:rPr>
                <w:rFonts w:hint="eastAsia" w:ascii="仿宋_GB2312" w:eastAsia="仿宋_GB2312"/>
                <w:szCs w:val="21"/>
              </w:rPr>
              <w:t>预算支出调整及支出调整手续是否完备；</w:t>
            </w:r>
            <w:r>
              <w:rPr>
                <w:rFonts w:hint="eastAsia" w:ascii="仿宋_GB2312" w:eastAsia="仿宋_GB2312"/>
                <w:szCs w:val="21"/>
              </w:rPr>
              <w:br w:type="textWrapping"/>
            </w:r>
            <w:r>
              <w:rPr>
                <w:rFonts w:hint="eastAsia" w:ascii="仿宋_GB2312" w:hAnsi="宋体" w:eastAsia="仿宋_GB2312" w:cs="宋体"/>
                <w:szCs w:val="21"/>
              </w:rPr>
              <w:t>③</w:t>
            </w:r>
            <w:r>
              <w:rPr>
                <w:rFonts w:hint="eastAsia" w:ascii="仿宋_GB2312" w:eastAsia="仿宋_GB2312"/>
                <w:szCs w:val="21"/>
              </w:rPr>
              <w:t>预算支出合同书、验收报告、技术鉴定等资料是否齐全并及时归档；</w:t>
            </w:r>
            <w:r>
              <w:rPr>
                <w:rFonts w:hint="eastAsia" w:ascii="仿宋_GB2312" w:eastAsia="仿宋_GB2312"/>
                <w:szCs w:val="21"/>
              </w:rPr>
              <w:br w:type="textWrapping"/>
            </w:r>
            <w:r>
              <w:rPr>
                <w:rFonts w:hint="eastAsia" w:ascii="仿宋_GB2312" w:hAnsi="宋体" w:eastAsia="仿宋_GB2312" w:cs="宋体"/>
                <w:szCs w:val="21"/>
              </w:rPr>
              <w:t>④</w:t>
            </w:r>
            <w:r>
              <w:rPr>
                <w:rFonts w:hint="eastAsia" w:ascii="仿宋_GB2312" w:eastAsia="仿宋_GB2312"/>
                <w:szCs w:val="21"/>
              </w:rPr>
              <w:t>预算支出实施的人员条件、场地设备、信息支撑等是否落实到位。</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781"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 xml:space="preserve">产   </w:t>
            </w:r>
          </w:p>
          <w:p>
            <w:pPr>
              <w:jc w:val="center"/>
              <w:rPr>
                <w:rFonts w:ascii="仿宋_GB2312" w:eastAsia="仿宋_GB2312"/>
                <w:szCs w:val="21"/>
              </w:rPr>
            </w:pPr>
            <w:r>
              <w:rPr>
                <w:rFonts w:hint="eastAsia" w:ascii="仿宋_GB2312" w:eastAsia="仿宋_GB2312"/>
                <w:szCs w:val="21"/>
              </w:rPr>
              <w:t>出 （40）</w:t>
            </w: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数量（10）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实际</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实际完成率=（实际产出数/计划产出数）×100%。</w:t>
            </w:r>
            <w:r>
              <w:rPr>
                <w:rFonts w:hint="eastAsia" w:ascii="仿宋_GB2312" w:eastAsia="仿宋_GB2312"/>
                <w:szCs w:val="21"/>
              </w:rPr>
              <w:br w:type="textWrapping"/>
            </w:r>
            <w:r>
              <w:rPr>
                <w:rFonts w:hint="eastAsia" w:ascii="仿宋_GB2312" w:eastAsia="仿宋_GB2312"/>
                <w:szCs w:val="21"/>
              </w:rPr>
              <w:t>实际产出数：一定时期（本年度或预算支出期）内预算支出实际产出的产品或提供的服务数量。</w:t>
            </w:r>
            <w:r>
              <w:rPr>
                <w:rFonts w:hint="eastAsia" w:ascii="仿宋_GB2312" w:eastAsia="仿宋_GB2312"/>
                <w:szCs w:val="21"/>
              </w:rPr>
              <w:br w:type="textWrapping"/>
            </w:r>
            <w:r>
              <w:rPr>
                <w:rFonts w:hint="eastAsia" w:ascii="仿宋_GB2312" w:eastAsia="仿宋_GB2312"/>
                <w:szCs w:val="21"/>
              </w:rPr>
              <w:t>计划产出数：预算支出绩效目标确定的在一定时期（本年度或预算支出期）内计划产出的产品或提供的服务数量。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104" w:hRule="atLeast"/>
          <w:jc w:val="center"/>
        </w:trPr>
        <w:tc>
          <w:tcPr>
            <w:tcW w:w="777" w:type="dxa"/>
            <w:vMerge w:val="continue"/>
            <w:shd w:val="clear" w:color="auto" w:fill="auto"/>
            <w:noWrap/>
            <w:tcMar>
              <w:top w:w="10" w:type="dxa"/>
              <w:left w:w="10" w:type="dxa"/>
              <w:bottom w:w="0" w:type="dxa"/>
              <w:right w:w="10" w:type="dxa"/>
            </w:tcMar>
            <w:textDirection w:val="tbRlV"/>
            <w:vAlign w:val="center"/>
          </w:tcPr>
          <w:p>
            <w:pPr>
              <w:jc w:val="center"/>
              <w:rPr>
                <w:rFonts w:ascii="仿宋_GB2312" w:eastAsia="仿宋_GB2312"/>
                <w:szCs w:val="21"/>
              </w:rPr>
            </w:pPr>
          </w:p>
        </w:tc>
        <w:tc>
          <w:tcPr>
            <w:tcW w:w="674" w:type="dxa"/>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质量（10）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质量</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达标率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100%计满分，每下降1%扣1分，扣完为止。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质量达标率=（质量达标产出数/实际产出数）×100%。</w:t>
            </w:r>
            <w:r>
              <w:rPr>
                <w:rFonts w:hint="eastAsia" w:ascii="仿宋_GB2312" w:eastAsia="仿宋_GB2312"/>
                <w:szCs w:val="21"/>
              </w:rPr>
              <w:br w:type="textWrapping"/>
            </w:r>
            <w:r>
              <w:rPr>
                <w:rFonts w:hint="eastAsia" w:ascii="仿宋_GB2312" w:eastAsia="仿宋_GB2312"/>
                <w:szCs w:val="21"/>
              </w:rPr>
              <w:t>质量达标产出数：一定时期（本年度或预算支出期）内实际达到既定质量标准的产品或服务数量。既定质量标准是指预算支出实施单位设立绩效目标时依据计划标准、行业标准、历史标准或其他标准而设定的绩效指标值。</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55" w:hRule="atLeast"/>
          <w:jc w:val="center"/>
        </w:trPr>
        <w:tc>
          <w:tcPr>
            <w:tcW w:w="777" w:type="dxa"/>
            <w:vMerge w:val="continue"/>
            <w:shd w:val="clear" w:color="auto" w:fill="auto"/>
            <w:vAlign w:val="center"/>
          </w:tcPr>
          <w:p>
            <w:pPr>
              <w:rPr>
                <w:rFonts w:ascii="仿宋_GB2312" w:eastAsia="仿宋_GB2312"/>
                <w:szCs w:val="21"/>
              </w:rPr>
            </w:pP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时效（10）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完成</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及时性 （10分）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达到绩效目标完成时间计5分，超过30%的不计分。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实际完成时间：预算支出实施单位完成该预算支出实际所耗用的时间。</w:t>
            </w:r>
            <w:r>
              <w:rPr>
                <w:rFonts w:hint="eastAsia" w:ascii="仿宋_GB2312" w:eastAsia="仿宋_GB2312"/>
                <w:szCs w:val="21"/>
              </w:rPr>
              <w:br w:type="textWrapping"/>
            </w:r>
            <w:r>
              <w:rPr>
                <w:rFonts w:hint="eastAsia" w:ascii="仿宋_GB2312" w:eastAsia="仿宋_GB2312"/>
                <w:szCs w:val="21"/>
              </w:rPr>
              <w:t>计划完成时间：按照预算支出实施计划或相关规定完成该预算支出所需的时间。</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shd w:val="clear" w:color="auto" w:fill="auto"/>
            <w:vAlign w:val="center"/>
          </w:tcPr>
          <w:p>
            <w:pPr>
              <w:ind w:left="113"/>
              <w:jc w:val="center"/>
              <w:rPr>
                <w:rFonts w:ascii="仿宋_GB2312" w:eastAsia="仿宋_GB2312"/>
                <w:szCs w:val="21"/>
              </w:rPr>
            </w:pPr>
            <w:r>
              <w:rPr>
                <w:rFonts w:hint="eastAsia" w:ascii="仿宋_GB2312" w:eastAsia="仿宋_GB2312"/>
                <w:szCs w:val="21"/>
              </w:rPr>
              <w:t>产   出 （40）</w:t>
            </w:r>
          </w:p>
        </w:tc>
        <w:tc>
          <w:tcPr>
            <w:tcW w:w="674" w:type="dxa"/>
            <w:shd w:val="clear" w:color="auto" w:fill="auto"/>
            <w:vAlign w:val="center"/>
          </w:tcPr>
          <w:p>
            <w:pPr>
              <w:jc w:val="center"/>
              <w:rPr>
                <w:rFonts w:ascii="仿宋_GB2312" w:eastAsia="仿宋_GB2312"/>
                <w:szCs w:val="21"/>
              </w:rPr>
            </w:pPr>
            <w:r>
              <w:rPr>
                <w:rFonts w:hint="eastAsia" w:ascii="仿宋_GB2312" w:eastAsia="仿宋_GB2312"/>
                <w:szCs w:val="21"/>
              </w:rPr>
              <w:t>产出</w:t>
            </w:r>
          </w:p>
          <w:p>
            <w:pPr>
              <w:jc w:val="center"/>
              <w:rPr>
                <w:rFonts w:ascii="仿宋_GB2312" w:eastAsia="仿宋_GB2312"/>
                <w:szCs w:val="21"/>
              </w:rPr>
            </w:pPr>
            <w:r>
              <w:rPr>
                <w:rFonts w:hint="eastAsia" w:ascii="仿宋_GB2312" w:eastAsia="仿宋_GB2312"/>
                <w:szCs w:val="21"/>
              </w:rPr>
              <w:t>成本（10）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成本</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节约率 （10分）</w:t>
            </w:r>
          </w:p>
        </w:tc>
        <w:tc>
          <w:tcPr>
            <w:tcW w:w="1975" w:type="dxa"/>
            <w:shd w:val="clear" w:color="auto" w:fill="auto"/>
            <w:tcMar>
              <w:top w:w="10" w:type="dxa"/>
              <w:left w:w="10" w:type="dxa"/>
              <w:bottom w:w="0" w:type="dxa"/>
              <w:right w:w="10" w:type="dxa"/>
            </w:tcMar>
            <w:vAlign w:val="center"/>
          </w:tcPr>
          <w:p>
            <w:pPr>
              <w:tabs>
                <w:tab w:val="left" w:pos="2604"/>
              </w:tabs>
              <w:spacing w:line="320" w:lineRule="exact"/>
              <w:ind w:left="105" w:leftChars="50" w:right="105" w:rightChars="50" w:firstLine="96" w:firstLineChars="46"/>
              <w:rPr>
                <w:rFonts w:ascii="仿宋_GB2312" w:eastAsia="仿宋_GB2312"/>
                <w:szCs w:val="21"/>
              </w:rPr>
            </w:pPr>
            <w:r>
              <w:rPr>
                <w:rFonts w:hint="eastAsia" w:ascii="仿宋_GB2312" w:eastAsia="仿宋_GB2312"/>
                <w:szCs w:val="21"/>
              </w:rPr>
              <w:t>100%计满分，每下降5个百分点扣2分，扣完为止。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成本节约率=[（计划成本-实际成本）/计划成本]×100%。</w:t>
            </w:r>
            <w:r>
              <w:rPr>
                <w:rFonts w:hint="eastAsia" w:ascii="仿宋_GB2312" w:eastAsia="仿宋_GB2312"/>
                <w:szCs w:val="21"/>
              </w:rPr>
              <w:br w:type="textWrapping"/>
            </w:r>
            <w:r>
              <w:rPr>
                <w:rFonts w:hint="eastAsia" w:ascii="仿宋_GB2312" w:eastAsia="仿宋_GB2312"/>
                <w:szCs w:val="21"/>
              </w:rPr>
              <w:t>实际成本：预算支出实施单位如期、保质、保量完成既定工作目标实际所耗费的支出。</w:t>
            </w:r>
            <w:r>
              <w:rPr>
                <w:rFonts w:hint="eastAsia" w:ascii="仿宋_GB2312" w:eastAsia="仿宋_GB2312"/>
                <w:szCs w:val="21"/>
              </w:rPr>
              <w:br w:type="textWrapping"/>
            </w:r>
            <w:r>
              <w:rPr>
                <w:rFonts w:hint="eastAsia" w:ascii="仿宋_GB2312" w:eastAsia="仿宋_GB2312"/>
                <w:szCs w:val="21"/>
              </w:rPr>
              <w:t>计划成本：预算支出实施单位为完成工作目标计划安排的支出，一般以预算支出预算为参考。</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restart"/>
            <w:shd w:val="clear" w:color="auto" w:fill="auto"/>
            <w:noWrap/>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效</w:t>
            </w:r>
          </w:p>
          <w:p>
            <w:pPr>
              <w:jc w:val="center"/>
              <w:rPr>
                <w:rFonts w:ascii="仿宋_GB2312" w:eastAsia="仿宋_GB2312"/>
                <w:szCs w:val="21"/>
              </w:rPr>
            </w:pPr>
            <w:r>
              <w:rPr>
                <w:rFonts w:hint="eastAsia" w:ascii="仿宋_GB2312" w:eastAsia="仿宋_GB2312"/>
                <w:szCs w:val="21"/>
              </w:rPr>
              <w:t>益</w:t>
            </w:r>
          </w:p>
          <w:p>
            <w:pPr>
              <w:jc w:val="center"/>
              <w:rPr>
                <w:rFonts w:ascii="仿宋_GB2312" w:eastAsia="仿宋_GB2312"/>
                <w:szCs w:val="21"/>
              </w:rPr>
            </w:pPr>
            <w:r>
              <w:rPr>
                <w:rFonts w:hint="eastAsia" w:ascii="仿宋_GB2312" w:eastAsia="仿宋_GB2312"/>
                <w:szCs w:val="21"/>
              </w:rPr>
              <w:t>（30）</w:t>
            </w:r>
          </w:p>
        </w:tc>
        <w:tc>
          <w:tcPr>
            <w:tcW w:w="674" w:type="dxa"/>
            <w:vMerge w:val="restart"/>
            <w:shd w:val="clear" w:color="auto" w:fill="auto"/>
            <w:tcMar>
              <w:top w:w="10" w:type="dxa"/>
              <w:left w:w="10" w:type="dxa"/>
              <w:bottom w:w="0" w:type="dxa"/>
              <w:right w:w="10" w:type="dxa"/>
            </w:tcMar>
            <w:vAlign w:val="center"/>
          </w:tcPr>
          <w:p>
            <w:pPr>
              <w:jc w:val="center"/>
              <w:rPr>
                <w:rFonts w:ascii="仿宋_GB2312" w:eastAsia="仿宋_GB2312"/>
                <w:szCs w:val="21"/>
              </w:rPr>
            </w:pPr>
            <w:r>
              <w:rPr>
                <w:rFonts w:hint="eastAsia" w:ascii="仿宋_GB2312" w:eastAsia="仿宋_GB2312"/>
                <w:szCs w:val="21"/>
              </w:rPr>
              <w:t>预算支出</w:t>
            </w:r>
            <w:r>
              <w:rPr>
                <w:rFonts w:hint="eastAsia" w:ascii="仿宋_GB2312" w:eastAsia="仿宋_GB2312"/>
                <w:szCs w:val="21"/>
              </w:rPr>
              <w:br w:type="textWrapping"/>
            </w:r>
            <w:r>
              <w:rPr>
                <w:rFonts w:hint="eastAsia" w:ascii="仿宋_GB2312" w:eastAsia="仿宋_GB2312"/>
                <w:szCs w:val="21"/>
              </w:rPr>
              <w:t>效益（10）</w:t>
            </w: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实施效益（20分）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达到绩效目标完成时间计5分，少于60%的不计分。</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预算支出实施所产生的社会效益、经济效益、生态效益、可持续影响等。可根据预算支出实际情况有选择地设置和细化。</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19</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54" w:hRule="atLeast"/>
          <w:jc w:val="center"/>
        </w:trPr>
        <w:tc>
          <w:tcPr>
            <w:tcW w:w="777" w:type="dxa"/>
            <w:vMerge w:val="continue"/>
            <w:shd w:val="clear" w:color="auto" w:fill="auto"/>
            <w:vAlign w:val="center"/>
          </w:tcPr>
          <w:p>
            <w:pPr>
              <w:rPr>
                <w:rFonts w:ascii="仿宋_GB2312" w:eastAsia="仿宋_GB2312"/>
                <w:szCs w:val="21"/>
              </w:rPr>
            </w:pPr>
          </w:p>
        </w:tc>
        <w:tc>
          <w:tcPr>
            <w:tcW w:w="674" w:type="dxa"/>
            <w:vMerge w:val="continue"/>
            <w:shd w:val="clear" w:color="auto" w:fill="auto"/>
            <w:vAlign w:val="center"/>
          </w:tcPr>
          <w:p>
            <w:pPr>
              <w:rPr>
                <w:rFonts w:ascii="仿宋_GB2312" w:eastAsia="仿宋_GB2312"/>
                <w:szCs w:val="21"/>
              </w:rPr>
            </w:pPr>
          </w:p>
        </w:tc>
        <w:tc>
          <w:tcPr>
            <w:tcW w:w="1071" w:type="dxa"/>
            <w:shd w:val="clear" w:color="auto" w:fill="auto"/>
            <w:tcMar>
              <w:top w:w="10" w:type="dxa"/>
              <w:left w:w="10" w:type="dxa"/>
              <w:bottom w:w="0" w:type="dxa"/>
              <w:right w:w="10" w:type="dxa"/>
            </w:tcMar>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社会公众</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或服务对</w:t>
            </w:r>
          </w:p>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象满意度（10分）</w:t>
            </w:r>
          </w:p>
        </w:tc>
        <w:tc>
          <w:tcPr>
            <w:tcW w:w="1975"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100%计满分，每下降五个百分点扣2分，扣完为止。</w:t>
            </w:r>
          </w:p>
        </w:tc>
        <w:tc>
          <w:tcPr>
            <w:tcW w:w="4482" w:type="dxa"/>
            <w:shd w:val="clear" w:color="auto" w:fill="auto"/>
            <w:tcMar>
              <w:top w:w="10" w:type="dxa"/>
              <w:left w:w="10" w:type="dxa"/>
              <w:bottom w:w="0" w:type="dxa"/>
              <w:right w:w="10" w:type="dxa"/>
            </w:tcMar>
            <w:vAlign w:val="center"/>
          </w:tcPr>
          <w:p>
            <w:pPr>
              <w:spacing w:line="260" w:lineRule="exact"/>
              <w:ind w:left="105" w:leftChars="50" w:right="105" w:rightChars="50"/>
              <w:rPr>
                <w:rFonts w:ascii="仿宋_GB2312" w:eastAsia="仿宋_GB2312"/>
                <w:szCs w:val="21"/>
              </w:rPr>
            </w:pPr>
            <w:r>
              <w:rPr>
                <w:rFonts w:hint="eastAsia" w:ascii="仿宋_GB2312" w:eastAsia="仿宋_GB2312"/>
                <w:szCs w:val="21"/>
              </w:rPr>
              <w:t>社会公众或服务对象是指因该预算支出实施而受到影响的部门、群体或个人。一般采取社会调查的方式。</w:t>
            </w:r>
          </w:p>
        </w:tc>
        <w:tc>
          <w:tcPr>
            <w:tcW w:w="954" w:type="dxa"/>
            <w:vAlign w:val="center"/>
          </w:tcPr>
          <w:p>
            <w:pPr>
              <w:spacing w:line="260" w:lineRule="exact"/>
              <w:ind w:left="105" w:leftChars="50" w:right="105" w:rightChars="50"/>
              <w:jc w:val="center"/>
              <w:rPr>
                <w:rFonts w:ascii="仿宋_GB2312" w:eastAsia="仿宋_GB2312"/>
                <w:szCs w:val="21"/>
              </w:rPr>
            </w:pPr>
            <w:r>
              <w:rPr>
                <w:rFonts w:hint="eastAsia" w:ascii="仿宋_GB2312" w:eastAsia="仿宋_GB2312"/>
                <w:szCs w:val="21"/>
              </w:rPr>
              <w:t>10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70" w:hRule="atLeast"/>
          <w:jc w:val="center"/>
        </w:trPr>
        <w:tc>
          <w:tcPr>
            <w:tcW w:w="8979" w:type="dxa"/>
            <w:gridSpan w:val="5"/>
            <w:shd w:val="clear" w:color="auto" w:fill="auto"/>
            <w:vAlign w:val="center"/>
          </w:tcPr>
          <w:p>
            <w:pPr>
              <w:spacing w:line="260" w:lineRule="exact"/>
              <w:ind w:left="105" w:leftChars="50" w:right="105" w:rightChars="50"/>
              <w:rPr>
                <w:rFonts w:hint="eastAsia" w:ascii="仿宋_GB2312" w:eastAsia="仿宋_GB2312"/>
                <w:szCs w:val="21"/>
              </w:rPr>
            </w:pPr>
          </w:p>
        </w:tc>
        <w:tc>
          <w:tcPr>
            <w:tcW w:w="954" w:type="dxa"/>
            <w:vAlign w:val="center"/>
          </w:tcPr>
          <w:p>
            <w:pPr>
              <w:spacing w:line="260" w:lineRule="exact"/>
              <w:ind w:left="105" w:leftChars="50" w:right="105" w:rightChars="50"/>
              <w:jc w:val="center"/>
              <w:rPr>
                <w:rFonts w:hint="eastAsia" w:ascii="仿宋_GB2312" w:eastAsia="仿宋_GB2312"/>
                <w:szCs w:val="21"/>
              </w:rPr>
            </w:pPr>
            <w:r>
              <w:rPr>
                <w:rFonts w:hint="eastAsia" w:ascii="仿宋_GB2312" w:eastAsia="仿宋_GB2312"/>
                <w:szCs w:val="21"/>
              </w:rPr>
              <w:t>94</w:t>
            </w:r>
          </w:p>
        </w:tc>
      </w:tr>
    </w:tbl>
    <w:p>
      <w:pPr>
        <w:widowControl/>
        <w:spacing w:line="600" w:lineRule="exact"/>
        <w:ind w:firstLine="420" w:firstLineChars="200"/>
        <w:jc w:val="left"/>
        <w:rPr>
          <w:rFonts w:eastAsia="仿宋_GB2312"/>
          <w:sz w:val="32"/>
          <w:szCs w:val="32"/>
        </w:rPr>
      </w:pPr>
      <w:r>
        <w:br w:type="page"/>
      </w:r>
    </w:p>
    <w:p>
      <w:pPr>
        <w:widowControl/>
        <w:spacing w:line="400" w:lineRule="exact"/>
        <w:jc w:val="left"/>
        <w:rPr>
          <w:rFonts w:eastAsia="黑体"/>
          <w:sz w:val="32"/>
          <w:szCs w:val="32"/>
        </w:rPr>
      </w:pPr>
      <w:r>
        <w:rPr>
          <w:rFonts w:eastAsia="黑体"/>
          <w:sz w:val="32"/>
          <w:szCs w:val="32"/>
        </w:rPr>
        <w:t>附件</w:t>
      </w:r>
      <w:r>
        <w:rPr>
          <w:rFonts w:hint="eastAsia" w:eastAsia="黑体"/>
          <w:sz w:val="32"/>
          <w:szCs w:val="32"/>
        </w:rPr>
        <w:t>4-2</w:t>
      </w:r>
    </w:p>
    <w:tbl>
      <w:tblPr>
        <w:tblStyle w:val="4"/>
        <w:tblW w:w="9999" w:type="dxa"/>
        <w:jc w:val="center"/>
        <w:tblLayout w:type="autofit"/>
        <w:tblCellMar>
          <w:top w:w="0" w:type="dxa"/>
          <w:left w:w="108" w:type="dxa"/>
          <w:bottom w:w="0" w:type="dxa"/>
          <w:right w:w="108" w:type="dxa"/>
        </w:tblCellMar>
      </w:tblPr>
      <w:tblGrid>
        <w:gridCol w:w="1135"/>
        <w:gridCol w:w="992"/>
        <w:gridCol w:w="1261"/>
        <w:gridCol w:w="1224"/>
        <w:gridCol w:w="1134"/>
        <w:gridCol w:w="1134"/>
        <w:gridCol w:w="828"/>
        <w:gridCol w:w="873"/>
        <w:gridCol w:w="1418"/>
      </w:tblGrid>
      <w:tr>
        <w:tblPrEx>
          <w:tblCellMar>
            <w:top w:w="0" w:type="dxa"/>
            <w:left w:w="108" w:type="dxa"/>
            <w:bottom w:w="0" w:type="dxa"/>
            <w:right w:w="108" w:type="dxa"/>
          </w:tblCellMar>
        </w:tblPrEx>
        <w:trPr>
          <w:trHeight w:val="690" w:hRule="atLeast"/>
          <w:jc w:val="center"/>
        </w:trPr>
        <w:tc>
          <w:tcPr>
            <w:tcW w:w="9999" w:type="dxa"/>
            <w:gridSpan w:val="9"/>
            <w:tcBorders>
              <w:top w:val="nil"/>
              <w:left w:val="nil"/>
              <w:bottom w:val="nil"/>
              <w:right w:val="nil"/>
            </w:tcBorders>
            <w:shd w:val="clear" w:color="auto" w:fill="auto"/>
            <w:noWrap/>
            <w:vAlign w:val="center"/>
          </w:tcPr>
          <w:p>
            <w:pPr>
              <w:widowControl/>
              <w:spacing w:line="400" w:lineRule="exact"/>
              <w:jc w:val="center"/>
              <w:rPr>
                <w:rFonts w:eastAsia="方正小标宋_GBK"/>
                <w:color w:val="000000"/>
                <w:kern w:val="0"/>
                <w:sz w:val="36"/>
                <w:szCs w:val="36"/>
              </w:rPr>
            </w:pPr>
            <w:r>
              <w:rPr>
                <w:rFonts w:eastAsia="方正小标宋_GBK"/>
                <w:color w:val="000000"/>
                <w:kern w:val="0"/>
                <w:sz w:val="36"/>
                <w:szCs w:val="36"/>
              </w:rPr>
              <w:t>预算支出绩效</w:t>
            </w:r>
            <w:bookmarkStart w:id="0" w:name="_GoBack"/>
            <w:bookmarkEnd w:id="0"/>
            <w:r>
              <w:rPr>
                <w:rFonts w:eastAsia="方正小标宋_GBK"/>
                <w:color w:val="000000"/>
                <w:kern w:val="0"/>
                <w:sz w:val="36"/>
                <w:szCs w:val="36"/>
              </w:rPr>
              <w:t>自评表</w:t>
            </w:r>
          </w:p>
        </w:tc>
      </w:tr>
      <w:tr>
        <w:tblPrEx>
          <w:tblCellMar>
            <w:top w:w="0" w:type="dxa"/>
            <w:left w:w="108" w:type="dxa"/>
            <w:bottom w:w="0" w:type="dxa"/>
            <w:right w:w="108" w:type="dxa"/>
          </w:tblCellMar>
        </w:tblPrEx>
        <w:trPr>
          <w:trHeight w:val="270" w:hRule="atLeast"/>
          <w:jc w:val="center"/>
        </w:trPr>
        <w:tc>
          <w:tcPr>
            <w:tcW w:w="9999" w:type="dxa"/>
            <w:gridSpan w:val="9"/>
            <w:tcBorders>
              <w:top w:val="nil"/>
              <w:left w:val="nil"/>
              <w:bottom w:val="single" w:color="auto" w:sz="4" w:space="0"/>
              <w:right w:val="nil"/>
            </w:tcBorders>
            <w:shd w:val="clear" w:color="auto" w:fill="auto"/>
            <w:noWrap/>
            <w:vAlign w:val="center"/>
          </w:tcPr>
          <w:p>
            <w:pPr>
              <w:widowControl/>
              <w:spacing w:line="320" w:lineRule="exact"/>
              <w:jc w:val="center"/>
              <w:rPr>
                <w:color w:val="000000"/>
                <w:kern w:val="0"/>
                <w:sz w:val="22"/>
              </w:rPr>
            </w:pPr>
            <w:r>
              <w:rPr>
                <w:color w:val="000000"/>
                <w:kern w:val="0"/>
                <w:sz w:val="22"/>
              </w:rPr>
              <w:t>（</w:t>
            </w:r>
            <w:r>
              <w:rPr>
                <w:rFonts w:hint="eastAsia"/>
                <w:color w:val="000000"/>
                <w:kern w:val="0"/>
                <w:sz w:val="22"/>
              </w:rPr>
              <w:t>2019</w:t>
            </w:r>
            <w:r>
              <w:rPr>
                <w:color w:val="000000"/>
                <w:kern w:val="0"/>
                <w:sz w:val="22"/>
              </w:rPr>
              <w:t>年度）</w:t>
            </w:r>
          </w:p>
        </w:tc>
      </w:tr>
      <w:tr>
        <w:tblPrEx>
          <w:tblCellMar>
            <w:top w:w="0" w:type="dxa"/>
            <w:left w:w="108" w:type="dxa"/>
            <w:bottom w:w="0" w:type="dxa"/>
            <w:right w:w="108" w:type="dxa"/>
          </w:tblCellMar>
        </w:tblPrEx>
        <w:trPr>
          <w:trHeight w:val="585"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项目支</w:t>
            </w:r>
          </w:p>
          <w:p>
            <w:pPr>
              <w:widowControl/>
              <w:spacing w:line="320" w:lineRule="exact"/>
              <w:jc w:val="center"/>
              <w:rPr>
                <w:rFonts w:eastAsia="仿宋_GB2312"/>
                <w:color w:val="000000"/>
                <w:kern w:val="0"/>
                <w:szCs w:val="21"/>
              </w:rPr>
            </w:pPr>
            <w:r>
              <w:rPr>
                <w:rFonts w:eastAsia="仿宋_GB2312"/>
                <w:color w:val="000000"/>
                <w:kern w:val="0"/>
                <w:szCs w:val="21"/>
              </w:rPr>
              <w:t>出名称</w:t>
            </w:r>
          </w:p>
        </w:tc>
        <w:tc>
          <w:tcPr>
            <w:tcW w:w="8864" w:type="dxa"/>
            <w:gridSpan w:val="8"/>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党建业务工作经费</w:t>
            </w: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tcBorders>
              <w:top w:val="nil"/>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主管部门</w:t>
            </w:r>
          </w:p>
        </w:tc>
        <w:tc>
          <w:tcPr>
            <w:tcW w:w="4611"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区委组织部</w:t>
            </w:r>
          </w:p>
        </w:tc>
        <w:tc>
          <w:tcPr>
            <w:tcW w:w="1134" w:type="dxa"/>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实施单位</w:t>
            </w:r>
          </w:p>
        </w:tc>
        <w:tc>
          <w:tcPr>
            <w:tcW w:w="3119" w:type="dxa"/>
            <w:gridSpan w:val="3"/>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区委组织部</w:t>
            </w:r>
          </w:p>
        </w:tc>
      </w:tr>
      <w:tr>
        <w:tblPrEx>
          <w:tblCellMar>
            <w:top w:w="0" w:type="dxa"/>
            <w:left w:w="108" w:type="dxa"/>
            <w:bottom w:w="0" w:type="dxa"/>
            <w:right w:w="108" w:type="dxa"/>
          </w:tblCellMar>
        </w:tblPrEx>
        <w:trPr>
          <w:trHeight w:val="9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项目资金</w:t>
            </w:r>
            <w:r>
              <w:rPr>
                <w:rFonts w:eastAsia="仿宋_GB2312"/>
                <w:color w:val="000000"/>
                <w:kern w:val="0"/>
                <w:szCs w:val="21"/>
              </w:rPr>
              <w:br w:type="textWrapping"/>
            </w:r>
            <w:r>
              <w:rPr>
                <w:rFonts w:eastAsia="仿宋_GB2312"/>
                <w:color w:val="000000"/>
                <w:kern w:val="0"/>
                <w:szCs w:val="21"/>
              </w:rPr>
              <w:t>（万元）</w:t>
            </w: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年初预算数</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全年预算数</w:t>
            </w:r>
          </w:p>
        </w:tc>
        <w:tc>
          <w:tcPr>
            <w:tcW w:w="1134"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全年执行数</w:t>
            </w:r>
          </w:p>
        </w:tc>
        <w:tc>
          <w:tcPr>
            <w:tcW w:w="82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分值</w:t>
            </w:r>
          </w:p>
        </w:tc>
        <w:tc>
          <w:tcPr>
            <w:tcW w:w="873"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执行率</w:t>
            </w:r>
          </w:p>
        </w:tc>
        <w:tc>
          <w:tcPr>
            <w:tcW w:w="1418" w:type="dxa"/>
            <w:tcBorders>
              <w:top w:val="nil"/>
              <w:left w:val="nil"/>
              <w:bottom w:val="single" w:color="auto" w:sz="4" w:space="0"/>
              <w:right w:val="single" w:color="auto" w:sz="4" w:space="0"/>
            </w:tcBorders>
            <w:shd w:val="clear" w:color="auto" w:fill="auto"/>
          </w:tcPr>
          <w:p>
            <w:pPr>
              <w:spacing w:line="320" w:lineRule="exact"/>
              <w:rPr>
                <w:rFonts w:eastAsia="仿宋_GB2312"/>
                <w:szCs w:val="21"/>
              </w:rPr>
            </w:pPr>
            <w:r>
              <w:rPr>
                <w:rFonts w:eastAsia="仿宋_GB2312"/>
                <w:szCs w:val="21"/>
              </w:rPr>
              <w:t>得分</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年度资金总额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100%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其中：当年财政拨款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153</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153</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上年结转资金　</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top w:val="nil"/>
              <w:left w:val="single" w:color="auto" w:sz="4" w:space="0"/>
              <w:bottom w:val="single" w:color="000000" w:sz="4" w:space="0"/>
              <w:right w:val="single" w:color="auto" w:sz="4" w:space="0"/>
            </w:tcBorders>
            <w:vAlign w:val="center"/>
          </w:tcPr>
          <w:p>
            <w:pPr>
              <w:widowControl/>
              <w:spacing w:line="320" w:lineRule="exact"/>
              <w:jc w:val="left"/>
              <w:rPr>
                <w:rFonts w:eastAsia="仿宋_GB2312"/>
                <w:color w:val="000000"/>
                <w:kern w:val="0"/>
                <w:szCs w:val="21"/>
              </w:rPr>
            </w:pPr>
          </w:p>
        </w:tc>
        <w:tc>
          <w:tcPr>
            <w:tcW w:w="2253" w:type="dxa"/>
            <w:gridSpan w:val="2"/>
            <w:tcBorders>
              <w:top w:val="nil"/>
              <w:left w:val="nil"/>
              <w:bottom w:val="single" w:color="auto" w:sz="4" w:space="0"/>
              <w:right w:val="single" w:color="auto" w:sz="4" w:space="0"/>
            </w:tcBorders>
            <w:shd w:val="clear" w:color="auto" w:fill="auto"/>
            <w:vAlign w:val="center"/>
          </w:tcPr>
          <w:p>
            <w:pPr>
              <w:widowControl/>
              <w:spacing w:line="320" w:lineRule="exact"/>
              <w:ind w:firstLine="630" w:firstLineChars="300"/>
              <w:jc w:val="left"/>
              <w:rPr>
                <w:rFonts w:eastAsia="仿宋_GB2312"/>
                <w:color w:val="000000"/>
                <w:kern w:val="0"/>
                <w:szCs w:val="21"/>
              </w:rPr>
            </w:pPr>
            <w:r>
              <w:rPr>
                <w:rFonts w:eastAsia="仿宋_GB2312"/>
                <w:color w:val="000000"/>
                <w:kern w:val="0"/>
                <w:szCs w:val="21"/>
              </w:rPr>
              <w:t>其他资金</w:t>
            </w: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restart"/>
            <w:tcBorders>
              <w:top w:val="nil"/>
              <w:left w:val="single" w:color="auto" w:sz="4" w:space="0"/>
              <w:bottom w:val="single" w:color="000000"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年度总</w:t>
            </w:r>
          </w:p>
          <w:p>
            <w:pPr>
              <w:widowControl/>
              <w:spacing w:line="320" w:lineRule="exact"/>
              <w:jc w:val="center"/>
              <w:rPr>
                <w:rFonts w:eastAsia="仿宋_GB2312"/>
                <w:color w:val="000000"/>
                <w:kern w:val="0"/>
                <w:szCs w:val="21"/>
              </w:rPr>
            </w:pPr>
            <w:r>
              <w:rPr>
                <w:rFonts w:eastAsia="仿宋_GB2312"/>
                <w:color w:val="000000"/>
                <w:kern w:val="0"/>
                <w:szCs w:val="21"/>
              </w:rPr>
              <w:t>体目标</w:t>
            </w: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预期目标</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实际完成情况　</w:t>
            </w:r>
          </w:p>
        </w:tc>
      </w:tr>
      <w:tr>
        <w:tblPrEx>
          <w:tblCellMar>
            <w:top w:w="0" w:type="dxa"/>
            <w:left w:w="108" w:type="dxa"/>
            <w:bottom w:w="0" w:type="dxa"/>
            <w:right w:w="108" w:type="dxa"/>
          </w:tblCellMar>
        </w:tblPrEx>
        <w:trPr>
          <w:trHeight w:val="715" w:hRule="atLeast"/>
          <w:jc w:val="center"/>
        </w:trPr>
        <w:tc>
          <w:tcPr>
            <w:tcW w:w="1135" w:type="dxa"/>
            <w:vMerge w:val="continue"/>
            <w:tcBorders>
              <w:top w:val="nil"/>
              <w:left w:val="single" w:color="auto" w:sz="4" w:space="0"/>
              <w:bottom w:val="single" w:color="auto" w:sz="4" w:space="0"/>
              <w:right w:val="single" w:color="auto" w:sz="4" w:space="0"/>
            </w:tcBorders>
            <w:vAlign w:val="center"/>
          </w:tcPr>
          <w:p>
            <w:pPr>
              <w:widowControl/>
              <w:spacing w:line="320" w:lineRule="exact"/>
              <w:jc w:val="left"/>
              <w:rPr>
                <w:rFonts w:eastAsia="仿宋_GB2312"/>
                <w:color w:val="000000"/>
                <w:kern w:val="0"/>
                <w:szCs w:val="21"/>
              </w:rPr>
            </w:pPr>
          </w:p>
        </w:tc>
        <w:tc>
          <w:tcPr>
            <w:tcW w:w="4611" w:type="dxa"/>
            <w:gridSpan w:val="4"/>
            <w:tcBorders>
              <w:top w:val="single" w:color="auto" w:sz="4" w:space="0"/>
              <w:left w:val="nil"/>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指导开展全区党建工作</w:t>
            </w:r>
            <w:r>
              <w:rPr>
                <w:rFonts w:eastAsia="仿宋_GB2312"/>
                <w:color w:val="000000"/>
                <w:kern w:val="0"/>
                <w:szCs w:val="21"/>
              </w:rPr>
              <w:t>　　</w:t>
            </w:r>
          </w:p>
        </w:tc>
        <w:tc>
          <w:tcPr>
            <w:tcW w:w="4253" w:type="dxa"/>
            <w:gridSpan w:val="4"/>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党建工作取得新成效</w:t>
            </w:r>
          </w:p>
        </w:tc>
      </w:tr>
      <w:tr>
        <w:tblPrEx>
          <w:tblCellMar>
            <w:top w:w="0" w:type="dxa"/>
            <w:left w:w="108" w:type="dxa"/>
            <w:bottom w:w="0" w:type="dxa"/>
            <w:right w:w="108" w:type="dxa"/>
          </w:tblCellMar>
        </w:tblPrEx>
        <w:trPr>
          <w:trHeight w:val="868" w:hRule="atLeast"/>
          <w:jc w:val="center"/>
        </w:trPr>
        <w:tc>
          <w:tcPr>
            <w:tcW w:w="1135"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绩</w:t>
            </w:r>
          </w:p>
          <w:p>
            <w:pPr>
              <w:widowControl/>
              <w:spacing w:line="320" w:lineRule="exact"/>
              <w:jc w:val="center"/>
              <w:rPr>
                <w:rFonts w:eastAsia="仿宋_GB2312"/>
                <w:color w:val="000000"/>
                <w:kern w:val="0"/>
                <w:szCs w:val="21"/>
              </w:rPr>
            </w:pPr>
            <w:r>
              <w:rPr>
                <w:rFonts w:eastAsia="仿宋_GB2312"/>
                <w:color w:val="000000"/>
                <w:kern w:val="0"/>
                <w:szCs w:val="21"/>
              </w:rPr>
              <w:t>效</w:t>
            </w:r>
          </w:p>
          <w:p>
            <w:pPr>
              <w:widowControl/>
              <w:spacing w:line="320" w:lineRule="exact"/>
              <w:jc w:val="center"/>
              <w:rPr>
                <w:rFonts w:eastAsia="仿宋_GB2312"/>
                <w:color w:val="000000"/>
                <w:kern w:val="0"/>
                <w:szCs w:val="21"/>
              </w:rPr>
            </w:pPr>
            <w:r>
              <w:rPr>
                <w:rFonts w:eastAsia="仿宋_GB2312"/>
                <w:color w:val="000000"/>
                <w:kern w:val="0"/>
                <w:szCs w:val="21"/>
              </w:rPr>
              <w:t>指</w:t>
            </w:r>
          </w:p>
          <w:p>
            <w:pPr>
              <w:widowControl/>
              <w:spacing w:line="320" w:lineRule="exact"/>
              <w:jc w:val="center"/>
              <w:rPr>
                <w:rFonts w:eastAsia="仿宋_GB2312"/>
                <w:color w:val="000000"/>
                <w:kern w:val="0"/>
                <w:szCs w:val="21"/>
              </w:rPr>
            </w:pPr>
            <w:r>
              <w:rPr>
                <w:rFonts w:eastAsia="仿宋_GB2312"/>
                <w:color w:val="000000"/>
                <w:kern w:val="0"/>
                <w:szCs w:val="21"/>
              </w:rPr>
              <w:t>标</w:t>
            </w:r>
          </w:p>
        </w:tc>
        <w:tc>
          <w:tcPr>
            <w:tcW w:w="992"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一级指标</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二级指标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三级指标</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年度</w:t>
            </w:r>
          </w:p>
          <w:p>
            <w:pPr>
              <w:widowControl/>
              <w:spacing w:line="320" w:lineRule="exact"/>
              <w:jc w:val="center"/>
              <w:rPr>
                <w:rFonts w:eastAsia="仿宋_GB2312"/>
                <w:color w:val="000000"/>
                <w:kern w:val="0"/>
                <w:szCs w:val="21"/>
              </w:rPr>
            </w:pPr>
            <w:r>
              <w:rPr>
                <w:rFonts w:eastAsia="仿宋_GB2312"/>
                <w:color w:val="000000"/>
                <w:kern w:val="0"/>
                <w:szCs w:val="21"/>
              </w:rPr>
              <w:t>指标值</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实际</w:t>
            </w:r>
          </w:p>
          <w:p>
            <w:pPr>
              <w:widowControl/>
              <w:spacing w:line="320" w:lineRule="exact"/>
              <w:jc w:val="center"/>
              <w:rPr>
                <w:rFonts w:eastAsia="仿宋_GB2312"/>
                <w:color w:val="000000"/>
                <w:kern w:val="0"/>
                <w:szCs w:val="21"/>
              </w:rPr>
            </w:pPr>
            <w:r>
              <w:rPr>
                <w:rFonts w:eastAsia="仿宋_GB2312"/>
                <w:color w:val="000000"/>
                <w:kern w:val="0"/>
                <w:szCs w:val="21"/>
              </w:rPr>
              <w:t>完成值</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分值</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得分</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偏差原因</w:t>
            </w:r>
          </w:p>
          <w:p>
            <w:pPr>
              <w:widowControl/>
              <w:spacing w:line="320" w:lineRule="exact"/>
              <w:jc w:val="center"/>
              <w:rPr>
                <w:rFonts w:eastAsia="仿宋_GB2312"/>
                <w:color w:val="000000"/>
                <w:kern w:val="0"/>
                <w:szCs w:val="21"/>
              </w:rPr>
            </w:pPr>
            <w:r>
              <w:rPr>
                <w:rFonts w:eastAsia="仿宋_GB2312"/>
                <w:color w:val="000000"/>
                <w:kern w:val="0"/>
                <w:szCs w:val="21"/>
              </w:rPr>
              <w:t>分析及</w:t>
            </w:r>
          </w:p>
          <w:p>
            <w:pPr>
              <w:widowControl/>
              <w:spacing w:line="320" w:lineRule="exact"/>
              <w:jc w:val="center"/>
              <w:rPr>
                <w:rFonts w:eastAsia="仿宋_GB2312"/>
                <w:color w:val="000000"/>
                <w:kern w:val="0"/>
                <w:szCs w:val="21"/>
              </w:rPr>
            </w:pPr>
            <w:r>
              <w:rPr>
                <w:rFonts w:eastAsia="仿宋_GB2312"/>
                <w:color w:val="000000"/>
                <w:kern w:val="0"/>
                <w:szCs w:val="21"/>
              </w:rPr>
              <w:t>改进措施</w:t>
            </w:r>
          </w:p>
        </w:tc>
      </w:tr>
      <w:tr>
        <w:tblPrEx>
          <w:tblCellMar>
            <w:top w:w="0" w:type="dxa"/>
            <w:left w:w="108" w:type="dxa"/>
            <w:bottom w:w="0" w:type="dxa"/>
            <w:right w:w="108" w:type="dxa"/>
          </w:tblCellMar>
        </w:tblPrEx>
        <w:trPr>
          <w:trHeight w:val="225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产出</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eastAsia="仿宋_GB2312"/>
                <w:color w:val="000000"/>
                <w:kern w:val="0"/>
                <w:szCs w:val="21"/>
              </w:rPr>
              <w:t>(</w:t>
            </w:r>
            <w:r>
              <w:rPr>
                <w:rFonts w:hint="eastAsia" w:eastAsia="仿宋_GB2312"/>
                <w:color w:val="000000"/>
                <w:kern w:val="0"/>
                <w:szCs w:val="21"/>
              </w:rPr>
              <w:t>6</w:t>
            </w:r>
            <w:r>
              <w:rPr>
                <w:rFonts w:eastAsia="仿宋_GB2312"/>
                <w:color w:val="000000"/>
                <w:kern w:val="0"/>
                <w:szCs w:val="21"/>
              </w:rPr>
              <w:t>0分)</w:t>
            </w: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数量指标</w:t>
            </w:r>
          </w:p>
        </w:tc>
        <w:tc>
          <w:tcPr>
            <w:tcW w:w="122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指导全区</w:t>
            </w:r>
            <w:r>
              <w:rPr>
                <w:rFonts w:hint="eastAsia" w:eastAsia="仿宋_GB2312"/>
                <w:color w:val="000000"/>
                <w:kern w:val="0"/>
                <w:szCs w:val="21"/>
                <w:lang w:val="en-US" w:eastAsia="zh-CN"/>
              </w:rPr>
              <w:t>10</w:t>
            </w:r>
            <w:r>
              <w:rPr>
                <w:rFonts w:hint="eastAsia" w:eastAsia="仿宋_GB2312"/>
                <w:color w:val="000000"/>
                <w:kern w:val="0"/>
                <w:szCs w:val="21"/>
              </w:rPr>
              <w:t>个乡镇街道、127个村社区、92个两新组织、549个党支部的党建工作</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p>
          <w:p>
            <w:pPr>
              <w:widowControl/>
              <w:spacing w:line="320" w:lineRule="exact"/>
              <w:jc w:val="center"/>
              <w:rPr>
                <w:rFonts w:eastAsia="仿宋_GB2312"/>
                <w:color w:val="000000"/>
                <w:kern w:val="0"/>
                <w:szCs w:val="21"/>
              </w:rPr>
            </w:pPr>
            <w:r>
              <w:rPr>
                <w:rFonts w:hint="eastAsia" w:eastAsia="仿宋_GB2312"/>
                <w:color w:val="000000"/>
                <w:kern w:val="0"/>
                <w:szCs w:val="21"/>
              </w:rPr>
              <w:t>20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7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质量指标</w:t>
            </w:r>
          </w:p>
        </w:tc>
        <w:tc>
          <w:tcPr>
            <w:tcW w:w="122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党建工作合格率100%</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96%</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20</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16</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五化达标创建率达99%</w:t>
            </w:r>
          </w:p>
        </w:tc>
      </w:tr>
      <w:tr>
        <w:tblPrEx>
          <w:tblCellMar>
            <w:top w:w="0" w:type="dxa"/>
            <w:left w:w="108" w:type="dxa"/>
            <w:bottom w:w="0" w:type="dxa"/>
            <w:right w:w="108" w:type="dxa"/>
          </w:tblCellMar>
        </w:tblPrEx>
        <w:trPr>
          <w:trHeight w:val="70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时效指标</w:t>
            </w:r>
          </w:p>
        </w:tc>
        <w:tc>
          <w:tcPr>
            <w:tcW w:w="122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按时完成党建目标</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8</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五化达标未完成1%</w:t>
            </w:r>
          </w:p>
        </w:tc>
      </w:tr>
      <w:tr>
        <w:tblPrEx>
          <w:tblCellMar>
            <w:top w:w="0" w:type="dxa"/>
            <w:left w:w="108" w:type="dxa"/>
            <w:bottom w:w="0" w:type="dxa"/>
            <w:right w:w="108" w:type="dxa"/>
          </w:tblCellMar>
        </w:tblPrEx>
        <w:trPr>
          <w:trHeight w:val="170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top w:val="single" w:color="auto" w:sz="4" w:space="0"/>
              <w:left w:val="nil"/>
              <w:bottom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成本指标</w:t>
            </w:r>
          </w:p>
        </w:tc>
        <w:tc>
          <w:tcPr>
            <w:tcW w:w="1224"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党建工作站2万/乡镇街道；党建E+流量每名网格、站长600元/人/年；两新组织党建指导员、党支部书记300元/月/人；两新组织党建经费5000元/年</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restart"/>
            <w:tcBorders>
              <w:top w:val="single" w:color="auto" w:sz="4" w:space="0"/>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效益</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left"/>
              <w:rPr>
                <w:rFonts w:eastAsia="仿宋_GB2312"/>
                <w:color w:val="000000"/>
                <w:kern w:val="0"/>
                <w:szCs w:val="21"/>
              </w:rPr>
            </w:pPr>
          </w:p>
          <w:p>
            <w:pPr>
              <w:widowControl/>
              <w:spacing w:line="320" w:lineRule="exact"/>
              <w:jc w:val="left"/>
              <w:rPr>
                <w:rFonts w:eastAsia="仿宋_GB2312"/>
                <w:color w:val="000000"/>
                <w:kern w:val="0"/>
                <w:szCs w:val="21"/>
              </w:rPr>
            </w:pPr>
            <w:r>
              <w:rPr>
                <w:rFonts w:eastAsia="仿宋_GB2312"/>
                <w:color w:val="000000"/>
                <w:kern w:val="0"/>
                <w:szCs w:val="21"/>
              </w:rPr>
              <w:t>（30分）</w:t>
            </w:r>
          </w:p>
          <w:p>
            <w:pPr>
              <w:spacing w:line="320" w:lineRule="exact"/>
              <w:jc w:val="left"/>
              <w:rPr>
                <w:rFonts w:eastAsia="仿宋_GB2312"/>
                <w:color w:val="000000"/>
                <w:kern w:val="0"/>
                <w:szCs w:val="21"/>
              </w:rPr>
            </w:pPr>
            <w:r>
              <w:rPr>
                <w:rFonts w:eastAsia="仿宋_GB2312"/>
                <w:color w:val="000000"/>
                <w:kern w:val="0"/>
                <w:szCs w:val="21"/>
              </w:rPr>
              <w:t>　</w:t>
            </w: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经济效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社会效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基层党建工作水平不断提高</w:t>
            </w:r>
          </w:p>
        </w:tc>
        <w:tc>
          <w:tcPr>
            <w:tcW w:w="1134"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1134"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100%</w:t>
            </w:r>
          </w:p>
        </w:tc>
        <w:tc>
          <w:tcPr>
            <w:tcW w:w="828"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873" w:type="dxa"/>
            <w:vMerge w:val="restart"/>
            <w:tcBorders>
              <w:top w:val="single" w:color="auto" w:sz="4" w:space="0"/>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30</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1224"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28"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873" w:type="dxa"/>
            <w:vMerge w:val="continue"/>
            <w:tcBorders>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生态效</w:t>
            </w:r>
          </w:p>
          <w:p>
            <w:pPr>
              <w:widowControl/>
              <w:spacing w:line="320" w:lineRule="exact"/>
              <w:jc w:val="center"/>
              <w:rPr>
                <w:rFonts w:eastAsia="仿宋_GB2312"/>
                <w:color w:val="000000"/>
                <w:kern w:val="0"/>
                <w:szCs w:val="21"/>
              </w:rPr>
            </w:pPr>
            <w:r>
              <w:rPr>
                <w:rFonts w:eastAsia="仿宋_GB2312"/>
                <w:color w:val="000000"/>
                <w:kern w:val="0"/>
                <w:szCs w:val="21"/>
              </w:rPr>
              <w:t>益指标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center"/>
              <w:rPr>
                <w:rFonts w:eastAsia="仿宋_GB2312"/>
                <w:color w:val="000000"/>
                <w:kern w:val="0"/>
                <w:szCs w:val="21"/>
              </w:rPr>
            </w:pPr>
          </w:p>
        </w:tc>
        <w:tc>
          <w:tcPr>
            <w:tcW w:w="992" w:type="dxa"/>
            <w:vMerge w:val="continue"/>
            <w:tcBorders>
              <w:left w:val="nil"/>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1261" w:type="dxa"/>
            <w:vMerge w:val="continue"/>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p>
        </w:tc>
        <w:tc>
          <w:tcPr>
            <w:tcW w:w="992" w:type="dxa"/>
            <w:vMerge w:val="continue"/>
            <w:tcBorders>
              <w:left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restart"/>
            <w:tcBorders>
              <w:top w:val="single" w:color="auto" w:sz="4" w:space="0"/>
              <w:left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可持续影响指标</w:t>
            </w:r>
          </w:p>
        </w:tc>
        <w:tc>
          <w:tcPr>
            <w:tcW w:w="122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61" w:type="dxa"/>
            <w:vMerge w:val="continue"/>
            <w:tcBorders>
              <w:left w:val="single" w:color="auto" w:sz="4" w:space="0"/>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p>
        </w:tc>
        <w:tc>
          <w:tcPr>
            <w:tcW w:w="122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134"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960" w:hRule="atLeast"/>
          <w:jc w:val="center"/>
        </w:trPr>
        <w:tc>
          <w:tcPr>
            <w:tcW w:w="1135" w:type="dxa"/>
            <w:vMerge w:val="continue"/>
            <w:tcBorders>
              <w:left w:val="single" w:color="auto" w:sz="4" w:space="0"/>
              <w:right w:val="single" w:color="auto" w:sz="4" w:space="0"/>
            </w:tcBorders>
            <w:shd w:val="clear" w:color="auto" w:fill="auto"/>
            <w:vAlign w:val="center"/>
          </w:tcPr>
          <w:p>
            <w:pPr>
              <w:spacing w:line="320" w:lineRule="exact"/>
              <w:jc w:val="left"/>
              <w:rPr>
                <w:rFonts w:eastAsia="仿宋_GB2312"/>
                <w:color w:val="000000"/>
                <w:kern w:val="0"/>
                <w:szCs w:val="21"/>
              </w:rPr>
            </w:pPr>
          </w:p>
        </w:tc>
        <w:tc>
          <w:tcPr>
            <w:tcW w:w="992"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满意度</w:t>
            </w:r>
          </w:p>
          <w:p>
            <w:pPr>
              <w:widowControl/>
              <w:spacing w:line="320" w:lineRule="exact"/>
              <w:jc w:val="center"/>
              <w:rPr>
                <w:rFonts w:eastAsia="仿宋_GB2312"/>
                <w:color w:val="000000"/>
                <w:kern w:val="0"/>
                <w:szCs w:val="21"/>
              </w:rPr>
            </w:pPr>
            <w:r>
              <w:rPr>
                <w:rFonts w:eastAsia="仿宋_GB2312"/>
                <w:color w:val="000000"/>
                <w:kern w:val="0"/>
                <w:szCs w:val="21"/>
              </w:rPr>
              <w:t>指标</w:t>
            </w:r>
          </w:p>
          <w:p>
            <w:pPr>
              <w:widowControl/>
              <w:spacing w:line="320" w:lineRule="exact"/>
              <w:jc w:val="center"/>
              <w:rPr>
                <w:rFonts w:eastAsia="仿宋_GB2312"/>
                <w:color w:val="000000"/>
                <w:kern w:val="0"/>
                <w:szCs w:val="21"/>
              </w:rPr>
            </w:pPr>
            <w:r>
              <w:rPr>
                <w:rFonts w:eastAsia="仿宋_GB2312"/>
                <w:color w:val="000000"/>
                <w:kern w:val="0"/>
                <w:szCs w:val="21"/>
              </w:rPr>
              <w:t>（10分）</w:t>
            </w:r>
          </w:p>
        </w:tc>
        <w:tc>
          <w:tcPr>
            <w:tcW w:w="1261"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服务对象满意度指标</w:t>
            </w:r>
          </w:p>
        </w:tc>
        <w:tc>
          <w:tcPr>
            <w:tcW w:w="1224" w:type="dxa"/>
            <w:tcBorders>
              <w:top w:val="nil"/>
              <w:left w:val="nil"/>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hint="eastAsia" w:eastAsia="仿宋_GB2312"/>
                <w:color w:val="000000"/>
                <w:kern w:val="0"/>
                <w:szCs w:val="21"/>
              </w:rPr>
              <w:t>党建水平提到提升</w:t>
            </w:r>
          </w:p>
        </w:tc>
        <w:tc>
          <w:tcPr>
            <w:tcW w:w="1134" w:type="dxa"/>
            <w:tcBorders>
              <w:top w:val="nil"/>
              <w:left w:val="nil"/>
              <w:right w:val="single" w:color="auto" w:sz="4" w:space="0"/>
            </w:tcBorders>
            <w:shd w:val="clear" w:color="auto" w:fill="auto"/>
            <w:vAlign w:val="center"/>
          </w:tcPr>
          <w:p>
            <w:pPr>
              <w:widowControl/>
              <w:tabs>
                <w:tab w:val="left" w:pos="575"/>
              </w:tabs>
              <w:spacing w:line="320" w:lineRule="exact"/>
              <w:jc w:val="center"/>
              <w:rPr>
                <w:rFonts w:eastAsia="仿宋_GB2312"/>
                <w:color w:val="000000"/>
                <w:kern w:val="0"/>
                <w:szCs w:val="21"/>
              </w:rPr>
            </w:pPr>
            <w:r>
              <w:rPr>
                <w:rFonts w:hint="eastAsia" w:eastAsia="仿宋_GB2312"/>
                <w:color w:val="000000"/>
                <w:kern w:val="0"/>
                <w:szCs w:val="21"/>
              </w:rPr>
              <w:t>100%</w:t>
            </w:r>
          </w:p>
        </w:tc>
        <w:tc>
          <w:tcPr>
            <w:tcW w:w="1134" w:type="dxa"/>
            <w:tcBorders>
              <w:top w:val="nil"/>
              <w:left w:val="nil"/>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hint="eastAsia" w:eastAsia="仿宋_GB2312"/>
                <w:color w:val="000000"/>
                <w:kern w:val="0"/>
                <w:szCs w:val="21"/>
              </w:rPr>
              <w:t>100%</w:t>
            </w:r>
          </w:p>
        </w:tc>
        <w:tc>
          <w:tcPr>
            <w:tcW w:w="82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873"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10</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p>
            <w:pPr>
              <w:widowControl/>
              <w:spacing w:line="320" w:lineRule="exact"/>
              <w:jc w:val="left"/>
              <w:rPr>
                <w:rFonts w:eastAsia="仿宋_GB2312"/>
                <w:color w:val="000000"/>
                <w:kern w:val="0"/>
                <w:szCs w:val="21"/>
              </w:rPr>
            </w:pPr>
            <w:r>
              <w:rPr>
                <w:rFonts w:eastAsia="仿宋_GB2312"/>
                <w:color w:val="000000"/>
                <w:kern w:val="0"/>
                <w:szCs w:val="21"/>
              </w:rPr>
              <w:t>　</w:t>
            </w:r>
          </w:p>
        </w:tc>
      </w:tr>
      <w:tr>
        <w:tblPrEx>
          <w:tblCellMar>
            <w:top w:w="0" w:type="dxa"/>
            <w:left w:w="108" w:type="dxa"/>
            <w:bottom w:w="0" w:type="dxa"/>
            <w:right w:w="108" w:type="dxa"/>
          </w:tblCellMar>
        </w:tblPrEx>
        <w:trPr>
          <w:trHeight w:val="340" w:hRule="atLeast"/>
          <w:jc w:val="center"/>
        </w:trPr>
        <w:tc>
          <w:tcPr>
            <w:tcW w:w="6880" w:type="dxa"/>
            <w:gridSpan w:val="6"/>
            <w:tcBorders>
              <w:top w:val="single" w:color="auto" w:sz="4" w:space="0"/>
              <w:left w:val="single" w:color="auto" w:sz="4" w:space="0"/>
              <w:bottom w:val="single" w:color="auto" w:sz="4" w:space="0"/>
              <w:right w:val="single" w:color="000000"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总分</w:t>
            </w:r>
          </w:p>
        </w:tc>
        <w:tc>
          <w:tcPr>
            <w:tcW w:w="828"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center"/>
              <w:rPr>
                <w:rFonts w:eastAsia="仿宋_GB2312"/>
                <w:color w:val="000000"/>
                <w:kern w:val="0"/>
                <w:szCs w:val="21"/>
              </w:rPr>
            </w:pPr>
            <w:r>
              <w:rPr>
                <w:rFonts w:eastAsia="仿宋_GB2312"/>
                <w:color w:val="000000"/>
                <w:kern w:val="0"/>
                <w:szCs w:val="21"/>
              </w:rPr>
              <w:t>100</w:t>
            </w:r>
          </w:p>
        </w:tc>
        <w:tc>
          <w:tcPr>
            <w:tcW w:w="873" w:type="dxa"/>
            <w:tcBorders>
              <w:top w:val="single" w:color="auto" w:sz="4" w:space="0"/>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r>
              <w:rPr>
                <w:rFonts w:hint="eastAsia" w:eastAsia="仿宋_GB2312"/>
                <w:color w:val="000000"/>
                <w:kern w:val="0"/>
                <w:szCs w:val="21"/>
              </w:rPr>
              <w:t>94</w:t>
            </w:r>
          </w:p>
        </w:tc>
        <w:tc>
          <w:tcPr>
            <w:tcW w:w="1418" w:type="dxa"/>
            <w:tcBorders>
              <w:top w:val="nil"/>
              <w:left w:val="nil"/>
              <w:bottom w:val="single" w:color="auto" w:sz="4" w:space="0"/>
              <w:right w:val="single" w:color="auto" w:sz="4" w:space="0"/>
            </w:tcBorders>
            <w:shd w:val="clear" w:color="auto" w:fill="auto"/>
            <w:vAlign w:val="center"/>
          </w:tcPr>
          <w:p>
            <w:pPr>
              <w:widowControl/>
              <w:spacing w:line="320" w:lineRule="exact"/>
              <w:jc w:val="left"/>
              <w:rPr>
                <w:rFonts w:eastAsia="仿宋_GB2312"/>
                <w:color w:val="000000"/>
                <w:kern w:val="0"/>
                <w:szCs w:val="21"/>
              </w:rPr>
            </w:pPr>
            <w:r>
              <w:rPr>
                <w:rFonts w:eastAsia="仿宋_GB2312"/>
                <w:color w:val="000000"/>
                <w:kern w:val="0"/>
                <w:szCs w:val="21"/>
              </w:rPr>
              <w:t>　</w:t>
            </w:r>
          </w:p>
        </w:tc>
      </w:tr>
    </w:tbl>
    <w:p>
      <w:pPr>
        <w:spacing w:beforeLines="50" w:line="320" w:lineRule="exact"/>
        <w:rPr>
          <w:rFonts w:eastAsia="仿宋_GB2312"/>
          <w:sz w:val="24"/>
        </w:rPr>
      </w:pPr>
      <w:r>
        <w:rPr>
          <w:rFonts w:eastAsia="仿宋_GB2312"/>
          <w:sz w:val="24"/>
        </w:rPr>
        <w:t>填表人：</w:t>
      </w:r>
      <w:r>
        <w:rPr>
          <w:rFonts w:hint="eastAsia" w:eastAsia="仿宋_GB2312"/>
          <w:sz w:val="24"/>
        </w:rPr>
        <w:t>谢芬</w:t>
      </w:r>
      <w:r>
        <w:rPr>
          <w:rFonts w:eastAsia="仿宋_GB2312"/>
          <w:sz w:val="24"/>
        </w:rPr>
        <w:t xml:space="preserve">         填报日期：</w:t>
      </w:r>
      <w:r>
        <w:rPr>
          <w:rFonts w:hint="eastAsia" w:eastAsia="仿宋_GB2312"/>
          <w:sz w:val="24"/>
        </w:rPr>
        <w:t>2020年9月17日</w:t>
      </w:r>
      <w:r>
        <w:rPr>
          <w:rFonts w:eastAsia="仿宋_GB2312"/>
          <w:sz w:val="24"/>
        </w:rPr>
        <w:t xml:space="preserve">    联系电话：</w:t>
      </w:r>
      <w:r>
        <w:rPr>
          <w:rFonts w:hint="eastAsia" w:eastAsia="仿宋_GB2312"/>
          <w:sz w:val="24"/>
        </w:rPr>
        <w:t>13973078839</w:t>
      </w:r>
      <w:r>
        <w:rPr>
          <w:rFonts w:eastAsia="仿宋_GB2312"/>
          <w:sz w:val="24"/>
        </w:rPr>
        <w:t xml:space="preserve"> 单位负责人签字：</w:t>
      </w:r>
      <w:r>
        <w:rPr>
          <w:rFonts w:hint="eastAsia" w:eastAsia="仿宋_GB2312"/>
          <w:sz w:val="24"/>
        </w:rPr>
        <w:t>邓友佳</w:t>
      </w: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黑体"/>
          <w:sz w:val="32"/>
          <w:szCs w:val="32"/>
        </w:rPr>
      </w:pPr>
    </w:p>
    <w:p>
      <w:pPr>
        <w:spacing w:afterLines="100" w:line="600" w:lineRule="exact"/>
        <w:rPr>
          <w:rFonts w:eastAsia="方正小标宋_GBK"/>
          <w:sz w:val="36"/>
          <w:szCs w:val="36"/>
        </w:rPr>
      </w:pPr>
      <w:r>
        <w:rPr>
          <w:rFonts w:eastAsia="黑体"/>
          <w:sz w:val="32"/>
          <w:szCs w:val="32"/>
        </w:rPr>
        <w:t>附件</w:t>
      </w:r>
      <w:r>
        <w:rPr>
          <w:rFonts w:hint="eastAsia" w:eastAsia="黑体"/>
          <w:sz w:val="32"/>
          <w:szCs w:val="32"/>
        </w:rPr>
        <w:t>5</w:t>
      </w:r>
      <w:r>
        <w:rPr>
          <w:rFonts w:eastAsia="黑体"/>
          <w:sz w:val="32"/>
          <w:szCs w:val="32"/>
        </w:rPr>
        <w:t>-1</w:t>
      </w:r>
    </w:p>
    <w:p>
      <w:pPr>
        <w:spacing w:line="600" w:lineRule="exact"/>
        <w:jc w:val="center"/>
        <w:rPr>
          <w:rFonts w:eastAsia="楷体_GB2312"/>
          <w:sz w:val="32"/>
          <w:szCs w:val="32"/>
        </w:rPr>
      </w:pPr>
      <w:r>
        <w:rPr>
          <w:rFonts w:eastAsia="方正小标宋_GBK"/>
          <w:sz w:val="36"/>
          <w:szCs w:val="36"/>
        </w:rPr>
        <w:t>预算支出绩效评价报告</w:t>
      </w:r>
    </w:p>
    <w:p>
      <w:pPr>
        <w:spacing w:line="360" w:lineRule="exact"/>
        <w:rPr>
          <w:rFonts w:eastAsia="黑体"/>
          <w:kern w:val="0"/>
          <w:sz w:val="32"/>
          <w:szCs w:val="32"/>
        </w:rPr>
      </w:pPr>
    </w:p>
    <w:p>
      <w:pPr>
        <w:spacing w:line="600" w:lineRule="exact"/>
        <w:ind w:firstLine="640" w:firstLineChars="200"/>
        <w:rPr>
          <w:rFonts w:eastAsia="黑体"/>
          <w:sz w:val="32"/>
          <w:szCs w:val="32"/>
        </w:rPr>
      </w:pPr>
      <w:r>
        <w:rPr>
          <w:rFonts w:eastAsia="黑体"/>
          <w:sz w:val="32"/>
          <w:szCs w:val="32"/>
        </w:rPr>
        <w:t>一、预算支出基本情况</w:t>
      </w:r>
    </w:p>
    <w:p>
      <w:pPr>
        <w:spacing w:line="600" w:lineRule="exact"/>
        <w:ind w:firstLine="643" w:firstLineChars="200"/>
        <w:rPr>
          <w:rFonts w:eastAsia="楷体_GB2312"/>
          <w:b/>
          <w:sz w:val="32"/>
          <w:szCs w:val="32"/>
        </w:rPr>
      </w:pPr>
      <w:r>
        <w:rPr>
          <w:rFonts w:eastAsia="楷体_GB2312"/>
          <w:b/>
          <w:sz w:val="32"/>
          <w:szCs w:val="32"/>
        </w:rPr>
        <w:t>（一）预算支出概况。</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怀化市鹤城区委组织部成立于1998年，主要工作职责:负责研究和指导党组织建设，负责提出领导班子调整、配备的意见建议，研究制订全区组织管理信息系统建设规划，负责干部监督工作的宏观指导，制订干部教育工作规划等。单位有编制数36人，在编</w:t>
      </w:r>
      <w:r>
        <w:rPr>
          <w:rFonts w:ascii="仿宋" w:hAnsi="仿宋" w:eastAsia="仿宋"/>
          <w:sz w:val="32"/>
          <w:szCs w:val="32"/>
        </w:rPr>
        <w:t>2</w:t>
      </w:r>
      <w:r>
        <w:rPr>
          <w:rFonts w:hint="eastAsia" w:ascii="仿宋" w:hAnsi="仿宋" w:eastAsia="仿宋"/>
          <w:sz w:val="32"/>
          <w:szCs w:val="32"/>
        </w:rPr>
        <w:t>9人，领导班子成员</w:t>
      </w:r>
      <w:r>
        <w:rPr>
          <w:rFonts w:ascii="仿宋" w:hAnsi="仿宋" w:eastAsia="仿宋"/>
          <w:sz w:val="32"/>
          <w:szCs w:val="32"/>
        </w:rPr>
        <w:t>4</w:t>
      </w:r>
      <w:r>
        <w:rPr>
          <w:rFonts w:hint="eastAsia" w:ascii="仿宋" w:hAnsi="仿宋" w:eastAsia="仿宋"/>
          <w:sz w:val="32"/>
          <w:szCs w:val="32"/>
        </w:rPr>
        <w:t>人，共有干部职工</w:t>
      </w:r>
      <w:r>
        <w:rPr>
          <w:rFonts w:ascii="仿宋" w:hAnsi="仿宋" w:eastAsia="仿宋"/>
          <w:sz w:val="32"/>
          <w:szCs w:val="32"/>
        </w:rPr>
        <w:t>3</w:t>
      </w:r>
      <w:r>
        <w:rPr>
          <w:rFonts w:hint="eastAsia" w:ascii="仿宋" w:hAnsi="仿宋" w:eastAsia="仿宋"/>
          <w:sz w:val="32"/>
          <w:szCs w:val="32"/>
        </w:rPr>
        <w:t>9人，其中在职</w:t>
      </w:r>
      <w:r>
        <w:rPr>
          <w:rFonts w:ascii="仿宋" w:hAnsi="仿宋" w:eastAsia="仿宋"/>
          <w:sz w:val="32"/>
          <w:szCs w:val="32"/>
        </w:rPr>
        <w:t>2</w:t>
      </w:r>
      <w:r>
        <w:rPr>
          <w:rFonts w:hint="eastAsia" w:ascii="仿宋" w:hAnsi="仿宋" w:eastAsia="仿宋"/>
          <w:sz w:val="32"/>
          <w:szCs w:val="32"/>
        </w:rPr>
        <w:t>9人、离退休</w:t>
      </w:r>
      <w:r>
        <w:rPr>
          <w:rFonts w:ascii="仿宋" w:hAnsi="仿宋" w:eastAsia="仿宋"/>
          <w:sz w:val="32"/>
          <w:szCs w:val="32"/>
        </w:rPr>
        <w:t>10</w:t>
      </w:r>
      <w:r>
        <w:rPr>
          <w:rFonts w:hint="eastAsia" w:ascii="仿宋" w:hAnsi="仿宋" w:eastAsia="仿宋"/>
          <w:sz w:val="32"/>
          <w:szCs w:val="32"/>
        </w:rPr>
        <w:t>人。党总支下设机关、老干等党支部，共有党员</w:t>
      </w:r>
      <w:r>
        <w:rPr>
          <w:rFonts w:ascii="仿宋" w:hAnsi="仿宋" w:eastAsia="仿宋"/>
          <w:sz w:val="32"/>
          <w:szCs w:val="32"/>
        </w:rPr>
        <w:t>3</w:t>
      </w:r>
      <w:r>
        <w:rPr>
          <w:rFonts w:hint="eastAsia" w:ascii="仿宋" w:hAnsi="仿宋" w:eastAsia="仿宋"/>
          <w:sz w:val="32"/>
          <w:szCs w:val="32"/>
        </w:rPr>
        <w:t>9人。</w:t>
      </w:r>
    </w:p>
    <w:p>
      <w:pPr>
        <w:spacing w:line="600" w:lineRule="exact"/>
        <w:ind w:firstLine="643" w:firstLineChars="200"/>
        <w:rPr>
          <w:rFonts w:eastAsia="仿宋_GB2312"/>
          <w:sz w:val="32"/>
          <w:szCs w:val="32"/>
        </w:rPr>
      </w:pPr>
      <w:r>
        <w:rPr>
          <w:rFonts w:eastAsia="楷体_GB2312"/>
          <w:b/>
          <w:sz w:val="32"/>
          <w:szCs w:val="32"/>
        </w:rPr>
        <w:t>（二）预算资金使用管理情况。</w:t>
      </w:r>
      <w:r>
        <w:rPr>
          <w:rFonts w:hint="eastAsia" w:eastAsia="仿宋_GB2312"/>
          <w:sz w:val="32"/>
          <w:szCs w:val="32"/>
        </w:rPr>
        <w:t>本单位</w:t>
      </w:r>
      <w:r>
        <w:rPr>
          <w:rFonts w:eastAsia="仿宋_GB2312"/>
          <w:sz w:val="32"/>
          <w:szCs w:val="32"/>
        </w:rPr>
        <w:t>预算支出组织管理机构</w:t>
      </w:r>
      <w:r>
        <w:rPr>
          <w:rFonts w:hint="eastAsia" w:eastAsia="仿宋_GB2312"/>
          <w:sz w:val="32"/>
          <w:szCs w:val="32"/>
        </w:rPr>
        <w:t>健全</w:t>
      </w:r>
      <w:r>
        <w:rPr>
          <w:rFonts w:eastAsia="仿宋_GB2312"/>
          <w:sz w:val="32"/>
          <w:szCs w:val="32"/>
        </w:rPr>
        <w:t>；预算资金和项目管理制度建设</w:t>
      </w:r>
      <w:r>
        <w:rPr>
          <w:rFonts w:hint="eastAsia" w:eastAsia="仿宋_GB2312"/>
          <w:sz w:val="32"/>
          <w:szCs w:val="32"/>
        </w:rPr>
        <w:t>有序</w:t>
      </w:r>
      <w:r>
        <w:rPr>
          <w:rFonts w:eastAsia="仿宋_GB2312"/>
          <w:sz w:val="32"/>
          <w:szCs w:val="32"/>
        </w:rPr>
        <w:t>，预算资金投向结构</w:t>
      </w:r>
      <w:r>
        <w:rPr>
          <w:rFonts w:hint="eastAsia" w:eastAsia="仿宋_GB2312"/>
          <w:sz w:val="32"/>
          <w:szCs w:val="32"/>
        </w:rPr>
        <w:t>具备</w:t>
      </w:r>
      <w:r>
        <w:rPr>
          <w:rFonts w:eastAsia="仿宋_GB2312"/>
          <w:sz w:val="32"/>
          <w:szCs w:val="32"/>
        </w:rPr>
        <w:t>合理性，资金拨付及时性，项目</w:t>
      </w:r>
      <w:r>
        <w:rPr>
          <w:rFonts w:hint="eastAsia" w:eastAsia="仿宋_GB2312"/>
          <w:sz w:val="32"/>
          <w:szCs w:val="32"/>
        </w:rPr>
        <w:t>的</w:t>
      </w:r>
      <w:r>
        <w:rPr>
          <w:rFonts w:eastAsia="仿宋_GB2312"/>
          <w:sz w:val="32"/>
          <w:szCs w:val="32"/>
        </w:rPr>
        <w:t>立项、申报、评审、监督管理、验收等阶段组织实施合</w:t>
      </w:r>
      <w:r>
        <w:rPr>
          <w:rFonts w:hint="eastAsia" w:eastAsia="仿宋_GB2312"/>
          <w:sz w:val="32"/>
          <w:szCs w:val="32"/>
        </w:rPr>
        <w:t>法合</w:t>
      </w:r>
      <w:r>
        <w:rPr>
          <w:rFonts w:eastAsia="仿宋_GB2312"/>
          <w:sz w:val="32"/>
          <w:szCs w:val="32"/>
        </w:rPr>
        <w:t>规。</w:t>
      </w:r>
    </w:p>
    <w:p>
      <w:pPr>
        <w:spacing w:line="600" w:lineRule="exact"/>
        <w:ind w:firstLine="643" w:firstLineChars="200"/>
        <w:rPr>
          <w:rFonts w:eastAsia="仿宋_GB2312"/>
          <w:sz w:val="32"/>
          <w:szCs w:val="32"/>
        </w:rPr>
      </w:pPr>
      <w:r>
        <w:rPr>
          <w:rFonts w:eastAsia="楷体_GB2312"/>
          <w:b/>
          <w:sz w:val="32"/>
          <w:szCs w:val="32"/>
        </w:rPr>
        <w:t>（三）预算支出绩效目标完成程度。</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我部坚持以习近平新时代中国特色社会主义思想为指导，坚持贯彻落实中央、省、市委决策部署，牢固树立过“紧日子”的思想，带头厉行节约，认真履行职责，精准精细管理，全面完成了各项工作任务，同时切实加强预算收支的管理，健全内部管理制度，严格财务工作流程，部门整体支出管理得到了有效提升。</w:t>
      </w:r>
    </w:p>
    <w:p>
      <w:pPr>
        <w:spacing w:line="60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2019年我部全面推进党支部五化建设，全区549个基层党支部，38个评为先锋支部，</w:t>
      </w:r>
      <w:r>
        <w:rPr>
          <w:rFonts w:hint="eastAsia" w:ascii="仿宋_GB2312" w:hAnsi="仿宋_GB2312" w:eastAsia="仿宋_GB2312" w:cs="仿宋_GB2312"/>
          <w:sz w:val="32"/>
          <w:szCs w:val="32"/>
          <w:lang w:val="en-US" w:eastAsia="zh-CN"/>
        </w:rPr>
        <w:t>544</w:t>
      </w:r>
      <w:r>
        <w:rPr>
          <w:rFonts w:hint="eastAsia" w:ascii="仿宋_GB2312" w:hAnsi="仿宋_GB2312" w:eastAsia="仿宋_GB2312" w:cs="仿宋_GB2312"/>
          <w:sz w:val="32"/>
          <w:szCs w:val="32"/>
        </w:rPr>
        <w:t>个评为合格支部，创建率达到99.1%。实施阵地达标“清零”行动，13个阵地未达标社区通过新建、改扩建、利用国有闲置资产和开发商无偿提供等方式全部达标“清零”，省级述前考核给予高度肯定。</w:t>
      </w:r>
    </w:p>
    <w:p>
      <w:pPr>
        <w:spacing w:line="600" w:lineRule="exact"/>
        <w:ind w:firstLine="640" w:firstLineChars="200"/>
        <w:rPr>
          <w:rFonts w:eastAsia="仿宋_GB2312"/>
          <w:sz w:val="32"/>
          <w:szCs w:val="32"/>
        </w:rPr>
      </w:pPr>
      <w:r>
        <w:rPr>
          <w:rFonts w:hint="eastAsia" w:ascii="仿宋_GB2312" w:hAnsi="仿宋_GB2312" w:eastAsia="仿宋_GB2312"/>
          <w:kern w:val="0"/>
          <w:sz w:val="32"/>
          <w:shd w:val="clear" w:color="auto" w:fill="FFFFFF"/>
        </w:rPr>
        <w:t>鹤城辖区内</w:t>
      </w:r>
      <w:r>
        <w:rPr>
          <w:rFonts w:hint="eastAsia" w:ascii="仿宋_GB2312" w:hAnsi="仿宋_GB2312" w:eastAsia="仿宋_GB2312"/>
          <w:sz w:val="32"/>
        </w:rPr>
        <w:t>共有</w:t>
      </w:r>
      <w:r>
        <w:rPr>
          <w:rFonts w:hint="eastAsia" w:ascii="仿宋_GB2312" w:hAnsi="仿宋_GB2312" w:eastAsia="仿宋_GB2312"/>
          <w:kern w:val="0"/>
          <w:sz w:val="32"/>
          <w:shd w:val="clear" w:color="auto" w:fill="FFFFFF"/>
        </w:rPr>
        <w:t>非公有制经济组织和社会组织（以下简称两新组织）277个，</w:t>
      </w:r>
      <w:r>
        <w:rPr>
          <w:rFonts w:hint="eastAsia" w:ascii="仿宋_GB2312" w:hAnsi="仿宋_GB2312" w:eastAsia="仿宋_GB2312"/>
          <w:sz w:val="32"/>
        </w:rPr>
        <w:t>党员709名。目前，我区已建两新党组织92个（党委1个，党总支2个）。2019年</w:t>
      </w:r>
      <w:r>
        <w:rPr>
          <w:rFonts w:hint="eastAsia" w:ascii="仿宋_GB2312" w:hAnsi="仿宋_GB2312" w:eastAsia="仿宋_GB2312" w:cs="仿宋_GB2312"/>
          <w:sz w:val="32"/>
          <w:szCs w:val="32"/>
        </w:rPr>
        <w:t>夯实基层基础，工作保障机制得到进一步强化。</w:t>
      </w:r>
      <w:r>
        <w:rPr>
          <w:rFonts w:hint="eastAsia" w:ascii="仿宋_GB2312" w:hAnsi="楷体_GB2312" w:eastAsia="仿宋_GB2312" w:cs="楷体_GB2312"/>
          <w:bCs/>
          <w:sz w:val="32"/>
          <w:szCs w:val="32"/>
        </w:rPr>
        <w:t>以各综合（行业）党委为单位，</w:t>
      </w:r>
      <w:r>
        <w:rPr>
          <w:rFonts w:hint="eastAsia" w:ascii="仿宋_GB2312" w:hAnsi="仿宋_GB2312" w:eastAsia="仿宋_GB2312"/>
          <w:kern w:val="0"/>
          <w:sz w:val="32"/>
        </w:rPr>
        <w:t>对选派的党建指导员进行了扎实的业务培训，强化了党建指导员责任意识，并不定期抽查各党建指导员到点指导情况，严格考核管理。</w:t>
      </w:r>
    </w:p>
    <w:p>
      <w:pPr>
        <w:spacing w:line="600" w:lineRule="exact"/>
        <w:ind w:firstLine="640" w:firstLineChars="200"/>
        <w:rPr>
          <w:rFonts w:eastAsia="黑体"/>
          <w:sz w:val="32"/>
          <w:szCs w:val="32"/>
        </w:rPr>
      </w:pPr>
      <w:r>
        <w:rPr>
          <w:rFonts w:eastAsia="黑体"/>
          <w:sz w:val="32"/>
          <w:szCs w:val="32"/>
        </w:rPr>
        <w:t>二、绩效评价工作情况</w:t>
      </w:r>
    </w:p>
    <w:p>
      <w:pPr>
        <w:widowControl/>
        <w:spacing w:line="500" w:lineRule="auto"/>
        <w:ind w:firstLine="480" w:firstLineChars="150"/>
        <w:jc w:val="left"/>
        <w:rPr>
          <w:rFonts w:ascii="仿宋" w:hAnsi="仿宋" w:eastAsia="仿宋" w:cs="仿宋"/>
          <w:sz w:val="32"/>
          <w:szCs w:val="32"/>
        </w:rPr>
      </w:pPr>
      <w:r>
        <w:rPr>
          <w:rFonts w:hint="eastAsia" w:ascii="仿宋" w:hAnsi="仿宋" w:eastAsia="仿宋" w:cs="仿宋"/>
          <w:sz w:val="32"/>
          <w:szCs w:val="32"/>
        </w:rPr>
        <w:t xml:space="preserve">2019年，我部积极推进预算绩效管理，合理制定和编报年度预算，加强资金管理，提高资金使用效益，建立完善内部监督机制，合理列支年度经费支出。按照我区预算绩效管理工作的总体要求，2019年我部整体支出682.77万元，全部实行整体支出绩效目标管理。 </w:t>
      </w:r>
    </w:p>
    <w:p>
      <w:pPr>
        <w:spacing w:line="600" w:lineRule="exact"/>
        <w:ind w:firstLine="640" w:firstLineChars="200"/>
        <w:rPr>
          <w:rFonts w:eastAsia="黑体"/>
          <w:sz w:val="32"/>
          <w:szCs w:val="32"/>
        </w:rPr>
      </w:pPr>
      <w:r>
        <w:rPr>
          <w:rFonts w:eastAsia="黑体"/>
          <w:sz w:val="32"/>
          <w:szCs w:val="32"/>
        </w:rPr>
        <w:t>三、预算支出主要绩效及评价结论</w:t>
      </w:r>
    </w:p>
    <w:p>
      <w:pPr>
        <w:spacing w:line="600" w:lineRule="exact"/>
        <w:ind w:firstLine="640" w:firstLineChars="200"/>
        <w:rPr>
          <w:rFonts w:ascii="仿宋_GB2312" w:hAnsi="仿宋_GB2312" w:eastAsia="仿宋_GB2312"/>
          <w:kern w:val="0"/>
          <w:sz w:val="32"/>
        </w:rPr>
      </w:pPr>
      <w:r>
        <w:rPr>
          <w:rFonts w:hint="eastAsia" w:ascii="仿宋_GB2312" w:hAnsi="仿宋_GB2312" w:eastAsia="仿宋_GB2312" w:cs="仿宋_GB2312"/>
          <w:sz w:val="32"/>
          <w:szCs w:val="32"/>
        </w:rPr>
        <w:t>一是2019年我部全面推进党支部五化建设，全区549个基层党支部，38个评为先锋支部，</w:t>
      </w:r>
      <w:r>
        <w:rPr>
          <w:rFonts w:hint="eastAsia" w:ascii="仿宋_GB2312" w:hAnsi="仿宋_GB2312" w:eastAsia="仿宋_GB2312" w:cs="仿宋_GB2312"/>
          <w:sz w:val="32"/>
          <w:szCs w:val="32"/>
          <w:lang w:val="en-US" w:eastAsia="zh-CN"/>
        </w:rPr>
        <w:t>544</w:t>
      </w:r>
      <w:r>
        <w:rPr>
          <w:rFonts w:hint="eastAsia" w:ascii="仿宋_GB2312" w:hAnsi="仿宋_GB2312" w:eastAsia="仿宋_GB2312" w:cs="仿宋_GB2312"/>
          <w:sz w:val="32"/>
          <w:szCs w:val="32"/>
        </w:rPr>
        <w:t>个评为合格支部，创建率达到99.1%。实施阵地达标“清零”行动，13个阵地未达标社区通过新建、改扩建、利用国有闲置资产和开发商无偿提供等方式全部达标“清零”，省级述前考核给予高度肯定。二是</w:t>
      </w:r>
      <w:r>
        <w:rPr>
          <w:rFonts w:hint="eastAsia" w:ascii="仿宋_GB2312" w:hAnsi="仿宋_GB2312" w:eastAsia="仿宋_GB2312"/>
          <w:kern w:val="0"/>
          <w:sz w:val="32"/>
          <w:shd w:val="clear" w:color="auto" w:fill="FFFFFF"/>
        </w:rPr>
        <w:t>鹤城辖区内</w:t>
      </w:r>
      <w:r>
        <w:rPr>
          <w:rFonts w:hint="eastAsia" w:ascii="仿宋_GB2312" w:hAnsi="仿宋_GB2312" w:eastAsia="仿宋_GB2312"/>
          <w:sz w:val="32"/>
        </w:rPr>
        <w:t>共有</w:t>
      </w:r>
      <w:r>
        <w:rPr>
          <w:rFonts w:hint="eastAsia" w:ascii="仿宋_GB2312" w:hAnsi="仿宋_GB2312" w:eastAsia="仿宋_GB2312"/>
          <w:kern w:val="0"/>
          <w:sz w:val="32"/>
          <w:shd w:val="clear" w:color="auto" w:fill="FFFFFF"/>
        </w:rPr>
        <w:t>非公有制经济组织和社会组织（以下简称两新组织）277个，</w:t>
      </w:r>
      <w:r>
        <w:rPr>
          <w:rFonts w:hint="eastAsia" w:ascii="仿宋_GB2312" w:hAnsi="仿宋_GB2312" w:eastAsia="仿宋_GB2312"/>
          <w:sz w:val="32"/>
        </w:rPr>
        <w:t>党员709名。目前，我区已建两新党组织92个（党委1个，党总支2个）。2019年</w:t>
      </w:r>
      <w:r>
        <w:rPr>
          <w:rFonts w:hint="eastAsia" w:ascii="仿宋_GB2312" w:hAnsi="仿宋_GB2312" w:eastAsia="仿宋_GB2312" w:cs="仿宋_GB2312"/>
          <w:sz w:val="32"/>
          <w:szCs w:val="32"/>
        </w:rPr>
        <w:t>夯实基层基础，工作保障机制得到进一步强化。</w:t>
      </w:r>
      <w:r>
        <w:rPr>
          <w:rFonts w:hint="eastAsia" w:ascii="仿宋_GB2312" w:hAnsi="楷体_GB2312" w:eastAsia="仿宋_GB2312" w:cs="楷体_GB2312"/>
          <w:bCs/>
          <w:sz w:val="32"/>
          <w:szCs w:val="32"/>
        </w:rPr>
        <w:t>以各综合（行业）党委为单位，</w:t>
      </w:r>
      <w:r>
        <w:rPr>
          <w:rFonts w:hint="eastAsia" w:ascii="仿宋_GB2312" w:hAnsi="仿宋_GB2312" w:eastAsia="仿宋_GB2312"/>
          <w:kern w:val="0"/>
          <w:sz w:val="32"/>
        </w:rPr>
        <w:t>对选派的党建指导员进行了扎实的业务培训，强化了党建指导员责任意识，并不定期抽查各党建指导员到点指导情况，严格考核管理。取得了较好的社会效应，服务对象满意度较高。</w:t>
      </w:r>
    </w:p>
    <w:p>
      <w:pPr>
        <w:spacing w:line="600" w:lineRule="exact"/>
        <w:ind w:firstLine="640" w:firstLineChars="200"/>
        <w:rPr>
          <w:rFonts w:eastAsia="仿宋_GB2312"/>
          <w:sz w:val="32"/>
          <w:szCs w:val="32"/>
        </w:rPr>
      </w:pPr>
      <w:r>
        <w:rPr>
          <w:rFonts w:hint="eastAsia" w:ascii="仿宋_GB2312" w:hAnsi="仿宋_GB2312" w:eastAsia="仿宋_GB2312"/>
          <w:kern w:val="0"/>
          <w:sz w:val="32"/>
        </w:rPr>
        <w:t>2019年我部的预算支出绩效评价自查自评结果94分为优秀，拟通过区财政局官网向社会公开，接受社会监督。</w:t>
      </w:r>
    </w:p>
    <w:p>
      <w:pPr>
        <w:spacing w:line="600" w:lineRule="exact"/>
        <w:ind w:firstLine="640" w:firstLineChars="200"/>
        <w:rPr>
          <w:rFonts w:eastAsia="黑体"/>
          <w:sz w:val="32"/>
          <w:szCs w:val="32"/>
        </w:rPr>
      </w:pPr>
      <w:r>
        <w:rPr>
          <w:rFonts w:eastAsia="黑体"/>
          <w:sz w:val="32"/>
          <w:szCs w:val="32"/>
        </w:rPr>
        <w:t>四、绩效评价指标分析</w:t>
      </w:r>
    </w:p>
    <w:p>
      <w:pPr>
        <w:spacing w:line="600" w:lineRule="exact"/>
        <w:ind w:firstLine="643" w:firstLineChars="200"/>
        <w:rPr>
          <w:rFonts w:eastAsia="楷体_GB2312"/>
          <w:b/>
          <w:sz w:val="32"/>
          <w:szCs w:val="32"/>
        </w:rPr>
      </w:pPr>
      <w:r>
        <w:rPr>
          <w:rFonts w:eastAsia="楷体_GB2312"/>
          <w:b/>
          <w:sz w:val="32"/>
          <w:szCs w:val="32"/>
        </w:rPr>
        <w:t>（一）预算支出决策情况</w:t>
      </w:r>
    </w:p>
    <w:p>
      <w:pPr>
        <w:spacing w:line="600" w:lineRule="exact"/>
        <w:ind w:firstLine="640" w:firstLineChars="200"/>
        <w:rPr>
          <w:rFonts w:eastAsia="楷体_GB2312"/>
          <w:b/>
          <w:sz w:val="32"/>
          <w:szCs w:val="32"/>
        </w:rPr>
      </w:pPr>
      <w:r>
        <w:rPr>
          <w:rFonts w:hint="eastAsia" w:ascii="仿宋_GB2312" w:hAnsi="仿宋_GB2312" w:eastAsia="仿宋_GB2312" w:cs="仿宋_GB2312"/>
          <w:sz w:val="32"/>
          <w:szCs w:val="32"/>
        </w:rPr>
        <w:t>深入贯彻落实中央、省、市组织部长和市、区党务工作会议精神为目标，统筹抓好领导班子和干部队伍建设、干部监督教育管理、基层组织建设和党员队伍建设及自身建设，推动组织工作围绕中心、服务大局，突出重点、整体推进，为实现鹤城又好又快发展提供了坚强有力的组织保障。</w:t>
      </w:r>
    </w:p>
    <w:p>
      <w:pPr>
        <w:spacing w:line="600" w:lineRule="exact"/>
        <w:ind w:firstLine="643" w:firstLineChars="200"/>
        <w:rPr>
          <w:rFonts w:eastAsia="楷体_GB2312"/>
          <w:b/>
          <w:sz w:val="32"/>
          <w:szCs w:val="32"/>
        </w:rPr>
      </w:pPr>
      <w:r>
        <w:rPr>
          <w:rFonts w:eastAsia="楷体_GB2312"/>
          <w:b/>
          <w:sz w:val="32"/>
          <w:szCs w:val="32"/>
        </w:rPr>
        <w:t>（二）预算执行过程情况</w:t>
      </w:r>
    </w:p>
    <w:p>
      <w:pPr>
        <w:spacing w:line="600" w:lineRule="exact"/>
        <w:ind w:firstLine="640" w:firstLineChars="200"/>
        <w:rPr>
          <w:rFonts w:eastAsia="楷体_GB2312"/>
          <w:b/>
          <w:sz w:val="32"/>
          <w:szCs w:val="32"/>
        </w:rPr>
      </w:pPr>
      <w:r>
        <w:rPr>
          <w:rFonts w:hint="eastAsia" w:ascii="仿宋" w:hAnsi="仿宋" w:eastAsia="仿宋" w:cs="仿宋"/>
          <w:sz w:val="32"/>
          <w:szCs w:val="32"/>
        </w:rPr>
        <w:t xml:space="preserve">2019年我部整体支出682.77万元，全部实行整体支出绩效目标管理。 </w:t>
      </w:r>
    </w:p>
    <w:p>
      <w:pPr>
        <w:numPr>
          <w:ilvl w:val="0"/>
          <w:numId w:val="5"/>
        </w:numPr>
        <w:spacing w:line="600" w:lineRule="exact"/>
        <w:ind w:firstLine="643" w:firstLineChars="200"/>
        <w:rPr>
          <w:rFonts w:eastAsia="楷体_GB2312"/>
          <w:b/>
          <w:sz w:val="32"/>
          <w:szCs w:val="32"/>
        </w:rPr>
      </w:pPr>
      <w:r>
        <w:rPr>
          <w:rFonts w:eastAsia="楷体_GB2312"/>
          <w:b/>
          <w:sz w:val="32"/>
          <w:szCs w:val="32"/>
        </w:rPr>
        <w:t>预算支出产出情况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数量指标：指导全区</w:t>
      </w:r>
      <w:r>
        <w:rPr>
          <w:rFonts w:hint="eastAsia" w:ascii="仿宋" w:hAnsi="仿宋" w:eastAsia="仿宋" w:cs="仿宋"/>
          <w:sz w:val="32"/>
          <w:szCs w:val="32"/>
          <w:lang w:val="en-US" w:eastAsia="zh-CN"/>
        </w:rPr>
        <w:t>10</w:t>
      </w:r>
      <w:r>
        <w:rPr>
          <w:rFonts w:hint="eastAsia" w:ascii="仿宋" w:hAnsi="仿宋" w:eastAsia="仿宋" w:cs="仿宋"/>
          <w:sz w:val="32"/>
          <w:szCs w:val="32"/>
        </w:rPr>
        <w:t>个乡镇街道、12</w:t>
      </w:r>
      <w:r>
        <w:rPr>
          <w:rFonts w:hint="eastAsia" w:ascii="仿宋" w:hAnsi="仿宋" w:eastAsia="仿宋" w:cs="仿宋"/>
          <w:sz w:val="32"/>
          <w:szCs w:val="32"/>
          <w:lang w:val="en-US" w:eastAsia="zh-CN"/>
        </w:rPr>
        <w:t>8</w:t>
      </w:r>
      <w:r>
        <w:rPr>
          <w:rFonts w:hint="eastAsia" w:ascii="仿宋" w:hAnsi="仿宋" w:eastAsia="仿宋" w:cs="仿宋"/>
          <w:sz w:val="32"/>
          <w:szCs w:val="32"/>
        </w:rPr>
        <w:t>个村社区、92个两新组织、549个党支部的党建工作；</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质量指标：党建工作合格率100%；</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成本指标：党建工作站2万/乡镇街道；党建E+流量每名网格、站长600元/人/年；两新组织党建指导员、党支部书记300元/月/人；两新组织党建经费5000元/年。</w:t>
      </w:r>
    </w:p>
    <w:p>
      <w:pPr>
        <w:spacing w:line="600" w:lineRule="exact"/>
        <w:ind w:firstLine="643" w:firstLineChars="200"/>
        <w:rPr>
          <w:rFonts w:eastAsia="楷体_GB2312"/>
          <w:b/>
          <w:sz w:val="32"/>
          <w:szCs w:val="32"/>
        </w:rPr>
      </w:pPr>
      <w:r>
        <w:rPr>
          <w:rFonts w:eastAsia="楷体_GB2312"/>
          <w:b/>
          <w:sz w:val="32"/>
          <w:szCs w:val="32"/>
        </w:rPr>
        <w:t>（四）预算支出效益情况</w:t>
      </w:r>
    </w:p>
    <w:p>
      <w:pPr>
        <w:spacing w:line="600" w:lineRule="exact"/>
        <w:ind w:firstLine="640" w:firstLineChars="200"/>
        <w:rPr>
          <w:rFonts w:ascii="仿宋" w:hAnsi="仿宋" w:eastAsia="仿宋" w:cs="仿宋"/>
          <w:sz w:val="32"/>
          <w:szCs w:val="32"/>
        </w:rPr>
      </w:pPr>
      <w:r>
        <w:rPr>
          <w:rFonts w:hint="eastAsia" w:ascii="仿宋" w:hAnsi="仿宋" w:eastAsia="仿宋" w:cs="仿宋"/>
          <w:sz w:val="32"/>
          <w:szCs w:val="32"/>
        </w:rPr>
        <w:t>社会效益指标：基层党建工作水平不断提升。</w:t>
      </w:r>
    </w:p>
    <w:p>
      <w:pPr>
        <w:spacing w:line="600" w:lineRule="exact"/>
        <w:ind w:firstLine="640" w:firstLineChars="200"/>
        <w:rPr>
          <w:rFonts w:eastAsia="黑体"/>
          <w:sz w:val="32"/>
          <w:szCs w:val="32"/>
        </w:rPr>
      </w:pPr>
      <w:r>
        <w:rPr>
          <w:rFonts w:eastAsia="黑体"/>
          <w:sz w:val="32"/>
          <w:szCs w:val="32"/>
        </w:rPr>
        <w:t>五、主要经验及做法、存在的问题及原因分析</w:t>
      </w:r>
    </w:p>
    <w:p>
      <w:pPr>
        <w:spacing w:line="600" w:lineRule="exact"/>
        <w:ind w:firstLine="643" w:firstLineChars="200"/>
        <w:rPr>
          <w:rFonts w:eastAsia="楷体_GB2312"/>
          <w:b/>
          <w:sz w:val="32"/>
          <w:szCs w:val="32"/>
        </w:rPr>
      </w:pPr>
      <w:r>
        <w:rPr>
          <w:rFonts w:hint="eastAsia" w:eastAsia="楷体_GB2312"/>
          <w:b/>
          <w:sz w:val="32"/>
          <w:szCs w:val="32"/>
        </w:rPr>
        <w:t>（一）主要经验及做法</w:t>
      </w:r>
    </w:p>
    <w:p>
      <w:pPr>
        <w:spacing w:line="700" w:lineRule="exact"/>
        <w:ind w:left="420" w:leftChars="200"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严格遵循把财政资金使用好、管理好的宗旨，基本做到了专款专用，严格资金审批程序，确保了项目质量，及财政资金的安全。</w:t>
      </w:r>
    </w:p>
    <w:p>
      <w:pPr>
        <w:spacing w:line="600" w:lineRule="exact"/>
        <w:ind w:firstLine="643" w:firstLineChars="200"/>
        <w:rPr>
          <w:rFonts w:eastAsia="楷体_GB2312"/>
          <w:b/>
          <w:sz w:val="32"/>
          <w:szCs w:val="32"/>
        </w:rPr>
      </w:pPr>
      <w:r>
        <w:rPr>
          <w:rFonts w:hint="eastAsia" w:eastAsia="楷体_GB2312"/>
          <w:b/>
          <w:sz w:val="32"/>
          <w:szCs w:val="32"/>
        </w:rPr>
        <w:t>（二）存在的问题和建议</w:t>
      </w:r>
    </w:p>
    <w:p>
      <w:pPr>
        <w:spacing w:line="600" w:lineRule="exact"/>
        <w:ind w:firstLine="626" w:firstLineChars="200"/>
        <w:rPr>
          <w:rFonts w:eastAsia="仿宋_GB2312"/>
          <w:w w:val="98"/>
          <w:sz w:val="32"/>
          <w:szCs w:val="32"/>
        </w:rPr>
      </w:pPr>
      <w:r>
        <w:rPr>
          <w:rFonts w:hint="eastAsia" w:eastAsia="仿宋_GB2312"/>
          <w:w w:val="98"/>
          <w:sz w:val="32"/>
          <w:szCs w:val="32"/>
        </w:rPr>
        <w:t>无</w:t>
      </w:r>
    </w:p>
    <w:p>
      <w:pPr>
        <w:spacing w:line="600" w:lineRule="exact"/>
        <w:ind w:firstLine="640" w:firstLineChars="200"/>
        <w:rPr>
          <w:rFonts w:eastAsia="黑体"/>
          <w:sz w:val="32"/>
          <w:szCs w:val="32"/>
        </w:rPr>
      </w:pPr>
      <w:r>
        <w:rPr>
          <w:rFonts w:eastAsia="黑体"/>
          <w:sz w:val="32"/>
          <w:szCs w:val="32"/>
        </w:rPr>
        <w:t>六、有关建议</w:t>
      </w:r>
    </w:p>
    <w:p>
      <w:pPr>
        <w:spacing w:line="600" w:lineRule="exact"/>
        <w:ind w:firstLine="640" w:firstLineChars="200"/>
        <w:rPr>
          <w:rFonts w:eastAsia="黑体"/>
          <w:sz w:val="32"/>
          <w:szCs w:val="32"/>
        </w:rPr>
      </w:pPr>
      <w:r>
        <w:rPr>
          <w:rFonts w:eastAsia="黑体"/>
          <w:sz w:val="32"/>
          <w:szCs w:val="32"/>
        </w:rPr>
        <w:t xml:space="preserve">七、其他需要说明的问 </w:t>
      </w:r>
    </w:p>
    <w:p>
      <w:pPr>
        <w:widowControl/>
        <w:spacing w:line="600" w:lineRule="exact"/>
        <w:ind w:firstLine="645"/>
        <w:jc w:val="left"/>
        <w:rPr>
          <w:rFonts w:eastAsia="仿宋_GB2312"/>
          <w:sz w:val="32"/>
          <w:szCs w:val="32"/>
        </w:rPr>
      </w:pPr>
      <w:r>
        <w:rPr>
          <w:rFonts w:eastAsia="仿宋_GB2312"/>
          <w:sz w:val="32"/>
          <w:szCs w:val="32"/>
        </w:rPr>
        <w:t>报告应包括以下附件：</w:t>
      </w:r>
    </w:p>
    <w:p>
      <w:pPr>
        <w:widowControl/>
        <w:spacing w:line="600" w:lineRule="exact"/>
        <w:ind w:firstLine="645"/>
        <w:jc w:val="left"/>
        <w:rPr>
          <w:rFonts w:eastAsia="仿宋_GB2312"/>
          <w:sz w:val="32"/>
          <w:szCs w:val="32"/>
        </w:rPr>
      </w:pPr>
      <w:r>
        <w:rPr>
          <w:rFonts w:eastAsia="仿宋_GB2312"/>
          <w:sz w:val="32"/>
          <w:szCs w:val="32"/>
        </w:rPr>
        <w:t>1、绩效评价基础数据汇总表</w:t>
      </w:r>
    </w:p>
    <w:p>
      <w:pPr>
        <w:widowControl/>
        <w:spacing w:line="600" w:lineRule="exact"/>
        <w:ind w:firstLine="645"/>
        <w:jc w:val="left"/>
      </w:pPr>
      <w:r>
        <w:rPr>
          <w:rFonts w:eastAsia="仿宋_GB2312"/>
          <w:sz w:val="32"/>
          <w:szCs w:val="32"/>
        </w:rPr>
        <w:t>2、绩效评价指标评分表</w:t>
      </w:r>
      <w:r>
        <w:rPr>
          <w:rFonts w:eastAsia="仿宋_GB2312"/>
          <w:sz w:val="32"/>
          <w:szCs w:val="32"/>
        </w:rPr>
        <w:br w:type="page"/>
      </w: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方正小标宋_GBK">
    <w:altName w:val="Arial Unicode MS"/>
    <w:panose1 w:val="03000509000000000000"/>
    <w:charset w:val="86"/>
    <w:family w:val="script"/>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_GB2312">
    <w:altName w:val="楷体"/>
    <w:panose1 w:val="02010609030101010101"/>
    <w:charset w:val="86"/>
    <w:family w:val="modern"/>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r>
      <w:pict>
        <v:shape id="_x0000_s4097" o:spid="_x0000_s4097" o:spt="202" type="#_x0000_t202" style="position:absolute;left:0pt;margin-top:0pt;height:144pt;width:144pt;mso-position-horizontal:center;mso-position-horizontal-relative:margin;mso-wrap-style:none;z-index:251658240;mso-width-relative:page;mso-height-relative:page;" filled="f" stroked="f" coordsize="21600,21600">
          <v:path/>
          <v:fill on="f" focussize="0,0"/>
          <v:stroke on="f" joinstyle="miter"/>
          <v:imagedata o:title=""/>
          <o:lock v:ext="edit"/>
          <v:textbox inset="0mm,0mm,0mm,0mm" style="mso-fit-shape-to-text:t;">
            <w:txbxContent>
              <w:p>
                <w:pPr>
                  <w:pStyle w:val="2"/>
                  <w:rPr>
                    <w:rFonts w:eastAsia="宋体"/>
                  </w:rPr>
                </w:pPr>
                <w:r>
                  <w:rPr>
                    <w:rFonts w:hint="eastAsia"/>
                  </w:rPr>
                  <w:fldChar w:fldCharType="begin"/>
                </w:r>
                <w:r>
                  <w:rPr>
                    <w:rFonts w:hint="eastAsia"/>
                  </w:rPr>
                  <w:instrText xml:space="preserve"> PAGE  \* MERGEFORMAT </w:instrText>
                </w:r>
                <w:r>
                  <w:rPr>
                    <w:rFonts w:hint="eastAsia"/>
                  </w:rPr>
                  <w:fldChar w:fldCharType="separate"/>
                </w:r>
                <w:r>
                  <w:t>9</w:t>
                </w:r>
                <w:r>
                  <w:rPr>
                    <w:rFonts w:hint="eastAsia"/>
                  </w:rPr>
                  <w:fldChar w:fldCharType="end"/>
                </w:r>
              </w:p>
            </w:txbxContent>
          </v:textbox>
        </v:shape>
      </w:pic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3F930A0"/>
    <w:multiLevelType w:val="multilevel"/>
    <w:tmpl w:val="23F930A0"/>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1">
    <w:nsid w:val="3591E79D"/>
    <w:multiLevelType w:val="singleLevel"/>
    <w:tmpl w:val="3591E79D"/>
    <w:lvl w:ilvl="0" w:tentative="0">
      <w:start w:val="3"/>
      <w:numFmt w:val="chineseCounting"/>
      <w:suff w:val="nothing"/>
      <w:lvlText w:val="（%1）"/>
      <w:lvlJc w:val="left"/>
      <w:rPr>
        <w:rFonts w:hint="eastAsia"/>
      </w:rPr>
    </w:lvl>
  </w:abstractNum>
  <w:abstractNum w:abstractNumId="2">
    <w:nsid w:val="454D5428"/>
    <w:multiLevelType w:val="multilevel"/>
    <w:tmpl w:val="454D5428"/>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3">
    <w:nsid w:val="5B4A74CD"/>
    <w:multiLevelType w:val="multilevel"/>
    <w:tmpl w:val="5B4A74CD"/>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abstractNum w:abstractNumId="4">
    <w:nsid w:val="775728FA"/>
    <w:multiLevelType w:val="multilevel"/>
    <w:tmpl w:val="775728FA"/>
    <w:lvl w:ilvl="0" w:tentative="0">
      <w:start w:val="1"/>
      <w:numFmt w:val="decimalEnclosedCircle"/>
      <w:lvlText w:val="%1"/>
      <w:lvlJc w:val="left"/>
      <w:pPr>
        <w:ind w:left="465" w:hanging="360"/>
      </w:pPr>
      <w:rPr>
        <w:rFonts w:hint="default" w:hAnsi="宋体" w:cs="宋体"/>
      </w:rPr>
    </w:lvl>
    <w:lvl w:ilvl="1" w:tentative="0">
      <w:start w:val="1"/>
      <w:numFmt w:val="lowerLetter"/>
      <w:lvlText w:val="%2)"/>
      <w:lvlJc w:val="left"/>
      <w:pPr>
        <w:ind w:left="945" w:hanging="420"/>
      </w:pPr>
    </w:lvl>
    <w:lvl w:ilvl="2" w:tentative="0">
      <w:start w:val="1"/>
      <w:numFmt w:val="lowerRoman"/>
      <w:lvlText w:val="%3."/>
      <w:lvlJc w:val="right"/>
      <w:pPr>
        <w:ind w:left="1365" w:hanging="420"/>
      </w:pPr>
    </w:lvl>
    <w:lvl w:ilvl="3" w:tentative="0">
      <w:start w:val="1"/>
      <w:numFmt w:val="decimal"/>
      <w:lvlText w:val="%4."/>
      <w:lvlJc w:val="left"/>
      <w:pPr>
        <w:ind w:left="1785" w:hanging="420"/>
      </w:pPr>
    </w:lvl>
    <w:lvl w:ilvl="4" w:tentative="0">
      <w:start w:val="1"/>
      <w:numFmt w:val="lowerLetter"/>
      <w:lvlText w:val="%5)"/>
      <w:lvlJc w:val="left"/>
      <w:pPr>
        <w:ind w:left="2205" w:hanging="420"/>
      </w:pPr>
    </w:lvl>
    <w:lvl w:ilvl="5" w:tentative="0">
      <w:start w:val="1"/>
      <w:numFmt w:val="lowerRoman"/>
      <w:lvlText w:val="%6."/>
      <w:lvlJc w:val="right"/>
      <w:pPr>
        <w:ind w:left="2625" w:hanging="420"/>
      </w:pPr>
    </w:lvl>
    <w:lvl w:ilvl="6" w:tentative="0">
      <w:start w:val="1"/>
      <w:numFmt w:val="decimal"/>
      <w:lvlText w:val="%7."/>
      <w:lvlJc w:val="left"/>
      <w:pPr>
        <w:ind w:left="3045" w:hanging="420"/>
      </w:pPr>
    </w:lvl>
    <w:lvl w:ilvl="7" w:tentative="0">
      <w:start w:val="1"/>
      <w:numFmt w:val="lowerLetter"/>
      <w:lvlText w:val="%8)"/>
      <w:lvlJc w:val="left"/>
      <w:pPr>
        <w:ind w:left="3465" w:hanging="420"/>
      </w:pPr>
    </w:lvl>
    <w:lvl w:ilvl="8" w:tentative="0">
      <w:start w:val="1"/>
      <w:numFmt w:val="lowerRoman"/>
      <w:lvlText w:val="%9."/>
      <w:lvlJc w:val="right"/>
      <w:pPr>
        <w:ind w:left="3885" w:hanging="420"/>
      </w:pPr>
    </w:lvl>
  </w:abstractNum>
  <w:num w:numId="1">
    <w:abstractNumId w:val="2"/>
  </w:num>
  <w:num w:numId="2">
    <w:abstractNumId w:val="0"/>
  </w:num>
  <w:num w:numId="3">
    <w:abstractNumId w:val="4"/>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hdrShapeDefaults>
    <o:shapelayout v:ext="edit">
      <o:idmap v:ext="edit" data="3,4"/>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rsids>
    <w:rsidRoot w:val="00A045A1"/>
    <w:rsid w:val="000000A5"/>
    <w:rsid w:val="00022046"/>
    <w:rsid w:val="000B0765"/>
    <w:rsid w:val="000B57BC"/>
    <w:rsid w:val="00162440"/>
    <w:rsid w:val="00174EEF"/>
    <w:rsid w:val="001A127E"/>
    <w:rsid w:val="002558F7"/>
    <w:rsid w:val="0031755D"/>
    <w:rsid w:val="003711D0"/>
    <w:rsid w:val="00377767"/>
    <w:rsid w:val="00377A33"/>
    <w:rsid w:val="003E5114"/>
    <w:rsid w:val="00426627"/>
    <w:rsid w:val="005833DD"/>
    <w:rsid w:val="00595424"/>
    <w:rsid w:val="00614437"/>
    <w:rsid w:val="00624B4A"/>
    <w:rsid w:val="006370F0"/>
    <w:rsid w:val="006811E5"/>
    <w:rsid w:val="007B54D9"/>
    <w:rsid w:val="008230F4"/>
    <w:rsid w:val="00887C00"/>
    <w:rsid w:val="008A4834"/>
    <w:rsid w:val="008D7141"/>
    <w:rsid w:val="00980DBB"/>
    <w:rsid w:val="009D4AE4"/>
    <w:rsid w:val="00A045A1"/>
    <w:rsid w:val="00A070E1"/>
    <w:rsid w:val="00A317C9"/>
    <w:rsid w:val="00A34413"/>
    <w:rsid w:val="00A75C37"/>
    <w:rsid w:val="00AA700A"/>
    <w:rsid w:val="00B364CE"/>
    <w:rsid w:val="00BB6107"/>
    <w:rsid w:val="00BD1C3A"/>
    <w:rsid w:val="00BF32CD"/>
    <w:rsid w:val="00C25716"/>
    <w:rsid w:val="00C3391C"/>
    <w:rsid w:val="00C344EC"/>
    <w:rsid w:val="00C72139"/>
    <w:rsid w:val="00CC4C2C"/>
    <w:rsid w:val="00CD20A2"/>
    <w:rsid w:val="00CD4828"/>
    <w:rsid w:val="00D10324"/>
    <w:rsid w:val="00E127F9"/>
    <w:rsid w:val="00E50869"/>
    <w:rsid w:val="00FC7FE9"/>
    <w:rsid w:val="0DA81D19"/>
    <w:rsid w:val="10D02991"/>
    <w:rsid w:val="14064565"/>
    <w:rsid w:val="195C34FC"/>
    <w:rsid w:val="1C536BC8"/>
    <w:rsid w:val="2B65591D"/>
    <w:rsid w:val="2B972B44"/>
    <w:rsid w:val="32790B8D"/>
    <w:rsid w:val="3BB37157"/>
    <w:rsid w:val="3E9F4E85"/>
    <w:rsid w:val="45B9091A"/>
    <w:rsid w:val="53C61654"/>
    <w:rsid w:val="54A130F7"/>
    <w:rsid w:val="583C77E3"/>
    <w:rsid w:val="58514883"/>
    <w:rsid w:val="5D2D6029"/>
    <w:rsid w:val="60E63EC5"/>
    <w:rsid w:val="663D1DDB"/>
    <w:rsid w:val="6E486E12"/>
    <w:rsid w:val="72E1607D"/>
    <w:rsid w:val="7B6D41B7"/>
    <w:rsid w:val="7DD94AA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7"/>
    <w:semiHidden/>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3">
    <w:name w:val="header"/>
    <w:basedOn w:val="1"/>
    <w:link w:val="6"/>
    <w:semiHidden/>
    <w:unhideWhenUsed/>
    <w:qFormat/>
    <w:uiPriority w:val="99"/>
    <w:pPr>
      <w:pBdr>
        <w:bottom w:val="single" w:color="auto" w:sz="6" w:space="1"/>
      </w:pBdr>
      <w:tabs>
        <w:tab w:val="center" w:pos="4153"/>
        <w:tab w:val="right" w:pos="8306"/>
      </w:tabs>
      <w:snapToGrid w:val="0"/>
      <w:jc w:val="center"/>
    </w:pPr>
    <w:rPr>
      <w:rFonts w:asciiTheme="minorHAnsi" w:hAnsiTheme="minorHAnsi" w:eastAsiaTheme="minorEastAsia" w:cstheme="minorBidi"/>
      <w:sz w:val="18"/>
      <w:szCs w:val="18"/>
    </w:rPr>
  </w:style>
  <w:style w:type="character" w:customStyle="1" w:styleId="6">
    <w:name w:val="页眉 Char"/>
    <w:basedOn w:val="5"/>
    <w:link w:val="3"/>
    <w:semiHidden/>
    <w:qFormat/>
    <w:uiPriority w:val="99"/>
    <w:rPr>
      <w:sz w:val="18"/>
      <w:szCs w:val="18"/>
    </w:rPr>
  </w:style>
  <w:style w:type="character" w:customStyle="1" w:styleId="7">
    <w:name w:val="页脚 Char"/>
    <w:basedOn w:val="5"/>
    <w:link w:val="2"/>
    <w:semiHidden/>
    <w:qFormat/>
    <w:uiPriority w:val="99"/>
    <w:rPr>
      <w:sz w:val="18"/>
      <w:szCs w:val="18"/>
    </w:rPr>
  </w:style>
  <w:style w:type="paragraph" w:styleId="8">
    <w:name w:val="List Paragraph"/>
    <w:basedOn w:val="1"/>
    <w:qFormat/>
    <w:uiPriority w:val="99"/>
    <w:pPr>
      <w:ind w:firstLine="420" w:firstLineChars="200"/>
    </w:pPr>
    <w:rPr>
      <w:rFonts w:ascii="Calibri" w:hAnsi="Calibri"/>
      <w:szCs w:val="22"/>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4097"/>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87A52A0-7CFB-406C-A053-BBAB53DDD23F}">
  <ds:schemaRefs/>
</ds:datastoreItem>
</file>

<file path=docProps/app.xml><?xml version="1.0" encoding="utf-8"?>
<Properties xmlns="http://schemas.openxmlformats.org/officeDocument/2006/extended-properties" xmlns:vt="http://schemas.openxmlformats.org/officeDocument/2006/docPropsVTypes">
  <Template>Normal</Template>
  <Company>china</Company>
  <Pages>20</Pages>
  <Words>1662</Words>
  <Characters>9477</Characters>
  <Lines>78</Lines>
  <Paragraphs>22</Paragraphs>
  <TotalTime>32</TotalTime>
  <ScaleCrop>false</ScaleCrop>
  <LinksUpToDate>false</LinksUpToDate>
  <CharactersWithSpaces>11117</CharactersWithSpaces>
  <Application>WPS Office_11.1.0.9912_F1E327BC-269C-435d-A152-05C5408002CA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2020-06-24T01:59:00Z</dcterms:created>
  <dc:creator>AutoBVT</dc:creator>
  <cp:lastModifiedBy>么么</cp:lastModifiedBy>
  <cp:lastPrinted>2020-09-18T02:11:00Z</cp:lastPrinted>
  <dcterms:modified xsi:type="dcterms:W3CDTF">2020-09-18T07:34:05Z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2052-11.1.0.9912</vt:lpwstr>
  </property>
</Properties>
</file>