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95</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eastAsia="zh-CN"/>
        </w:rPr>
        <w:t>鹤城区农贸市场服务中心</w:t>
      </w:r>
      <w:r>
        <w:rPr>
          <w:rFonts w:hint="eastAsia" w:ascii="仿宋" w:hAnsi="仿宋" w:eastAsia="仿宋"/>
          <w:lang w:val="en-US" w:eastAsia="zh-CN"/>
        </w:rPr>
        <w:t xml:space="preserve">                                           万元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7</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230.66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838.81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102.67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4.66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1.7</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1.7</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0.4</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ind w:firstLine="2160" w:firstLineChars="600"/>
        <w:jc w:val="both"/>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鹤城区农贸市场服务中心是</w:t>
      </w:r>
      <w:r>
        <w:rPr>
          <w:rFonts w:hint="eastAsia" w:ascii="仿宋" w:hAnsi="仿宋" w:eastAsia="仿宋" w:cs="仿宋"/>
          <w:bCs/>
          <w:kern w:val="0"/>
          <w:sz w:val="32"/>
          <w:szCs w:val="32"/>
        </w:rPr>
        <w:t>全额财政拨款事业单位</w:t>
      </w:r>
      <w:r>
        <w:rPr>
          <w:rFonts w:hint="eastAsia" w:ascii="仿宋" w:hAnsi="仿宋" w:eastAsia="仿宋" w:cs="仿宋"/>
          <w:sz w:val="32"/>
          <w:szCs w:val="32"/>
        </w:rPr>
        <w:t>，内设</w:t>
      </w:r>
      <w:r>
        <w:rPr>
          <w:rFonts w:hint="eastAsia" w:ascii="仿宋" w:hAnsi="仿宋" w:eastAsia="仿宋" w:cs="仿宋"/>
          <w:sz w:val="32"/>
          <w:szCs w:val="32"/>
          <w:lang w:val="en-US" w:eastAsia="zh-CN"/>
        </w:rPr>
        <w:t>4个职能</w:t>
      </w:r>
      <w:r>
        <w:rPr>
          <w:rFonts w:hint="eastAsia" w:ascii="仿宋" w:hAnsi="仿宋" w:eastAsia="仿宋" w:cs="仿宋"/>
          <w:sz w:val="32"/>
          <w:szCs w:val="32"/>
          <w:lang w:eastAsia="zh-CN"/>
        </w:rPr>
        <w:t>股</w:t>
      </w:r>
      <w:r>
        <w:rPr>
          <w:rFonts w:hint="eastAsia" w:ascii="仿宋" w:hAnsi="仿宋" w:eastAsia="仿宋" w:cs="仿宋"/>
          <w:sz w:val="32"/>
          <w:szCs w:val="32"/>
        </w:rPr>
        <w:t>室</w:t>
      </w:r>
      <w:r>
        <w:rPr>
          <w:rFonts w:hint="eastAsia" w:ascii="仿宋" w:hAnsi="仿宋" w:eastAsia="仿宋" w:cs="仿宋"/>
          <w:sz w:val="32"/>
          <w:szCs w:val="32"/>
          <w:lang w:eastAsia="zh-CN"/>
        </w:rPr>
        <w:t>，分别为：综合股、市场建设管理股、人事教育股、财务股。</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主要工作职责：</w:t>
      </w:r>
      <w:r>
        <w:rPr>
          <w:rFonts w:hint="eastAsia" w:ascii="仿宋" w:hAnsi="仿宋" w:eastAsia="仿宋" w:cs="仿宋"/>
          <w:sz w:val="32"/>
          <w:szCs w:val="32"/>
        </w:rPr>
        <w:t>负责拟定鹤城区农贸市场(除市管农贸市场)发展规划</w:t>
      </w:r>
      <w:r>
        <w:rPr>
          <w:rFonts w:hint="eastAsia" w:ascii="仿宋" w:hAnsi="仿宋" w:eastAsia="仿宋" w:cs="仿宋"/>
          <w:sz w:val="32"/>
          <w:szCs w:val="32"/>
          <w:lang w:eastAsia="zh-CN"/>
        </w:rPr>
        <w:t>。</w:t>
      </w:r>
      <w:r>
        <w:rPr>
          <w:rFonts w:hint="eastAsia" w:ascii="仿宋" w:hAnsi="仿宋" w:eastAsia="仿宋" w:cs="仿宋"/>
          <w:sz w:val="32"/>
          <w:szCs w:val="32"/>
        </w:rPr>
        <w:t>负责拟定健全规范鹤城区农贸市场体系和流通秩序的管理办法，提出引导民营资本向农贸市场体系建设的政策措施;出台农贸市场和生鲜超市建设标准。负责统筹协调鹤城区农贸市场行业管理，对农贸市场改造、建设方案提出意见，指导鹤城区政府投资外的农贸市场体系建设及经营管理工作。负责鹤城区政府投资农贸市场内的日常管理及市场内治安综合治理、消防安全、环境卫生等管理服务工作</w:t>
      </w:r>
      <w:r>
        <w:rPr>
          <w:rFonts w:hint="eastAsia" w:ascii="仿宋" w:hAnsi="仿宋" w:eastAsia="仿宋" w:cs="仿宋"/>
          <w:sz w:val="32"/>
          <w:szCs w:val="32"/>
          <w:lang w:eastAsia="zh-CN"/>
        </w:rPr>
        <w:t>。</w:t>
      </w:r>
      <w:r>
        <w:rPr>
          <w:rFonts w:hint="eastAsia" w:ascii="仿宋" w:hAnsi="仿宋" w:eastAsia="仿宋" w:cs="仿宋"/>
          <w:sz w:val="32"/>
          <w:szCs w:val="32"/>
        </w:rPr>
        <w:t>负责组织指导实施新建农贸市场项目和农贸市场提质改造项目，协调市场建设中的有关问题。承办区政府交办的其他事项。</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 w:hAnsi="仿宋" w:eastAsia="仿宋" w:cs="仿宋"/>
          <w:bCs/>
          <w:kern w:val="0"/>
          <w:sz w:val="32"/>
          <w:szCs w:val="32"/>
          <w:lang w:val="en-US" w:eastAsia="zh-CN"/>
        </w:rPr>
      </w:pPr>
      <w:r>
        <w:rPr>
          <w:rFonts w:hint="eastAsia" w:ascii="仿宋" w:hAnsi="仿宋" w:eastAsia="仿宋" w:cs="仿宋"/>
          <w:sz w:val="32"/>
          <w:szCs w:val="32"/>
          <w:lang w:val="en-US" w:eastAsia="zh-CN"/>
        </w:rPr>
        <w:t>3.编制人员情况：事</w:t>
      </w:r>
      <w:r>
        <w:rPr>
          <w:rFonts w:hint="eastAsia" w:ascii="仿宋" w:hAnsi="仿宋" w:eastAsia="仿宋" w:cs="仿宋"/>
          <w:bCs/>
          <w:kern w:val="0"/>
          <w:sz w:val="32"/>
          <w:szCs w:val="32"/>
        </w:rPr>
        <w:t>业编制人数15人，年末实有人数</w:t>
      </w:r>
      <w:r>
        <w:rPr>
          <w:rFonts w:hint="eastAsia" w:ascii="仿宋" w:hAnsi="仿宋" w:eastAsia="仿宋" w:cs="仿宋"/>
          <w:bCs/>
          <w:kern w:val="0"/>
          <w:sz w:val="32"/>
          <w:szCs w:val="32"/>
          <w:lang w:val="en-US" w:eastAsia="zh-CN"/>
        </w:rPr>
        <w:t>7</w:t>
      </w:r>
      <w:r>
        <w:rPr>
          <w:rFonts w:hint="eastAsia" w:ascii="仿宋" w:hAnsi="仿宋" w:eastAsia="仿宋" w:cs="仿宋"/>
          <w:bCs/>
          <w:kern w:val="0"/>
          <w:sz w:val="32"/>
          <w:szCs w:val="32"/>
        </w:rPr>
        <w:t>人，无退休人员</w:t>
      </w:r>
      <w:r>
        <w:rPr>
          <w:rFonts w:hint="eastAsia" w:ascii="仿宋" w:hAnsi="仿宋" w:eastAsia="仿宋" w:cs="仿宋"/>
          <w:bCs/>
          <w:kern w:val="0"/>
          <w:sz w:val="32"/>
          <w:szCs w:val="32"/>
          <w:lang w:val="en-US" w:eastAsia="zh-CN"/>
        </w:rPr>
        <w:t>。</w:t>
      </w:r>
    </w:p>
    <w:p>
      <w:pPr>
        <w:pStyle w:val="8"/>
        <w:widowControl/>
        <w:numPr>
          <w:ilvl w:val="0"/>
          <w:numId w:val="0"/>
        </w:numPr>
        <w:spacing w:line="600" w:lineRule="exact"/>
        <w:ind w:left="640" w:leftChars="0"/>
        <w:rPr>
          <w:rFonts w:ascii="Times New Roman" w:hAnsi="Times New Roman" w:eastAsia="黑体"/>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ind w:firstLine="640" w:firstLineChars="200"/>
        <w:rPr>
          <w:rFonts w:asciiTheme="minorEastAsia" w:hAnsiTheme="minorEastAsia" w:eastAsiaTheme="minorEastAsia"/>
          <w:sz w:val="28"/>
          <w:szCs w:val="28"/>
        </w:rPr>
      </w:pPr>
      <w:r>
        <w:rPr>
          <w:rFonts w:hint="eastAsia" w:ascii="仿宋" w:hAnsi="仿宋" w:eastAsia="仿宋" w:cs="仿宋"/>
          <w:sz w:val="32"/>
          <w:szCs w:val="32"/>
        </w:rPr>
        <w:t>2019年度财政拨款基本支出</w:t>
      </w:r>
      <w:r>
        <w:rPr>
          <w:rFonts w:hint="eastAsia" w:ascii="仿宋" w:hAnsi="仿宋" w:eastAsia="仿宋" w:cs="仿宋"/>
          <w:sz w:val="32"/>
          <w:szCs w:val="32"/>
          <w:lang w:val="en-US" w:eastAsia="zh-CN"/>
        </w:rPr>
        <w:t>253.93</w:t>
      </w:r>
      <w:r>
        <w:rPr>
          <w:rFonts w:hint="eastAsia" w:ascii="仿宋" w:hAnsi="仿宋" w:eastAsia="仿宋" w:cs="仿宋"/>
          <w:sz w:val="32"/>
          <w:szCs w:val="32"/>
        </w:rPr>
        <w:t>万元，其中：人员经费</w:t>
      </w:r>
      <w:r>
        <w:rPr>
          <w:rFonts w:hint="eastAsia" w:ascii="仿宋" w:hAnsi="仿宋" w:eastAsia="仿宋" w:cs="仿宋"/>
          <w:sz w:val="32"/>
          <w:szCs w:val="32"/>
          <w:lang w:val="en-US" w:eastAsia="zh-CN"/>
        </w:rPr>
        <w:t>125.97</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49.61</w:t>
      </w:r>
      <w:r>
        <w:rPr>
          <w:rFonts w:hint="eastAsia" w:ascii="仿宋" w:hAnsi="仿宋" w:eastAsia="仿宋" w:cs="仿宋"/>
          <w:sz w:val="32"/>
          <w:szCs w:val="32"/>
        </w:rPr>
        <w:t>%,主要包括基本工资、奖金、</w:t>
      </w:r>
      <w:r>
        <w:rPr>
          <w:rFonts w:hint="eastAsia" w:ascii="仿宋" w:hAnsi="仿宋" w:eastAsia="仿宋" w:cs="仿宋"/>
          <w:sz w:val="32"/>
          <w:szCs w:val="32"/>
          <w:lang w:eastAsia="zh-CN"/>
        </w:rPr>
        <w:t>绩效工资、机关事业单位基本养老保险缴费、职工基本医疗保险费、其他社会保障缴费、住房公积金、其他工资福利支出</w:t>
      </w:r>
      <w:r>
        <w:rPr>
          <w:rFonts w:hint="eastAsia" w:ascii="仿宋" w:hAnsi="仿宋" w:eastAsia="仿宋" w:cs="仿宋"/>
          <w:sz w:val="32"/>
          <w:szCs w:val="32"/>
        </w:rPr>
        <w:t>；公用经费</w:t>
      </w:r>
      <w:r>
        <w:rPr>
          <w:rFonts w:hint="eastAsia" w:ascii="仿宋" w:hAnsi="仿宋" w:eastAsia="仿宋" w:cs="仿宋"/>
          <w:sz w:val="32"/>
          <w:szCs w:val="32"/>
          <w:lang w:val="en-US" w:eastAsia="zh-CN"/>
        </w:rPr>
        <w:t>127.96</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50.39</w:t>
      </w:r>
      <w:r>
        <w:rPr>
          <w:rFonts w:hint="eastAsia" w:ascii="仿宋" w:hAnsi="仿宋" w:eastAsia="仿宋" w:cs="仿宋"/>
          <w:sz w:val="32"/>
          <w:szCs w:val="32"/>
        </w:rPr>
        <w:t>%，主要包括办公费、</w:t>
      </w:r>
      <w:r>
        <w:rPr>
          <w:rFonts w:hint="eastAsia" w:ascii="仿宋" w:hAnsi="仿宋" w:eastAsia="仿宋" w:cs="仿宋"/>
          <w:sz w:val="32"/>
          <w:szCs w:val="32"/>
          <w:lang w:eastAsia="zh-CN"/>
        </w:rPr>
        <w:t>水费、电费、差旅费、维修费、工会经费、福利费、其他商品和服务支出。</w:t>
      </w:r>
    </w:p>
    <w:p>
      <w:pPr>
        <w:pStyle w:val="8"/>
        <w:widowControl/>
        <w:spacing w:line="600" w:lineRule="exact"/>
        <w:ind w:left="0" w:leftChars="0" w:firstLine="320" w:firstLineChars="1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ind w:left="0" w:leftChars="0"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eastAsia="zh-CN"/>
        </w:rPr>
        <w:t>项目支出为</w:t>
      </w:r>
      <w:r>
        <w:rPr>
          <w:rFonts w:hint="eastAsia" w:ascii="仿宋" w:hAnsi="仿宋" w:eastAsia="仿宋" w:cs="仿宋"/>
          <w:sz w:val="32"/>
          <w:szCs w:val="32"/>
          <w:lang w:val="en-US" w:eastAsia="zh-CN"/>
        </w:rPr>
        <w:t>0万元。</w:t>
      </w:r>
    </w:p>
    <w:p>
      <w:pPr>
        <w:pStyle w:val="8"/>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8"/>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eastAsia="zh-CN"/>
        </w:rPr>
        <w:t>政府性基金预算支出为</w:t>
      </w:r>
      <w:r>
        <w:rPr>
          <w:rFonts w:hint="eastAsia" w:ascii="仿宋" w:hAnsi="仿宋" w:eastAsia="仿宋" w:cs="仿宋"/>
          <w:sz w:val="32"/>
          <w:szCs w:val="32"/>
          <w:lang w:val="en-US" w:eastAsia="zh-CN"/>
        </w:rPr>
        <w:t>0万元。</w:t>
      </w:r>
    </w:p>
    <w:p>
      <w:pPr>
        <w:pStyle w:val="8"/>
        <w:widowControl/>
        <w:numPr>
          <w:ilvl w:val="0"/>
          <w:numId w:val="2"/>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eastAsia="zh-CN"/>
        </w:rPr>
        <w:t>国有资本经营预算支出为</w:t>
      </w:r>
      <w:r>
        <w:rPr>
          <w:rFonts w:hint="eastAsia" w:ascii="仿宋" w:hAnsi="仿宋" w:eastAsia="仿宋" w:cs="仿宋"/>
          <w:sz w:val="32"/>
          <w:szCs w:val="32"/>
          <w:lang w:val="en-US" w:eastAsia="zh-CN"/>
        </w:rPr>
        <w:t>0万元。</w:t>
      </w:r>
    </w:p>
    <w:p>
      <w:pPr>
        <w:pStyle w:val="8"/>
        <w:widowControl/>
        <w:numPr>
          <w:ilvl w:val="0"/>
          <w:numId w:val="2"/>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eastAsia="zh-CN"/>
        </w:rPr>
        <w:t>社会保险基金预算支出为</w:t>
      </w:r>
      <w:r>
        <w:rPr>
          <w:rFonts w:hint="eastAsia" w:ascii="仿宋" w:hAnsi="仿宋" w:eastAsia="仿宋" w:cs="仿宋"/>
          <w:sz w:val="32"/>
          <w:szCs w:val="32"/>
          <w:lang w:val="en-US" w:eastAsia="zh-CN"/>
        </w:rPr>
        <w:t>0万元。</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numPr>
          <w:ilvl w:val="0"/>
          <w:numId w:val="0"/>
        </w:numPr>
        <w:tabs>
          <w:tab w:val="left" w:pos="-840"/>
        </w:tabs>
        <w:spacing w:line="600" w:lineRule="exact"/>
        <w:ind w:firstLine="640" w:firstLineChars="200"/>
        <w:rPr>
          <w:rFonts w:hint="eastAsia" w:ascii="仿宋" w:hAnsi="仿宋" w:eastAsia="仿宋" w:cs="仿宋"/>
          <w:bCs/>
          <w:kern w:val="0"/>
          <w:sz w:val="32"/>
          <w:szCs w:val="32"/>
          <w:lang w:val="en-US" w:eastAsia="zh-CN"/>
        </w:rPr>
      </w:pPr>
      <w:r>
        <w:rPr>
          <w:rFonts w:hint="eastAsia" w:ascii="仿宋" w:hAnsi="仿宋" w:eastAsia="仿宋" w:cs="仿宋"/>
          <w:sz w:val="32"/>
          <w:szCs w:val="32"/>
          <w:lang w:eastAsia="zh-CN"/>
        </w:rPr>
        <w:t>按照我区预算绩效管理工作的总体要求，</w:t>
      </w:r>
      <w:r>
        <w:rPr>
          <w:rFonts w:hint="eastAsia" w:ascii="仿宋" w:hAnsi="仿宋" w:eastAsia="仿宋" w:cs="仿宋"/>
          <w:sz w:val="32"/>
          <w:szCs w:val="32"/>
          <w:lang w:val="en-US" w:eastAsia="zh-CN"/>
        </w:rPr>
        <w:t>2019年我单位整体支出253.93万元，全部实行整体支出绩效目标管理。</w:t>
      </w:r>
      <w:r>
        <w:rPr>
          <w:rFonts w:hint="eastAsia" w:ascii="仿宋" w:hAnsi="仿宋" w:eastAsia="仿宋" w:cs="仿宋"/>
          <w:bCs/>
          <w:kern w:val="0"/>
          <w:sz w:val="32"/>
          <w:szCs w:val="32"/>
          <w:lang w:val="en-US" w:eastAsia="zh-CN"/>
        </w:rPr>
        <w:t>其中：人员经费支出125.97万元，日常公用经费支出127.96万元，项目支出为0元。</w:t>
      </w:r>
    </w:p>
    <w:p>
      <w:pPr>
        <w:widowControl/>
        <w:numPr>
          <w:ilvl w:val="0"/>
          <w:numId w:val="0"/>
        </w:numPr>
        <w:tabs>
          <w:tab w:val="left" w:pos="-840"/>
        </w:tabs>
        <w:spacing w:line="600" w:lineRule="exact"/>
        <w:ind w:firstLine="640" w:firstLineChars="200"/>
        <w:rPr>
          <w:rFonts w:hint="eastAsia" w:ascii="宋体" w:hAnsi="宋体" w:cs="宋体"/>
          <w:bCs/>
          <w:kern w:val="0"/>
          <w:sz w:val="28"/>
          <w:szCs w:val="28"/>
          <w:lang w:val="en-US" w:eastAsia="zh-CN"/>
        </w:rPr>
      </w:pPr>
      <w:r>
        <w:rPr>
          <w:rFonts w:hint="eastAsia" w:ascii="仿宋" w:hAnsi="仿宋" w:eastAsia="仿宋" w:cs="仿宋"/>
          <w:bCs/>
          <w:kern w:val="0"/>
          <w:sz w:val="32"/>
          <w:szCs w:val="32"/>
          <w:lang w:val="en-US" w:eastAsia="zh-CN"/>
        </w:rPr>
        <w:t>为进一步优化鹤城区农贸市场经营环境，打造“整洁有序、放心便民、环境舒适、文明经营”的农超市场，按照区委、区政府关于创建国家卫生城市工作的总体部署，以《国家卫生城市标准》等文件为依据，在全区范围内开展农超市场创建国家卫生城市创建活动，旨在通过三年的创建工作，规范农超市场经营管理，促进长效机制建立，全面提升鹤城农超市场建设和管理水平，为广大市民创造一个良好的购物环境。通过一系列努力，农贸市场管理规范、环境舒适，干净整洁。</w:t>
      </w:r>
    </w:p>
    <w:p>
      <w:pPr>
        <w:pStyle w:val="8"/>
        <w:widowControl/>
        <w:spacing w:line="600" w:lineRule="exact"/>
        <w:ind w:left="0" w:leftChars="0" w:firstLine="640" w:firstLineChars="20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2019年部门预算与决算数据存在差异，主要原因是原计划预算农超市场购建1600万元，农超市场装修400万元，因其他重点项目任务紧迫，财政资金紧缺，现将此两笔项目预算暂缓实施，故项目决算支出减少2000万元。</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360" w:lineRule="auto"/>
        <w:ind w:left="0" w:leftChars="0" w:firstLine="419" w:firstLineChars="131"/>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1.提高认识，强化绩效管理理念</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 w:hAnsi="仿宋" w:eastAsia="仿宋" w:cs="仿宋"/>
          <w:i w:val="0"/>
          <w:caps w:val="0"/>
          <w:color w:val="000000"/>
          <w:spacing w:val="0"/>
          <w:sz w:val="32"/>
          <w:szCs w:val="32"/>
          <w:shd w:val="clear" w:fill="FFFFFF"/>
          <w:lang w:val="en-US" w:eastAsia="zh-CN"/>
        </w:rPr>
      </w:pPr>
      <w:r>
        <w:rPr>
          <w:rFonts w:hint="eastAsia" w:ascii="仿宋" w:hAnsi="仿宋" w:eastAsia="仿宋" w:cs="仿宋"/>
          <w:i w:val="0"/>
          <w:caps w:val="0"/>
          <w:color w:val="000000"/>
          <w:spacing w:val="0"/>
          <w:sz w:val="32"/>
          <w:szCs w:val="32"/>
          <w:shd w:val="clear" w:fill="FFFFFF"/>
          <w:lang w:val="en-US" w:eastAsia="zh-CN"/>
        </w:rPr>
        <w:t>2.</w:t>
      </w:r>
      <w:r>
        <w:rPr>
          <w:rFonts w:hint="eastAsia" w:ascii="仿宋" w:hAnsi="仿宋" w:eastAsia="仿宋" w:cs="仿宋"/>
          <w:i w:val="0"/>
          <w:caps w:val="0"/>
          <w:color w:val="000000"/>
          <w:spacing w:val="0"/>
          <w:sz w:val="32"/>
          <w:szCs w:val="32"/>
          <w:shd w:val="clear" w:fill="FFFFFF"/>
        </w:rPr>
        <w:t>加强对财务监管力度，多组织财务业务培训学习</w:t>
      </w:r>
      <w:r>
        <w:rPr>
          <w:rFonts w:hint="eastAsia" w:ascii="仿宋" w:hAnsi="仿宋" w:eastAsia="仿宋" w:cs="仿宋"/>
          <w:i w:val="0"/>
          <w:caps w:val="0"/>
          <w:color w:val="000000"/>
          <w:spacing w:val="0"/>
          <w:sz w:val="32"/>
          <w:szCs w:val="32"/>
          <w:shd w:val="clear" w:fill="FFFFFF"/>
          <w:lang w:eastAsia="zh-CN"/>
        </w:rPr>
        <w:t>，强化重大项目经费的全过程审计。</w:t>
      </w:r>
      <w:r>
        <w:rPr>
          <w:rFonts w:hint="eastAsia" w:ascii="仿宋" w:hAnsi="仿宋" w:eastAsia="仿宋" w:cs="仿宋"/>
          <w:i w:val="0"/>
          <w:caps w:val="0"/>
          <w:color w:val="000000"/>
          <w:spacing w:val="0"/>
          <w:sz w:val="32"/>
          <w:szCs w:val="32"/>
          <w:shd w:val="clear" w:fill="FFFFFF"/>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 w:hAnsi="仿宋" w:eastAsia="仿宋" w:cs="仿宋"/>
          <w:i w:val="0"/>
          <w:caps w:val="0"/>
          <w:color w:val="000000"/>
          <w:spacing w:val="0"/>
          <w:sz w:val="32"/>
          <w:szCs w:val="32"/>
          <w:shd w:val="clear" w:fill="FFFFFF"/>
          <w:lang w:eastAsia="zh-CN"/>
        </w:rPr>
      </w:pPr>
      <w:r>
        <w:rPr>
          <w:rFonts w:hint="eastAsia" w:ascii="仿宋" w:hAnsi="仿宋" w:eastAsia="仿宋" w:cs="仿宋"/>
          <w:i w:val="0"/>
          <w:caps w:val="0"/>
          <w:color w:val="000000"/>
          <w:spacing w:val="0"/>
          <w:sz w:val="32"/>
          <w:szCs w:val="32"/>
          <w:shd w:val="clear" w:fill="FFFFFF"/>
          <w:lang w:val="en-US" w:eastAsia="zh-CN"/>
        </w:rPr>
        <w:t>3.</w:t>
      </w:r>
      <w:r>
        <w:rPr>
          <w:rFonts w:hint="eastAsia" w:ascii="仿宋" w:hAnsi="仿宋" w:eastAsia="仿宋" w:cs="仿宋"/>
          <w:sz w:val="32"/>
          <w:szCs w:val="32"/>
          <w:lang w:val="en-US" w:eastAsia="zh-CN"/>
        </w:rPr>
        <w:t>将</w:t>
      </w:r>
      <w:r>
        <w:rPr>
          <w:rFonts w:hint="eastAsia" w:ascii="仿宋" w:hAnsi="仿宋" w:eastAsia="仿宋" w:cs="仿宋"/>
          <w:i w:val="0"/>
          <w:caps w:val="0"/>
          <w:color w:val="000000"/>
          <w:spacing w:val="0"/>
          <w:sz w:val="32"/>
          <w:szCs w:val="32"/>
          <w:shd w:val="clear" w:fill="FFFFFF"/>
        </w:rPr>
        <w:t>财务制度落实到位，规范财经纪律</w:t>
      </w:r>
      <w:r>
        <w:rPr>
          <w:rFonts w:hint="eastAsia" w:ascii="仿宋" w:hAnsi="仿宋" w:eastAsia="仿宋" w:cs="仿宋"/>
          <w:i w:val="0"/>
          <w:caps w:val="0"/>
          <w:color w:val="000000"/>
          <w:spacing w:val="0"/>
          <w:sz w:val="32"/>
          <w:szCs w:val="32"/>
          <w:shd w:val="clear"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 w:hAnsi="仿宋" w:eastAsia="仿宋" w:cs="仿宋"/>
          <w:i w:val="0"/>
          <w:caps w:val="0"/>
          <w:color w:val="000000"/>
          <w:spacing w:val="0"/>
          <w:sz w:val="32"/>
          <w:szCs w:val="32"/>
          <w:shd w:val="clear" w:fill="FFFFFF"/>
        </w:rPr>
      </w:pPr>
      <w:r>
        <w:rPr>
          <w:rFonts w:hint="eastAsia" w:ascii="仿宋" w:hAnsi="仿宋" w:eastAsia="仿宋" w:cs="仿宋"/>
          <w:i w:val="0"/>
          <w:caps w:val="0"/>
          <w:color w:val="000000"/>
          <w:spacing w:val="0"/>
          <w:sz w:val="32"/>
          <w:szCs w:val="32"/>
          <w:shd w:val="clear" w:fill="FFFFFF"/>
          <w:lang w:val="en-US" w:eastAsia="zh-CN"/>
        </w:rPr>
        <w:t>4.</w:t>
      </w:r>
      <w:r>
        <w:rPr>
          <w:rFonts w:hint="eastAsia" w:ascii="仿宋" w:hAnsi="仿宋" w:eastAsia="仿宋" w:cs="仿宋"/>
          <w:i w:val="0"/>
          <w:caps w:val="0"/>
          <w:color w:val="000000"/>
          <w:spacing w:val="0"/>
          <w:sz w:val="32"/>
          <w:szCs w:val="32"/>
          <w:shd w:val="clear" w:fill="FFFFFF"/>
        </w:rPr>
        <w:t>进一步加强预算管理，严格控制各项经费开支，提高经费使用效率。</w:t>
      </w:r>
    </w:p>
    <w:p>
      <w:pPr>
        <w:widowControl/>
        <w:spacing w:line="600" w:lineRule="exact"/>
        <w:ind w:firstLine="640" w:firstLineChars="200"/>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hint="default" w:eastAsia="宋体"/>
          <w:sz w:val="32"/>
          <w:szCs w:val="32"/>
          <w:lang w:val="en-US" w:eastAsia="zh-CN"/>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eastAsia="zh-CN"/>
              </w:rPr>
              <w:t xml:space="preserve"> </w:t>
            </w:r>
            <w:r>
              <w:rPr>
                <w:rFonts w:hint="eastAsia" w:eastAsia="仿宋_GB2312"/>
                <w:color w:val="000000"/>
                <w:kern w:val="0"/>
                <w:szCs w:val="21"/>
                <w:lang w:val="en-US" w:eastAsia="zh-CN"/>
              </w:rPr>
              <w:t xml:space="preserve">                                                                                                                                                                                                                                                                                                                                                                                                                                                                                                                                                                                                                                                                                                                                                                                                                                   </w:t>
            </w: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widowControl/>
        <w:numPr>
          <w:ilvl w:val="0"/>
          <w:numId w:val="0"/>
        </w:numPr>
        <w:tabs>
          <w:tab w:val="left" w:pos="-840"/>
        </w:tabs>
        <w:spacing w:line="600" w:lineRule="exact"/>
        <w:ind w:firstLine="643" w:firstLineChars="200"/>
        <w:rPr>
          <w:rFonts w:eastAsia="楷体_GB2312"/>
          <w:b/>
          <w:sz w:val="32"/>
          <w:szCs w:val="32"/>
        </w:rPr>
      </w:pPr>
      <w:r>
        <w:rPr>
          <w:rFonts w:eastAsia="楷体_GB2312"/>
          <w:b/>
          <w:sz w:val="32"/>
          <w:szCs w:val="32"/>
        </w:rPr>
        <w:t>（一）预算支出概况。</w:t>
      </w:r>
    </w:p>
    <w:p>
      <w:pPr>
        <w:widowControl/>
        <w:numPr>
          <w:ilvl w:val="0"/>
          <w:numId w:val="0"/>
        </w:numPr>
        <w:tabs>
          <w:tab w:val="left" w:pos="-840"/>
        </w:tabs>
        <w:spacing w:line="600" w:lineRule="exact"/>
        <w:ind w:firstLine="640" w:firstLineChars="200"/>
        <w:rPr>
          <w:rFonts w:eastAsia="楷体_GB2312"/>
          <w:b/>
          <w:sz w:val="32"/>
          <w:szCs w:val="32"/>
        </w:rPr>
      </w:pPr>
      <w:r>
        <w:rPr>
          <w:rFonts w:hint="eastAsia" w:ascii="仿宋" w:hAnsi="仿宋" w:eastAsia="仿宋" w:cs="仿宋"/>
          <w:sz w:val="32"/>
          <w:szCs w:val="32"/>
          <w:lang w:val="en-US" w:eastAsia="zh-CN"/>
        </w:rPr>
        <w:t>2019年我单位整体支出253.93万元，全部实行整体支出绩效目标管理。</w:t>
      </w:r>
      <w:r>
        <w:rPr>
          <w:rFonts w:hint="eastAsia" w:ascii="仿宋" w:hAnsi="仿宋" w:eastAsia="仿宋" w:cs="仿宋"/>
          <w:bCs/>
          <w:kern w:val="0"/>
          <w:sz w:val="32"/>
          <w:szCs w:val="32"/>
          <w:lang w:val="en-US" w:eastAsia="zh-CN"/>
        </w:rPr>
        <w:t>其中：人员经费支出125.97万元，日常公用经费支出127.96万元，项目支出为0元。</w:t>
      </w:r>
    </w:p>
    <w:p>
      <w:pPr>
        <w:widowControl/>
        <w:spacing w:line="600" w:lineRule="exact"/>
        <w:ind w:firstLine="643" w:firstLineChars="200"/>
        <w:rPr>
          <w:rFonts w:eastAsia="楷体_GB2312"/>
          <w:b/>
          <w:sz w:val="32"/>
          <w:szCs w:val="32"/>
        </w:rPr>
      </w:pPr>
      <w:r>
        <w:rPr>
          <w:rFonts w:eastAsia="楷体_GB2312"/>
          <w:b/>
          <w:sz w:val="32"/>
          <w:szCs w:val="32"/>
        </w:rPr>
        <w:t>（二）预算资金使用管理情况。</w:t>
      </w:r>
    </w:p>
    <w:p>
      <w:pPr>
        <w:widowControl/>
        <w:spacing w:line="600" w:lineRule="exact"/>
        <w:ind w:firstLine="640" w:firstLineChars="200"/>
        <w:rPr>
          <w:rFonts w:hint="eastAsia" w:ascii="仿宋" w:hAnsi="仿宋" w:eastAsia="仿宋" w:cs="仿宋"/>
          <w:bCs/>
          <w:kern w:val="0"/>
          <w:sz w:val="32"/>
          <w:szCs w:val="32"/>
          <w:lang w:eastAsia="zh-CN"/>
        </w:rPr>
      </w:pPr>
      <w:r>
        <w:rPr>
          <w:rFonts w:hint="eastAsia" w:ascii="仿宋" w:hAnsi="仿宋" w:eastAsia="仿宋" w:cs="仿宋"/>
          <w:bCs/>
          <w:kern w:val="0"/>
          <w:sz w:val="32"/>
          <w:szCs w:val="32"/>
          <w:lang w:eastAsia="zh-CN"/>
        </w:rPr>
        <w:t>我单位结合实际，落实责任，完善制度，按照岗位确定任务、职责和权限，贯彻执行所指定的相关财务制度，按照资金的用途使用，支出总额控制在预算总额以内。加强制度执行的监督，加强资金支出管理，坚持“专项核算、专人管理、专款专用”的原则，使资金的财务管理有章可循。</w:t>
      </w:r>
    </w:p>
    <w:p>
      <w:pPr>
        <w:numPr>
          <w:ilvl w:val="0"/>
          <w:numId w:val="8"/>
        </w:numPr>
        <w:spacing w:line="600" w:lineRule="exact"/>
        <w:ind w:firstLine="643" w:firstLineChars="200"/>
        <w:rPr>
          <w:rFonts w:eastAsia="楷体_GB2312"/>
          <w:b/>
          <w:sz w:val="32"/>
          <w:szCs w:val="32"/>
        </w:rPr>
      </w:pPr>
      <w:r>
        <w:rPr>
          <w:rFonts w:eastAsia="楷体_GB2312"/>
          <w:b/>
          <w:sz w:val="32"/>
          <w:szCs w:val="32"/>
        </w:rPr>
        <w:t>预算支出绩效目标完成程度。</w:t>
      </w:r>
    </w:p>
    <w:p>
      <w:pPr>
        <w:numPr>
          <w:ilvl w:val="0"/>
          <w:numId w:val="0"/>
        </w:numPr>
        <w:spacing w:line="600" w:lineRule="exact"/>
        <w:rPr>
          <w:rFonts w:hint="default" w:eastAsia="楷体_GB2312"/>
          <w:b/>
          <w:sz w:val="32"/>
          <w:szCs w:val="32"/>
          <w:lang w:val="en-US" w:eastAsia="zh-CN"/>
        </w:rPr>
      </w:pPr>
      <w:r>
        <w:rPr>
          <w:rFonts w:hint="eastAsia" w:eastAsia="楷体_GB2312"/>
          <w:b/>
          <w:sz w:val="32"/>
          <w:szCs w:val="32"/>
          <w:lang w:val="en-US" w:eastAsia="zh-CN"/>
        </w:rPr>
        <w:t xml:space="preserve">     </w:t>
      </w:r>
      <w:r>
        <w:rPr>
          <w:rFonts w:hint="eastAsia" w:ascii="仿宋" w:hAnsi="仿宋" w:eastAsia="仿宋" w:cs="仿宋"/>
          <w:sz w:val="32"/>
          <w:szCs w:val="32"/>
          <w:lang w:eastAsia="zh-CN"/>
        </w:rPr>
        <w:t>按照我区预算绩效管理工作的总体要求，</w:t>
      </w:r>
      <w:r>
        <w:rPr>
          <w:rFonts w:hint="eastAsia" w:ascii="仿宋" w:hAnsi="仿宋" w:eastAsia="仿宋" w:cs="仿宋"/>
          <w:sz w:val="32"/>
          <w:szCs w:val="32"/>
          <w:lang w:val="en-US" w:eastAsia="zh-CN"/>
        </w:rPr>
        <w:t>2019年我单位整体支出253.93万元，全部实行整体支出绩效目标管理。</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绩效评价工作情况</w:t>
      </w:r>
    </w:p>
    <w:p>
      <w:pPr>
        <w:numPr>
          <w:ilvl w:val="0"/>
          <w:numId w:val="0"/>
        </w:numPr>
        <w:spacing w:line="600" w:lineRule="exact"/>
        <w:ind w:firstLine="643" w:firstLineChars="200"/>
        <w:rPr>
          <w:rFonts w:hint="eastAsia" w:ascii="仿宋" w:hAnsi="仿宋" w:eastAsia="仿宋" w:cs="仿宋"/>
          <w:b/>
          <w:bCs/>
          <w:sz w:val="32"/>
          <w:szCs w:val="32"/>
          <w:lang w:val="en-US" w:eastAsia="zh-CN"/>
        </w:rPr>
      </w:pPr>
      <w:r>
        <w:rPr>
          <w:rFonts w:hint="eastAsia" w:eastAsia="黑体"/>
          <w:b/>
          <w:bCs/>
          <w:sz w:val="32"/>
          <w:szCs w:val="32"/>
          <w:lang w:val="en-US" w:eastAsia="zh-CN"/>
        </w:rPr>
        <w:t xml:space="preserve">   </w:t>
      </w:r>
      <w:r>
        <w:rPr>
          <w:rFonts w:hint="eastAsia" w:ascii="仿宋" w:hAnsi="仿宋" w:eastAsia="仿宋" w:cs="仿宋"/>
          <w:b w:val="0"/>
          <w:bCs w:val="0"/>
          <w:sz w:val="32"/>
          <w:szCs w:val="32"/>
          <w:lang w:val="en-US" w:eastAsia="zh-CN"/>
        </w:rPr>
        <w:t>我单位在预算执行和支出绩效方面，都按照规定严格执行，合理安排支出，使财政资金发挥最大效益。</w:t>
      </w:r>
    </w:p>
    <w:p>
      <w:pPr>
        <w:numPr>
          <w:ilvl w:val="0"/>
          <w:numId w:val="0"/>
        </w:numPr>
        <w:spacing w:line="600" w:lineRule="exact"/>
        <w:ind w:left="640" w:leftChars="0"/>
        <w:rPr>
          <w:rFonts w:hint="default" w:eastAsia="黑体"/>
          <w:sz w:val="32"/>
          <w:szCs w:val="32"/>
          <w:lang w:val="en-US" w:eastAsia="zh-CN"/>
        </w:rPr>
      </w:pPr>
      <w:r>
        <w:rPr>
          <w:rFonts w:hint="eastAsia" w:eastAsia="黑体"/>
          <w:sz w:val="32"/>
          <w:szCs w:val="32"/>
          <w:lang w:val="en-US" w:eastAsia="zh-CN"/>
        </w:rPr>
        <w:t xml:space="preserve">  </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widowControl/>
        <w:numPr>
          <w:ilvl w:val="0"/>
          <w:numId w:val="0"/>
        </w:numPr>
        <w:tabs>
          <w:tab w:val="left" w:pos="-840"/>
        </w:tabs>
        <w:spacing w:line="600" w:lineRule="exact"/>
        <w:ind w:firstLine="640" w:firstLineChars="200"/>
        <w:rPr>
          <w:rFonts w:hint="default" w:ascii="宋体" w:hAnsi="宋体" w:cs="宋体"/>
          <w:bCs/>
          <w:kern w:val="0"/>
          <w:sz w:val="28"/>
          <w:szCs w:val="28"/>
          <w:lang w:val="en-US" w:eastAsia="zh-CN"/>
        </w:rPr>
      </w:pPr>
      <w:r>
        <w:rPr>
          <w:rFonts w:hint="eastAsia" w:ascii="仿宋" w:hAnsi="仿宋" w:eastAsia="仿宋" w:cs="仿宋"/>
          <w:bCs/>
          <w:kern w:val="0"/>
          <w:sz w:val="32"/>
          <w:szCs w:val="32"/>
          <w:lang w:val="en-US" w:eastAsia="zh-CN"/>
        </w:rPr>
        <w:t>按照区委、区政府关于创建国家卫生城市工作的总体部署，以《国家卫生城市标准》等文件为依据，在全区范围内开展农超市场创建国家卫生城市创建活动，旨在通过三年的创建工作，规范农超市场经营管理，促进长效机制建立，全面提升鹤城农超市场建设和管理水平，为广大市民创造一个良好的购物环境。通过一系列努力，农贸市场管理规范、环境舒适，干净整洁，评价较好。</w:t>
      </w:r>
      <w:bookmarkStart w:id="0" w:name="_GoBack"/>
      <w:bookmarkEnd w:id="0"/>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left="0" w:leftChars="0" w:firstLine="838" w:firstLineChars="262"/>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严格执行相关法律法规及项目管理制度、项目公示制。</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numPr>
          <w:ilvl w:val="0"/>
          <w:numId w:val="0"/>
        </w:numPr>
        <w:spacing w:line="600" w:lineRule="exact"/>
        <w:rPr>
          <w:rFonts w:hint="eastAsia" w:ascii="仿宋" w:hAnsi="仿宋" w:eastAsia="仿宋" w:cs="仿宋"/>
          <w:b w:val="0"/>
          <w:bCs/>
          <w:sz w:val="32"/>
          <w:szCs w:val="32"/>
          <w:lang w:val="en-US" w:eastAsia="zh-CN"/>
        </w:rPr>
      </w:pPr>
      <w:r>
        <w:rPr>
          <w:rFonts w:hint="eastAsia" w:eastAsia="楷体_GB2312"/>
          <w:b/>
          <w:sz w:val="32"/>
          <w:szCs w:val="32"/>
          <w:lang w:val="en-US" w:eastAsia="zh-CN"/>
        </w:rPr>
        <w:t xml:space="preserve">     </w:t>
      </w:r>
      <w:r>
        <w:rPr>
          <w:rFonts w:hint="eastAsia" w:ascii="仿宋" w:hAnsi="仿宋" w:eastAsia="仿宋" w:cs="仿宋"/>
          <w:b w:val="0"/>
          <w:bCs/>
          <w:sz w:val="32"/>
          <w:szCs w:val="32"/>
          <w:lang w:val="en-US" w:eastAsia="zh-CN"/>
        </w:rPr>
        <w:t>强化绩效理念，提高财政资金使用效益，在预算执行中严格接受财政部门的监督。</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numPr>
          <w:ilvl w:val="0"/>
          <w:numId w:val="0"/>
        </w:numPr>
        <w:spacing w:line="600" w:lineRule="exact"/>
        <w:ind w:leftChars="200"/>
        <w:rPr>
          <w:rFonts w:hint="default" w:eastAsia="楷体_GB2312"/>
          <w:b/>
          <w:sz w:val="32"/>
          <w:szCs w:val="32"/>
          <w:lang w:val="en-US" w:eastAsia="zh-CN"/>
        </w:rPr>
      </w:pPr>
      <w:r>
        <w:rPr>
          <w:rFonts w:hint="eastAsia" w:eastAsia="楷体_GB2312"/>
          <w:b/>
          <w:sz w:val="32"/>
          <w:szCs w:val="32"/>
          <w:lang w:val="en-US" w:eastAsia="zh-CN"/>
        </w:rPr>
        <w:t xml:space="preserve">  </w:t>
      </w:r>
      <w:r>
        <w:rPr>
          <w:rFonts w:hint="eastAsia" w:ascii="仿宋" w:hAnsi="仿宋" w:eastAsia="仿宋" w:cs="仿宋"/>
          <w:b w:val="0"/>
          <w:bCs/>
          <w:sz w:val="32"/>
          <w:szCs w:val="32"/>
          <w:lang w:val="en-US" w:eastAsia="zh-CN"/>
        </w:rPr>
        <w:t>全面贯彻党的教育方针，</w:t>
      </w:r>
      <w:r>
        <w:rPr>
          <w:rFonts w:hint="eastAsia" w:ascii="仿宋" w:hAnsi="仿宋" w:eastAsia="仿宋" w:cs="仿宋"/>
          <w:bCs/>
          <w:kern w:val="0"/>
          <w:sz w:val="32"/>
          <w:szCs w:val="32"/>
          <w:lang w:val="en-US" w:eastAsia="zh-CN"/>
        </w:rPr>
        <w:t>通过一系列努力，农贸市场管理规范、环境舒适，干净整洁。</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numPr>
          <w:ilvl w:val="0"/>
          <w:numId w:val="0"/>
        </w:numPr>
        <w:spacing w:line="600" w:lineRule="exact"/>
        <w:ind w:leftChars="200"/>
        <w:rPr>
          <w:rFonts w:hint="default" w:eastAsia="楷体_GB2312"/>
          <w:b/>
          <w:sz w:val="32"/>
          <w:szCs w:val="32"/>
          <w:lang w:val="en-US" w:eastAsia="zh-CN"/>
        </w:rPr>
      </w:pPr>
      <w:r>
        <w:rPr>
          <w:rFonts w:hint="eastAsia" w:eastAsia="楷体_GB2312"/>
          <w:b/>
          <w:sz w:val="32"/>
          <w:szCs w:val="32"/>
          <w:lang w:val="en-US" w:eastAsia="zh-CN"/>
        </w:rPr>
        <w:t xml:space="preserve">  </w:t>
      </w:r>
      <w:r>
        <w:rPr>
          <w:rFonts w:hint="eastAsia" w:ascii="仿宋" w:hAnsi="仿宋" w:eastAsia="仿宋" w:cs="仿宋"/>
          <w:bCs/>
          <w:kern w:val="0"/>
          <w:sz w:val="32"/>
          <w:szCs w:val="32"/>
          <w:lang w:val="en-US" w:eastAsia="zh-CN"/>
        </w:rPr>
        <w:t>全面提升鹤城农超市场建设和管理水平，为广大市民创造一个良好的购物环境。</w:t>
      </w:r>
    </w:p>
    <w:p>
      <w:pPr>
        <w:spacing w:line="600" w:lineRule="exact"/>
        <w:ind w:firstLine="640" w:firstLineChars="200"/>
        <w:rPr>
          <w:rFonts w:eastAsia="黑体"/>
          <w:sz w:val="32"/>
          <w:szCs w:val="32"/>
        </w:rPr>
      </w:pP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严格遵循把财政资金使用好、管理好的宗旨，做到专款专用，严格执行资金审批程序，确保财政资金安全。</w:t>
      </w:r>
    </w:p>
    <w:p>
      <w:pPr>
        <w:spacing w:line="60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存在的问题：对绩效评价工作的认识和重视程度有待加强。</w:t>
      </w:r>
    </w:p>
    <w:p>
      <w:pPr>
        <w:numPr>
          <w:ilvl w:val="0"/>
          <w:numId w:val="2"/>
        </w:numPr>
        <w:spacing w:line="600" w:lineRule="exact"/>
        <w:ind w:left="640" w:leftChars="0" w:firstLine="0" w:firstLineChars="0"/>
        <w:rPr>
          <w:rFonts w:eastAsia="黑体"/>
          <w:sz w:val="32"/>
          <w:szCs w:val="32"/>
        </w:rPr>
      </w:pPr>
      <w:r>
        <w:rPr>
          <w:rFonts w:eastAsia="黑体"/>
          <w:sz w:val="32"/>
          <w:szCs w:val="32"/>
        </w:rPr>
        <w:t>有关建议</w:t>
      </w:r>
    </w:p>
    <w:p>
      <w:pPr>
        <w:numPr>
          <w:ilvl w:val="0"/>
          <w:numId w:val="0"/>
        </w:numPr>
        <w:spacing w:line="600" w:lineRule="exact"/>
        <w:ind w:left="958" w:leftChars="304" w:hanging="320" w:hangingChars="1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建议组织财务人员和部门工作人员对预算绩效的工作</w:t>
      </w:r>
    </w:p>
    <w:p>
      <w:pPr>
        <w:numPr>
          <w:ilvl w:val="0"/>
          <w:numId w:val="0"/>
        </w:numPr>
        <w:spacing w:line="600" w:lineRule="exact"/>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培训，加强预算绩效的管理意识。</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B5F6AE"/>
    <w:multiLevelType w:val="singleLevel"/>
    <w:tmpl w:val="ABB5F6AE"/>
    <w:lvl w:ilvl="0" w:tentative="0">
      <w:start w:val="4"/>
      <w:numFmt w:val="chineseCounting"/>
      <w:suff w:val="nothing"/>
      <w:lvlText w:val="%1、"/>
      <w:lvlJc w:val="left"/>
      <w:rPr>
        <w:rFonts w:hint="eastAsia"/>
      </w:rPr>
    </w:lvl>
  </w:abstractNum>
  <w:abstractNum w:abstractNumId="1">
    <w:nsid w:val="EA43A0D7"/>
    <w:multiLevelType w:val="singleLevel"/>
    <w:tmpl w:val="EA43A0D7"/>
    <w:lvl w:ilvl="0" w:tentative="0">
      <w:start w:val="1"/>
      <w:numFmt w:val="chineseCounting"/>
      <w:suff w:val="nothing"/>
      <w:lvlText w:val="%1、"/>
      <w:lvlJc w:val="left"/>
      <w:rPr>
        <w:rFonts w:hint="eastAsia"/>
      </w:rPr>
    </w:lvl>
  </w:abstractNum>
  <w:abstractNum w:abstractNumId="2">
    <w:nsid w:val="0547C7B3"/>
    <w:multiLevelType w:val="singleLevel"/>
    <w:tmpl w:val="0547C7B3"/>
    <w:lvl w:ilvl="0" w:tentative="0">
      <w:start w:val="3"/>
      <w:numFmt w:val="chineseCounting"/>
      <w:suff w:val="nothing"/>
      <w:lvlText w:val="（%1）"/>
      <w:lvlJc w:val="left"/>
      <w:rPr>
        <w:rFonts w:hint="eastAsia"/>
      </w:rPr>
    </w:lvl>
  </w:abstractNum>
  <w:abstractNum w:abstractNumId="3">
    <w:nsid w:val="1CEFBAE1"/>
    <w:multiLevelType w:val="singleLevel"/>
    <w:tmpl w:val="1CEFBAE1"/>
    <w:lvl w:ilvl="0" w:tentative="0">
      <w:start w:val="8"/>
      <w:numFmt w:val="chineseCounting"/>
      <w:suff w:val="nothing"/>
      <w:lvlText w:val="%1、"/>
      <w:lvlJc w:val="left"/>
      <w:rPr>
        <w:rFonts w:hint="eastAsia"/>
      </w:rPr>
    </w:lvl>
  </w:abstractNum>
  <w:abstractNum w:abstractNumId="4">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49ADC464"/>
    <w:multiLevelType w:val="singleLevel"/>
    <w:tmpl w:val="49ADC464"/>
    <w:lvl w:ilvl="0" w:tentative="0">
      <w:start w:val="2"/>
      <w:numFmt w:val="chineseCounting"/>
      <w:suff w:val="nothing"/>
      <w:lvlText w:val="（%1）"/>
      <w:lvlJc w:val="left"/>
      <w:rPr>
        <w:rFonts w:hint="eastAsia"/>
      </w:rPr>
    </w:lvl>
  </w:abstractNum>
  <w:abstractNum w:abstractNumId="7">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5"/>
  </w:num>
  <w:num w:numId="5">
    <w:abstractNumId w:val="4"/>
  </w:num>
  <w:num w:numId="6">
    <w:abstractNumId w:val="8"/>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6F2528F"/>
    <w:rsid w:val="074C4D8F"/>
    <w:rsid w:val="07E1287D"/>
    <w:rsid w:val="08E45EAC"/>
    <w:rsid w:val="09F5262A"/>
    <w:rsid w:val="0BBC204F"/>
    <w:rsid w:val="0F236DA6"/>
    <w:rsid w:val="17342BA9"/>
    <w:rsid w:val="18B2064B"/>
    <w:rsid w:val="1B3D538D"/>
    <w:rsid w:val="1C4D2161"/>
    <w:rsid w:val="1F251B9F"/>
    <w:rsid w:val="250D7843"/>
    <w:rsid w:val="2940795E"/>
    <w:rsid w:val="2AFA2C86"/>
    <w:rsid w:val="310342EF"/>
    <w:rsid w:val="3335442B"/>
    <w:rsid w:val="33680E0C"/>
    <w:rsid w:val="37AC73FC"/>
    <w:rsid w:val="38945196"/>
    <w:rsid w:val="398B66BF"/>
    <w:rsid w:val="39C8783C"/>
    <w:rsid w:val="3A1D2919"/>
    <w:rsid w:val="3C1453CD"/>
    <w:rsid w:val="3DA26C08"/>
    <w:rsid w:val="4061326A"/>
    <w:rsid w:val="411D3D80"/>
    <w:rsid w:val="47C76C1B"/>
    <w:rsid w:val="4983577B"/>
    <w:rsid w:val="4AD756D8"/>
    <w:rsid w:val="4B7F4E27"/>
    <w:rsid w:val="4D2A0D2F"/>
    <w:rsid w:val="4E8A3CF4"/>
    <w:rsid w:val="4FA601F2"/>
    <w:rsid w:val="525166D1"/>
    <w:rsid w:val="550F12E0"/>
    <w:rsid w:val="58240BCB"/>
    <w:rsid w:val="5BCD3C1C"/>
    <w:rsid w:val="5CBA71D7"/>
    <w:rsid w:val="5D754517"/>
    <w:rsid w:val="5F513DB2"/>
    <w:rsid w:val="61730F2D"/>
    <w:rsid w:val="62200FBD"/>
    <w:rsid w:val="67365558"/>
    <w:rsid w:val="6A1F3A07"/>
    <w:rsid w:val="6FFE2137"/>
    <w:rsid w:val="733707F8"/>
    <w:rsid w:val="73407EDF"/>
    <w:rsid w:val="784D38A1"/>
    <w:rsid w:val="7E101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87</TotalTime>
  <ScaleCrop>false</ScaleCrop>
  <LinksUpToDate>false</LinksUpToDate>
  <CharactersWithSpaces>8635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2020-06-24T02:12:00Z</cp:lastPrinted>
  <dcterms:modified xsi:type="dcterms:W3CDTF">2020-09-18T09:16:47Z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