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cs="宋体"/>
          <w:i w:val="0"/>
          <w:caps w:val="0"/>
          <w:color w:val="auto"/>
          <w:spacing w:val="0"/>
          <w:sz w:val="36"/>
          <w:szCs w:val="36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auto"/>
          <w:spacing w:val="0"/>
          <w:sz w:val="36"/>
          <w:szCs w:val="36"/>
        </w:rPr>
      </w:pPr>
      <w:r>
        <w:rPr>
          <w:rFonts w:hint="eastAsia" w:cs="宋体"/>
          <w:i w:val="0"/>
          <w:caps w:val="0"/>
          <w:color w:val="auto"/>
          <w:spacing w:val="0"/>
          <w:sz w:val="36"/>
          <w:szCs w:val="36"/>
          <w:lang w:eastAsia="zh-CN"/>
        </w:rPr>
        <w:t>鹤城区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6"/>
          <w:szCs w:val="36"/>
        </w:rPr>
        <w:t>商务和粮食局201</w:t>
      </w:r>
      <w:r>
        <w:rPr>
          <w:rFonts w:hint="eastAsia" w:cs="宋体"/>
          <w:i w:val="0"/>
          <w:caps w:val="0"/>
          <w:color w:val="auto"/>
          <w:spacing w:val="0"/>
          <w:sz w:val="36"/>
          <w:szCs w:val="36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6"/>
          <w:szCs w:val="36"/>
        </w:rPr>
        <w:t>年度</w:t>
      </w:r>
      <w:r>
        <w:rPr>
          <w:rFonts w:hint="eastAsia" w:cs="宋体"/>
          <w:i w:val="0"/>
          <w:caps w:val="0"/>
          <w:color w:val="auto"/>
          <w:spacing w:val="0"/>
          <w:sz w:val="36"/>
          <w:szCs w:val="36"/>
          <w:lang w:eastAsia="zh-CN"/>
        </w:rPr>
        <w:t>项目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6"/>
          <w:szCs w:val="36"/>
        </w:rPr>
        <w:t>支出绩效评价自评报告</w:t>
      </w:r>
    </w:p>
    <w:p>
      <w:pPr>
        <w:ind w:firstLine="480" w:firstLineChars="20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shd w:val="clear" w:fill="FFFFFF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一、项目基本情况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1、项目概况。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我局项目资金为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205.5万元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①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商贸项目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工作经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费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60万元；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②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招商引资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工作经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费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15.5万元；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③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粮食企业资产处置收益金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120万元；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④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粮食企业改制经费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10万元。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依据充分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，申报规范，无违规行为。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二、项目绩效目标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1、项目的主要内容。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①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商贸项目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工作经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费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60万元：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加快发展现代商贸产业、集群壮大现代物流产业、培育扶持城乡电子商务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，培育新增限上商贸企业。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②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招商引资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工作经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费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15.5万元：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加强与长三角、珠三角、成渝城市群等地的深度对接，千方百计引进战略投资者；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认真研究筛选出拟引进的项目，策划包装可行性高、吸引力强的招商项目，促成签约更多投资大、税收高、效益好的项目。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③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粮食企业资产处置收益金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120万元：弥补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区属粮食企业“两金”支出，确保企业的正常运转。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④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粮食企业改制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10万元：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妥善处理企业改制中遗留问题。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2、项目应实现的具体绩效目标</w:t>
      </w:r>
      <w:r>
        <w:rPr>
          <w:rFonts w:hint="eastAsia" w:ascii="仿宋_GB2312" w:eastAsia="仿宋_GB2312"/>
          <w:sz w:val="32"/>
          <w:szCs w:val="32"/>
          <w:lang w:eastAsia="zh-CN"/>
        </w:rPr>
        <w:t>：做到专款专用，符合项目实施的进度计划。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、分析评价申报内容与实际相符，申报目标合理可行。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三、资金申报及使用情况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1、资金申报、批复及预算调整等程序的相关情况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：严格按相关程序及时向区财政部门进行了项目资金预算申报。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2、资金计划、到位及使用情况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专款专用，没有出现</w:t>
      </w:r>
      <w:r>
        <w:rPr>
          <w:rFonts w:hint="eastAsia" w:ascii="仿宋_GB2312" w:hAnsi="仿宋_GB2312" w:eastAsia="仿宋_GB2312" w:cs="仿宋_GB2312"/>
          <w:sz w:val="32"/>
          <w:szCs w:val="32"/>
        </w:rPr>
        <w:t>挪用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现象；</w:t>
      </w:r>
      <w:r>
        <w:rPr>
          <w:rFonts w:hint="eastAsia" w:ascii="仿宋_GB2312" w:hAnsi="仿宋_GB2312" w:eastAsia="仿宋_GB2312" w:cs="仿宋_GB2312"/>
          <w:sz w:val="32"/>
          <w:szCs w:val="32"/>
        </w:rPr>
        <w:t>区财政部门及时拨付，项目资金及时到位。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四、财务管理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1、资金使用单位财务管理制度健全、管理规范，严格执行了财务管理制度。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严格执行财务管理制度，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财务处理及时、会计核算规范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，项目资金做到专款专用，严禁挪作他用。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五、项目管理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1、资金使用单位执行相关法律法规及项目管理制定等情况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：严格按要求执行相关法律法规及项目管理制度，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如财政预算评审、招投标、政府采购、项目公示制等。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资金使用实行“专人管理、专帐核算、专项使用”。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3、严格执行项目资金批准的使用计划和项目批复资料，不准擅自调项、扩项、缩项，更不准拆借、挪用、挤占和随意扣压，不准做生意改变，特殊状况，务必请示。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4、严格资金使用审核制度，不准缺项和超程序办理手续；资金报帐拨付要附真实、有效、合法的凭证。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六、项目完成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及效果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，全区实现社会消费品零售总额174.4亿元，预计全年实现205亿元，增速为10.3%；招商引资到位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45.3亿元，完成年计划的85.4%，预计全年招商引资到位资金55亿元，完成年计划的103%；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实际利用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外资669万美元，完成年计划的121.64%</w:t>
      </w:r>
      <w:r>
        <w:rPr>
          <w:rFonts w:hint="eastAsia" w:ascii="仿宋_GB2312" w:hAnsi="仿宋_GB2312" w:eastAsia="仿宋_GB2312" w:cs="仿宋_GB2312"/>
          <w:sz w:val="32"/>
          <w:szCs w:val="32"/>
        </w:rPr>
        <w:t>；实现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外贸进出口和外派劳务分别实现231万美元和193万美元，完成年计划的42% 和75.7%。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现产业项目投资7.45亿元，完成年度计划的77.02%，预计全年实现9.3亿元，完成年计划的102%。社零、招商、投资、和利用外资等4项指标将完成或超额完成年计划，外贸进出口和外派劳务等2项外经贸短板指标难以短期内取得跨越式成绩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、评价结论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结合项目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管理办法，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从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项目决策、项目管理、项目完成、项目效果四个方面总体评价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支出绩效评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价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为“良好”。 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 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仿宋_GB2312" w:hAnsi="仿宋_GB2312" w:eastAsia="仿宋_GB2312" w:cs="仿宋_GB2312"/>
          <w:i w:val="0"/>
          <w:caps w:val="0"/>
          <w:color w:val="666666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666666"/>
          <w:spacing w:val="0"/>
          <w:sz w:val="32"/>
          <w:szCs w:val="32"/>
          <w:shd w:val="clear" w:fill="FFFFFF"/>
          <w:lang w:eastAsia="zh-CN"/>
        </w:rPr>
        <w:t>鹤城区商务和粮食局</w:t>
      </w:r>
    </w:p>
    <w:p>
      <w:pPr>
        <w:numPr>
          <w:ilvl w:val="0"/>
          <w:numId w:val="0"/>
        </w:numPr>
        <w:ind w:firstLine="5760" w:firstLineChars="1800"/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666666"/>
          <w:spacing w:val="0"/>
          <w:sz w:val="32"/>
          <w:szCs w:val="32"/>
          <w:shd w:val="clear" w:fill="FFFFFF"/>
          <w:lang w:val="en-US" w:eastAsia="zh-CN"/>
        </w:rPr>
        <w:t>2018年10月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666666"/>
          <w:spacing w:val="0"/>
          <w:sz w:val="32"/>
          <w:szCs w:val="32"/>
          <w:shd w:val="clear" w:fill="FFFFFF"/>
          <w:lang w:val="en-US" w:eastAsia="zh-CN"/>
        </w:rPr>
        <w:t>21日</w:t>
      </w:r>
    </w:p>
    <w:sectPr>
      <w:pgSz w:w="11906" w:h="16838"/>
      <w:pgMar w:top="1327" w:right="1689" w:bottom="1327" w:left="1689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00112"/>
    <w:rsid w:val="0A9C19ED"/>
    <w:rsid w:val="0E8927FA"/>
    <w:rsid w:val="107D3C2C"/>
    <w:rsid w:val="138C22A6"/>
    <w:rsid w:val="172B62FB"/>
    <w:rsid w:val="1AD72A4D"/>
    <w:rsid w:val="1DBC3129"/>
    <w:rsid w:val="21A03E6A"/>
    <w:rsid w:val="264F5772"/>
    <w:rsid w:val="33DA3EB3"/>
    <w:rsid w:val="3D4A042A"/>
    <w:rsid w:val="3E3B1637"/>
    <w:rsid w:val="40321B63"/>
    <w:rsid w:val="441F3521"/>
    <w:rsid w:val="46795C6E"/>
    <w:rsid w:val="46A2090E"/>
    <w:rsid w:val="4E5F3901"/>
    <w:rsid w:val="54532928"/>
    <w:rsid w:val="55500112"/>
    <w:rsid w:val="610B440D"/>
    <w:rsid w:val="6979061F"/>
    <w:rsid w:val="6B400699"/>
    <w:rsid w:val="6B787958"/>
    <w:rsid w:val="6F4128D5"/>
    <w:rsid w:val="7516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2018-03-13T08:59:00Z</dcterms:created>
  <dc:creator>Administrator</dc:creator>
  <cp:lastModifiedBy>风月鸿程</cp:lastModifiedBy>
  <cp:lastPrinted>2018-05-23T07:38:00Z</cp:lastPrinted>
  <dcterms:modified xsi:type="dcterms:W3CDTF">2019-10-29T03:25:37Z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