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政府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办专项资金</w:t>
      </w:r>
      <w:r>
        <w:rPr>
          <w:rFonts w:hint="eastAsia" w:ascii="方正小标宋简体" w:eastAsia="方正小标宋简体"/>
          <w:sz w:val="44"/>
          <w:szCs w:val="44"/>
        </w:rPr>
        <w:t>绩效评价报告</w:t>
      </w:r>
    </w:p>
    <w:p>
      <w:pPr>
        <w:ind w:firstLine="3370" w:firstLineChars="1605"/>
        <w:rPr>
          <w:rFonts w:hint="eastAsia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项目概况：我办专项资金为；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政府政务公开等专项经费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106.5万</w:t>
      </w:r>
      <w:r>
        <w:rPr>
          <w:rFonts w:hint="eastAsia" w:ascii="仿宋_GB2312" w:hAnsi="宋体" w:eastAsia="仿宋_GB2312"/>
          <w:sz w:val="32"/>
          <w:szCs w:val="32"/>
        </w:rPr>
        <w:t xml:space="preserve"> 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五城同创工作经费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/>
          <w:sz w:val="32"/>
          <w:szCs w:val="32"/>
        </w:rPr>
        <w:t>法制办专项工作经费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老龄委工作经费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法制办聘用专家经费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44万；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经调室调研经费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政府办落实“为民办实事”工作经费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　　　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应急管理专项经费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9.法制办行政复议及“两证”信息管理维护费10万；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10.信息化办经费10万；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11.督查室经费23万；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12.生态创建工作经费2万；</w:t>
      </w:r>
    </w:p>
    <w:p>
      <w:pPr>
        <w:spacing w:line="560" w:lineRule="exact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13.调纠办经费10万；</w:t>
      </w:r>
    </w:p>
    <w:p>
      <w:pPr>
        <w:spacing w:line="560" w:lineRule="exact"/>
        <w:jc w:val="both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14.网络工作经费50万。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项目立项、资金申报的依据、专项资金的政策依据充分、项目申报规范，无违规行为。</w:t>
      </w: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二、项目绩效目标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项目的主要内容：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鹤城区门户网站监测费用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15.8万；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2.设备购置费用49.2万；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3.鹤城区门户网站改版费用35万；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4.鹤城区政府主楼、会议楼、智慧政务中心网络升级改造费用70万；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5.鹤城区门户网站服务器及政务外网改造费用150万； 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项目具体绩效目标：做到专款专用，合符项目实施的进度计划。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　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项目申报内容与实际相符，申报目标合理可行。</w:t>
      </w: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三、资金申报及使用情况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项目资金计划、到位及使用情况：区财政部门及时拨付，项目资金及时到位。</w:t>
      </w: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四、财务管理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1、我办财务管理制度健全、管理规范，严格执行了财务管理制度。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2、我办财务处理及时、会计核算规范。我办结合工作实际，统筹规划，科学管理，专款专用，切实加强内部财务管理，严禁铺张浪费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资金使用规范合理，不存在挪用侵占情况。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五、项目管理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为切实规范我</w:t>
      </w:r>
      <w:r>
        <w:rPr>
          <w:rFonts w:hint="eastAsia" w:ascii="仿宋_GB2312" w:eastAsia="仿宋_GB2312"/>
          <w:sz w:val="32"/>
          <w:szCs w:val="32"/>
          <w:lang w:eastAsia="zh-CN"/>
        </w:rPr>
        <w:t>办</w:t>
      </w:r>
      <w:r>
        <w:rPr>
          <w:rFonts w:hint="eastAsia" w:ascii="仿宋_GB2312" w:eastAsia="仿宋_GB2312"/>
          <w:sz w:val="32"/>
          <w:szCs w:val="32"/>
        </w:rPr>
        <w:t>专项资金管理，保障资金安全、高效运行，发挥资金使用效益，特制定以下管理制度: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1、专项资金实行“专人管理、专户储存、专账核算、专项使用”。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资金的拨付本着专款专用的原则，严格执行项目资金批准的使用计划和项目批复资料，不准擅自调项、扩项、缩项，更不准拆借、挪用、挤占和随意扣压；资金拨付动向，按不一样专项资金的要求执行，不准任意改变；特殊状况，务必请示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3、严格专项资金初审、审核、审核制度，不准缺项和越程序办理手续，各类专项资金审批程序，以该专项资金审批表所列资料和文件要求为准。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4、专项资金报账拨付要附真实、有效、合法的凭证。</w:t>
      </w:r>
    </w:p>
    <w:p>
      <w:pPr>
        <w:spacing w:line="6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六、项目完成情况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对照项目计划目标，按照步骤有计划实行，各项工作已保质保量完成。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1.顺利完成了机关党建、队伍建设、党风廉政建设、综治维稳、宣传思想、安全生产、计划生育、机关管理等各项工作。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2.完成全面深化改革工作，及时上报党委规范性文件，落实市委、市政府重大决策部署等事项。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3.确保区政府办各项工作正常开展，确保完成区政府领导交办的各项工作任务。</w:t>
      </w:r>
    </w:p>
    <w:p>
      <w:pPr>
        <w:spacing w:line="6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七、项目效果情况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确保区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eastAsia="仿宋_GB2312"/>
          <w:sz w:val="32"/>
          <w:szCs w:val="32"/>
        </w:rPr>
        <w:t>重要会议、公务活动的安排到位，区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eastAsia="仿宋_GB2312"/>
          <w:sz w:val="32"/>
          <w:szCs w:val="32"/>
        </w:rPr>
        <w:t>文件处理及时，各类信息上传下达及时，上级重大方针政策和工作部署贯彻落实的督促检查到位。</w:t>
      </w:r>
    </w:p>
    <w:p>
      <w:pPr>
        <w:spacing w:line="6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各专项资金支出</w:t>
      </w:r>
      <w:r>
        <w:rPr>
          <w:rFonts w:hint="eastAsia" w:ascii="仿宋_GB2312" w:eastAsia="仿宋_GB2312"/>
          <w:sz w:val="32"/>
          <w:szCs w:val="32"/>
        </w:rPr>
        <w:t>管理</w:t>
      </w:r>
      <w:r>
        <w:rPr>
          <w:rFonts w:hint="eastAsia" w:ascii="仿宋_GB2312" w:eastAsia="仿宋_GB2312"/>
          <w:sz w:val="32"/>
          <w:szCs w:val="32"/>
          <w:lang w:eastAsia="zh-CN"/>
        </w:rPr>
        <w:t>到位</w:t>
      </w:r>
      <w:r>
        <w:rPr>
          <w:rFonts w:hint="eastAsia" w:ascii="仿宋_GB2312" w:eastAsia="仿宋_GB2312"/>
          <w:sz w:val="32"/>
          <w:szCs w:val="32"/>
        </w:rPr>
        <w:t>、项目完成</w:t>
      </w:r>
      <w:r>
        <w:rPr>
          <w:rFonts w:hint="eastAsia" w:ascii="仿宋_GB2312" w:eastAsia="仿宋_GB2312"/>
          <w:sz w:val="32"/>
          <w:szCs w:val="32"/>
          <w:lang w:eastAsia="zh-CN"/>
        </w:rPr>
        <w:t>质量高</w:t>
      </w:r>
      <w:r>
        <w:rPr>
          <w:rFonts w:hint="eastAsia" w:ascii="仿宋_GB2312" w:eastAsia="仿宋_GB2312"/>
          <w:sz w:val="32"/>
          <w:szCs w:val="32"/>
        </w:rPr>
        <w:t>、项目</w:t>
      </w:r>
      <w:r>
        <w:rPr>
          <w:rFonts w:hint="eastAsia" w:ascii="仿宋_GB2312" w:eastAsia="仿宋_GB2312"/>
          <w:sz w:val="32"/>
          <w:szCs w:val="32"/>
          <w:lang w:eastAsia="zh-CN"/>
        </w:rPr>
        <w:t>成效大，</w:t>
      </w:r>
      <w:r>
        <w:rPr>
          <w:rFonts w:hint="eastAsia" w:ascii="仿宋_GB2312" w:eastAsia="仿宋_GB2312"/>
          <w:sz w:val="32"/>
          <w:szCs w:val="32"/>
        </w:rPr>
        <w:t>使区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eastAsia="仿宋_GB2312"/>
          <w:sz w:val="32"/>
          <w:szCs w:val="32"/>
        </w:rPr>
        <w:t>办各项工作能正常高效运转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</w:t>
      </w:r>
    </w:p>
    <w:p>
      <w:pPr>
        <w:jc w:val="righ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怀化市</w:t>
      </w:r>
      <w:r>
        <w:rPr>
          <w:rFonts w:hint="eastAsia" w:ascii="仿宋_GB2312" w:eastAsia="仿宋_GB2312"/>
          <w:sz w:val="32"/>
          <w:szCs w:val="32"/>
        </w:rPr>
        <w:t>鹤城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人民政府</w:t>
      </w:r>
      <w:r>
        <w:rPr>
          <w:rFonts w:hint="eastAsia" w:ascii="仿宋_GB2312" w:eastAsia="仿宋_GB2312"/>
          <w:sz w:val="32"/>
          <w:szCs w:val="32"/>
          <w:lang w:eastAsia="zh-CN"/>
        </w:rPr>
        <w:t>办公室　</w:t>
      </w:r>
    </w:p>
    <w:p>
      <w:pPr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　　　　　　　　　　　　　　　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2019年10月29日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F1DB9"/>
    <w:rsid w:val="159D66E6"/>
    <w:rsid w:val="184F6981"/>
    <w:rsid w:val="1CA7411E"/>
    <w:rsid w:val="2ABB06F5"/>
    <w:rsid w:val="33A11A08"/>
    <w:rsid w:val="37C23790"/>
    <w:rsid w:val="38685BE6"/>
    <w:rsid w:val="3F1B3741"/>
    <w:rsid w:val="42FA31B9"/>
    <w:rsid w:val="45837EDC"/>
    <w:rsid w:val="4AEB195D"/>
    <w:rsid w:val="510C2080"/>
    <w:rsid w:val="6F4E24DB"/>
    <w:rsid w:val="7C5A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A怀化百度    彭梓纭</cp:lastModifiedBy>
  <dcterms:modified xsi:type="dcterms:W3CDTF">2019-11-07T03:26:16Z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