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F2" w:rsidRPr="0076526E" w:rsidRDefault="003145F2">
      <w:pPr>
        <w:jc w:val="center"/>
        <w:rPr>
          <w:rFonts w:ascii="宋体" w:hint="eastAsia"/>
          <w:b/>
          <w:bCs/>
          <w:sz w:val="44"/>
          <w:szCs w:val="44"/>
        </w:rPr>
      </w:pPr>
      <w:r w:rsidRPr="0076526E">
        <w:rPr>
          <w:rFonts w:ascii="宋体" w:hAnsi="宋体" w:hint="eastAsia"/>
          <w:b/>
          <w:bCs/>
          <w:sz w:val="44"/>
          <w:szCs w:val="44"/>
        </w:rPr>
        <w:t>鹤城区住房和城乡建设局</w:t>
      </w:r>
      <w:r>
        <w:rPr>
          <w:rFonts w:ascii="宋体" w:hAnsi="宋体"/>
          <w:b/>
          <w:bCs/>
          <w:sz w:val="44"/>
          <w:szCs w:val="44"/>
        </w:rPr>
        <w:t>2018</w:t>
      </w:r>
      <w:r w:rsidRPr="0076526E">
        <w:rPr>
          <w:rFonts w:ascii="宋体" w:hAnsi="宋体" w:hint="eastAsia"/>
          <w:b/>
          <w:bCs/>
          <w:sz w:val="44"/>
          <w:szCs w:val="44"/>
        </w:rPr>
        <w:t>年度</w:t>
      </w:r>
    </w:p>
    <w:p w:rsidR="003145F2" w:rsidRPr="0076526E" w:rsidRDefault="003145F2">
      <w:pPr>
        <w:jc w:val="center"/>
        <w:rPr>
          <w:rFonts w:ascii="宋体" w:hint="eastAsia"/>
          <w:b/>
          <w:bCs/>
          <w:sz w:val="44"/>
          <w:szCs w:val="44"/>
        </w:rPr>
      </w:pPr>
      <w:r w:rsidRPr="0076526E">
        <w:rPr>
          <w:rFonts w:ascii="宋体" w:hAnsi="宋体" w:hint="eastAsia"/>
          <w:b/>
          <w:bCs/>
          <w:sz w:val="44"/>
          <w:szCs w:val="44"/>
        </w:rPr>
        <w:t>部门整体支出绩效报告</w:t>
      </w:r>
    </w:p>
    <w:p w:rsidR="003145F2" w:rsidRDefault="003145F2">
      <w:pPr>
        <w:jc w:val="center"/>
        <w:rPr>
          <w:rFonts w:hint="eastAsia"/>
          <w:sz w:val="28"/>
          <w:szCs w:val="28"/>
        </w:rPr>
      </w:pPr>
    </w:p>
    <w:p w:rsidR="003145F2" w:rsidRPr="002F5EDC" w:rsidRDefault="003145F2">
      <w:pPr>
        <w:numPr>
          <w:ilvl w:val="0"/>
          <w:numId w:val="1"/>
        </w:numPr>
        <w:rPr>
          <w:rFonts w:hint="eastAsia"/>
          <w:b/>
          <w:bCs/>
          <w:sz w:val="30"/>
          <w:szCs w:val="30"/>
        </w:rPr>
      </w:pPr>
      <w:r w:rsidRPr="002F5EDC">
        <w:rPr>
          <w:rFonts w:hint="eastAsia"/>
          <w:b/>
          <w:bCs/>
          <w:sz w:val="30"/>
          <w:szCs w:val="30"/>
        </w:rPr>
        <w:t>部门概括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2F5EDC">
        <w:rPr>
          <w:sz w:val="30"/>
          <w:szCs w:val="30"/>
        </w:rPr>
        <w:t xml:space="preserve">  </w:t>
      </w:r>
      <w:r w:rsidRPr="0076526E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 w:rsidRPr="0076526E">
        <w:rPr>
          <w:rFonts w:ascii="仿宋_GB2312" w:eastAsia="仿宋_GB2312" w:hint="eastAsia"/>
          <w:sz w:val="32"/>
          <w:szCs w:val="32"/>
        </w:rPr>
        <w:t>负责本级建设部门的法制建设和普法，依法治理工作；负责全区城市棚户区、工矿棚户区及公租房建设的组织、协调、指导工作，承担区保障性住房建设工作办公室的日常工作；组织保障性安居工程建设的投资经营和资产管理；负责组织实施辖区内国有土地上房屋的征收和补偿工作；组织农村危房改造工作并协调督促落实，负责对本级权限内建设工程项目的招标投标活动具体实施监督管理。</w:t>
      </w:r>
    </w:p>
    <w:p w:rsidR="003145F2" w:rsidRPr="002F5EDC" w:rsidRDefault="003145F2"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30"/>
          <w:szCs w:val="30"/>
        </w:rPr>
      </w:pPr>
      <w:r w:rsidRPr="002F5EDC">
        <w:rPr>
          <w:rFonts w:hint="eastAsia"/>
          <w:b/>
          <w:bCs/>
          <w:sz w:val="30"/>
          <w:szCs w:val="30"/>
        </w:rPr>
        <w:t>人员概括</w:t>
      </w:r>
    </w:p>
    <w:p w:rsidR="003145F2" w:rsidRPr="002F5EDC" w:rsidRDefault="003145F2">
      <w:pPr>
        <w:spacing w:line="360" w:lineRule="auto"/>
        <w:rPr>
          <w:rFonts w:hint="eastAsia"/>
          <w:sz w:val="30"/>
          <w:szCs w:val="30"/>
        </w:rPr>
      </w:pPr>
      <w:r w:rsidRPr="002F5EDC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我局共有在职干部职工</w:t>
      </w:r>
      <w:r>
        <w:rPr>
          <w:rFonts w:ascii="仿宋_GB2312" w:eastAsia="仿宋_GB2312"/>
          <w:sz w:val="32"/>
          <w:szCs w:val="32"/>
        </w:rPr>
        <w:t>48</w:t>
      </w:r>
      <w:r w:rsidRPr="0076526E">
        <w:rPr>
          <w:rFonts w:ascii="仿宋_GB2312" w:eastAsia="仿宋_GB2312" w:hint="eastAsia"/>
          <w:sz w:val="32"/>
          <w:szCs w:val="32"/>
        </w:rPr>
        <w:t>人，其中财政全额拨款人员</w:t>
      </w:r>
      <w:r>
        <w:rPr>
          <w:rFonts w:ascii="仿宋_GB2312" w:eastAsia="仿宋_GB2312"/>
          <w:sz w:val="32"/>
          <w:szCs w:val="32"/>
        </w:rPr>
        <w:t>48</w:t>
      </w:r>
      <w:r w:rsidRPr="0076526E">
        <w:rPr>
          <w:rFonts w:ascii="仿宋_GB2312" w:eastAsia="仿宋_GB2312" w:hint="eastAsia"/>
          <w:sz w:val="32"/>
          <w:szCs w:val="32"/>
        </w:rPr>
        <w:t>人。离退休人员</w:t>
      </w:r>
      <w:r>
        <w:rPr>
          <w:rFonts w:ascii="仿宋_GB2312" w:eastAsia="仿宋_GB2312"/>
          <w:sz w:val="32"/>
          <w:szCs w:val="32"/>
        </w:rPr>
        <w:t>28</w:t>
      </w:r>
      <w:r w:rsidRPr="0076526E">
        <w:rPr>
          <w:rFonts w:ascii="仿宋_GB2312" w:eastAsia="仿宋_GB2312" w:hint="eastAsia"/>
          <w:sz w:val="32"/>
          <w:szCs w:val="32"/>
        </w:rPr>
        <w:t>人，其中离休人员</w:t>
      </w:r>
      <w:r w:rsidRPr="0076526E">
        <w:rPr>
          <w:rFonts w:ascii="仿宋_GB2312" w:eastAsia="仿宋_GB2312"/>
          <w:sz w:val="32"/>
          <w:szCs w:val="32"/>
        </w:rPr>
        <w:t>1</w:t>
      </w:r>
      <w:r w:rsidRPr="0076526E">
        <w:rPr>
          <w:rFonts w:ascii="仿宋_GB2312" w:eastAsia="仿宋_GB2312" w:hint="eastAsia"/>
          <w:sz w:val="32"/>
          <w:szCs w:val="32"/>
        </w:rPr>
        <w:t>人，退休人员</w:t>
      </w:r>
      <w:r>
        <w:rPr>
          <w:rFonts w:ascii="仿宋_GB2312" w:eastAsia="仿宋_GB2312"/>
          <w:sz w:val="32"/>
          <w:szCs w:val="32"/>
        </w:rPr>
        <w:t>27</w:t>
      </w:r>
      <w:r w:rsidRPr="0076526E">
        <w:rPr>
          <w:rFonts w:ascii="仿宋_GB2312" w:eastAsia="仿宋_GB2312" w:hint="eastAsia"/>
          <w:sz w:val="32"/>
          <w:szCs w:val="32"/>
        </w:rPr>
        <w:t>人。</w:t>
      </w:r>
    </w:p>
    <w:p w:rsidR="003145F2" w:rsidRPr="002F5EDC" w:rsidRDefault="003145F2"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30"/>
          <w:szCs w:val="30"/>
        </w:rPr>
      </w:pPr>
      <w:r w:rsidRPr="002F5EDC">
        <w:rPr>
          <w:rFonts w:hint="eastAsia"/>
          <w:b/>
          <w:bCs/>
          <w:sz w:val="30"/>
          <w:szCs w:val="30"/>
        </w:rPr>
        <w:t>部门财政资金收支情况</w:t>
      </w:r>
    </w:p>
    <w:p w:rsidR="003145F2" w:rsidRDefault="003145F2" w:rsidP="0076526E">
      <w:pPr>
        <w:numPr>
          <w:ilvl w:val="0"/>
          <w:numId w:val="14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部门财政收入情况</w:t>
      </w:r>
    </w:p>
    <w:p w:rsidR="003145F2" w:rsidRPr="0076526E" w:rsidRDefault="003145F2" w:rsidP="00D77D28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 w:rsidRPr="0076526E">
        <w:rPr>
          <w:rFonts w:ascii="仿宋_GB2312" w:eastAsia="仿宋_GB2312" w:hint="eastAsia"/>
          <w:sz w:val="32"/>
          <w:szCs w:val="32"/>
        </w:rPr>
        <w:t>年收入</w:t>
      </w:r>
      <w:r>
        <w:rPr>
          <w:rFonts w:ascii="仿宋_GB2312" w:eastAsia="仿宋_GB2312"/>
          <w:sz w:val="32"/>
          <w:szCs w:val="32"/>
        </w:rPr>
        <w:t>3153.62</w:t>
      </w:r>
      <w:r w:rsidRPr="0076526E">
        <w:rPr>
          <w:rFonts w:ascii="仿宋_GB2312" w:eastAsia="仿宋_GB2312" w:hint="eastAsia"/>
          <w:sz w:val="32"/>
          <w:szCs w:val="32"/>
        </w:rPr>
        <w:t>万元，其中：一般公共预算财政拨款</w:t>
      </w:r>
      <w:r>
        <w:rPr>
          <w:rFonts w:ascii="仿宋_GB2312" w:eastAsia="仿宋_GB2312"/>
          <w:sz w:val="32"/>
          <w:szCs w:val="32"/>
        </w:rPr>
        <w:t>2660.84</w:t>
      </w:r>
      <w:r w:rsidRPr="0076526E">
        <w:rPr>
          <w:rFonts w:ascii="仿宋_GB2312" w:eastAsia="仿宋_GB2312" w:hint="eastAsia"/>
          <w:sz w:val="32"/>
          <w:szCs w:val="32"/>
        </w:rPr>
        <w:t>万元，政府性基金预算财政拨款</w:t>
      </w:r>
      <w:r>
        <w:rPr>
          <w:rFonts w:ascii="仿宋_GB2312" w:eastAsia="仿宋_GB2312"/>
          <w:sz w:val="32"/>
          <w:szCs w:val="32"/>
        </w:rPr>
        <w:t>91.83</w:t>
      </w:r>
      <w:r>
        <w:rPr>
          <w:rFonts w:ascii="仿宋_GB2312" w:eastAsia="仿宋_GB2312" w:hint="eastAsia"/>
          <w:sz w:val="32"/>
          <w:szCs w:val="32"/>
        </w:rPr>
        <w:t>万元</w:t>
      </w:r>
      <w:r w:rsidRPr="0076526E">
        <w:rPr>
          <w:rFonts w:ascii="仿宋_GB2312" w:eastAsia="仿宋_GB2312" w:hint="eastAsia"/>
          <w:sz w:val="32"/>
          <w:szCs w:val="32"/>
        </w:rPr>
        <w:t>。</w:t>
      </w:r>
    </w:p>
    <w:p w:rsidR="003145F2" w:rsidRPr="0076526E" w:rsidRDefault="003145F2" w:rsidP="0076526E">
      <w:pPr>
        <w:numPr>
          <w:ilvl w:val="0"/>
          <w:numId w:val="14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部门财政资金支出情况</w:t>
      </w:r>
    </w:p>
    <w:p w:rsidR="003145F2" w:rsidRDefault="003145F2" w:rsidP="00D77D28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 w:rsidRPr="0076526E">
        <w:rPr>
          <w:rFonts w:ascii="仿宋_GB2312" w:eastAsia="仿宋_GB2312" w:hint="eastAsia"/>
          <w:sz w:val="32"/>
          <w:szCs w:val="32"/>
        </w:rPr>
        <w:t>年支出</w:t>
      </w:r>
      <w:r>
        <w:rPr>
          <w:rFonts w:ascii="仿宋_GB2312" w:eastAsia="仿宋_GB2312"/>
          <w:sz w:val="32"/>
          <w:szCs w:val="32"/>
        </w:rPr>
        <w:t>2738.35</w:t>
      </w:r>
      <w:r w:rsidRPr="0076526E">
        <w:rPr>
          <w:rFonts w:ascii="仿宋_GB2312" w:eastAsia="仿宋_GB2312" w:hint="eastAsia"/>
          <w:sz w:val="32"/>
          <w:szCs w:val="32"/>
        </w:rPr>
        <w:t>万元，其中：基本支出</w:t>
      </w:r>
      <w:r>
        <w:rPr>
          <w:rFonts w:ascii="仿宋_GB2312" w:eastAsia="仿宋_GB2312"/>
          <w:sz w:val="32"/>
          <w:szCs w:val="32"/>
        </w:rPr>
        <w:t>796.52</w:t>
      </w:r>
      <w:r w:rsidRPr="0076526E">
        <w:rPr>
          <w:rFonts w:ascii="仿宋_GB2312" w:eastAsia="仿宋_GB2312" w:hint="eastAsia"/>
          <w:sz w:val="32"/>
          <w:szCs w:val="32"/>
        </w:rPr>
        <w:t>万元，项目支出</w:t>
      </w:r>
      <w:r>
        <w:rPr>
          <w:rFonts w:ascii="仿宋_GB2312" w:eastAsia="仿宋_GB2312"/>
          <w:sz w:val="32"/>
          <w:szCs w:val="32"/>
        </w:rPr>
        <w:t>1941.83</w:t>
      </w:r>
      <w:r w:rsidRPr="0076526E">
        <w:rPr>
          <w:rFonts w:ascii="仿宋_GB2312" w:eastAsia="仿宋_GB2312" w:hint="eastAsia"/>
          <w:sz w:val="32"/>
          <w:szCs w:val="32"/>
        </w:rPr>
        <w:t>万元。</w:t>
      </w:r>
    </w:p>
    <w:p w:rsidR="003145F2" w:rsidRPr="002F5EDC" w:rsidRDefault="00D77D28" w:rsidP="00D77D28">
      <w:pPr>
        <w:spacing w:line="360" w:lineRule="auto"/>
        <w:ind w:firstLineChars="200" w:firstLine="602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四、</w:t>
      </w:r>
      <w:bookmarkStart w:id="0" w:name="_GoBack"/>
      <w:bookmarkEnd w:id="0"/>
      <w:r w:rsidR="003145F2" w:rsidRPr="002F5EDC">
        <w:rPr>
          <w:rFonts w:hint="eastAsia"/>
          <w:b/>
          <w:bCs/>
          <w:sz w:val="30"/>
          <w:szCs w:val="30"/>
        </w:rPr>
        <w:t>部门财政支出管理情况</w:t>
      </w:r>
    </w:p>
    <w:p w:rsidR="003145F2" w:rsidRPr="0076526E" w:rsidRDefault="003145F2">
      <w:pPr>
        <w:numPr>
          <w:ilvl w:val="0"/>
          <w:numId w:val="4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预决算编制情况</w:t>
      </w:r>
    </w:p>
    <w:p w:rsidR="003145F2" w:rsidRPr="0076526E" w:rsidRDefault="003145F2" w:rsidP="00D77D28">
      <w:pPr>
        <w:spacing w:line="360" w:lineRule="auto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严格按照部门预算编制通知和有关要求，按时完成基础库、项目库报送工作，按时完成</w:t>
      </w:r>
      <w:r>
        <w:rPr>
          <w:rFonts w:ascii="仿宋_GB2312" w:eastAsia="仿宋_GB2312"/>
          <w:sz w:val="32"/>
          <w:szCs w:val="32"/>
        </w:rPr>
        <w:t>2018</w:t>
      </w:r>
      <w:r w:rsidRPr="0076526E">
        <w:rPr>
          <w:rFonts w:ascii="仿宋_GB2312" w:eastAsia="仿宋_GB2312" w:hint="eastAsia"/>
          <w:sz w:val="32"/>
          <w:szCs w:val="32"/>
        </w:rPr>
        <w:t>年预算编制工作，并按时提交部门预算草案。</w:t>
      </w:r>
    </w:p>
    <w:p w:rsidR="003145F2" w:rsidRPr="0076526E" w:rsidRDefault="003145F2">
      <w:pPr>
        <w:numPr>
          <w:ilvl w:val="0"/>
          <w:numId w:val="4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支出绩效情况</w:t>
      </w:r>
    </w:p>
    <w:p w:rsidR="003145F2" w:rsidRPr="0076526E" w:rsidRDefault="003145F2">
      <w:pPr>
        <w:numPr>
          <w:ilvl w:val="0"/>
          <w:numId w:val="5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部门支出绩效</w:t>
      </w:r>
    </w:p>
    <w:p w:rsidR="003145F2" w:rsidRPr="0076526E" w:rsidRDefault="003145F2">
      <w:pPr>
        <w:numPr>
          <w:ilvl w:val="0"/>
          <w:numId w:val="6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行政运转保障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财政拨款安排支出主要用于保障单位正常运转、完成日常工作任务以及住房保障等相关工作。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基本支出用于保障单位正常运转的日常支出，包括基本工资、津贴补贴等人员经费以及办公费、印刷费、水电费、办公设备购置等日常公用经费。</w:t>
      </w:r>
    </w:p>
    <w:p w:rsidR="003145F2" w:rsidRPr="0076526E" w:rsidRDefault="003145F2">
      <w:pPr>
        <w:numPr>
          <w:ilvl w:val="0"/>
          <w:numId w:val="6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机关厉行节约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我局认真贯彻落实中央好和省委省政府相关规定，厉行节约，严格控制因公出国（境）费用、会议费、公务用车运行维护费和公务接待经费，比上年支出减少。我局</w:t>
      </w:r>
      <w:r w:rsidRPr="0076526E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 w:rsidRPr="0076526E">
        <w:rPr>
          <w:rFonts w:ascii="仿宋_GB2312" w:eastAsia="仿宋_GB2312" w:hint="eastAsia"/>
          <w:sz w:val="32"/>
          <w:szCs w:val="32"/>
        </w:rPr>
        <w:t>年因公出国（境）费用</w:t>
      </w:r>
      <w:r w:rsidRPr="0076526E">
        <w:rPr>
          <w:rFonts w:ascii="仿宋_GB2312" w:eastAsia="仿宋_GB2312"/>
          <w:sz w:val="32"/>
          <w:szCs w:val="32"/>
        </w:rPr>
        <w:t>0</w:t>
      </w:r>
      <w:r w:rsidRPr="0076526E">
        <w:rPr>
          <w:rFonts w:ascii="仿宋_GB2312" w:eastAsia="仿宋_GB2312" w:hint="eastAsia"/>
          <w:sz w:val="32"/>
          <w:szCs w:val="32"/>
        </w:rPr>
        <w:t>万元、会议费</w:t>
      </w:r>
      <w:r w:rsidRPr="0076526E">
        <w:rPr>
          <w:rFonts w:ascii="仿宋_GB2312" w:eastAsia="仿宋_GB2312"/>
          <w:sz w:val="32"/>
          <w:szCs w:val="32"/>
        </w:rPr>
        <w:t>0</w:t>
      </w:r>
      <w:r w:rsidRPr="0076526E">
        <w:rPr>
          <w:rFonts w:ascii="仿宋_GB2312" w:eastAsia="仿宋_GB2312" w:hint="eastAsia"/>
          <w:sz w:val="32"/>
          <w:szCs w:val="32"/>
        </w:rPr>
        <w:t>万元、培训费</w:t>
      </w:r>
      <w:r>
        <w:rPr>
          <w:rFonts w:ascii="仿宋_GB2312" w:eastAsia="仿宋_GB2312"/>
          <w:sz w:val="32"/>
          <w:szCs w:val="32"/>
        </w:rPr>
        <w:t>0</w:t>
      </w:r>
      <w:r w:rsidRPr="0076526E">
        <w:rPr>
          <w:rFonts w:ascii="仿宋_GB2312" w:eastAsia="仿宋_GB2312" w:hint="eastAsia"/>
          <w:sz w:val="32"/>
          <w:szCs w:val="32"/>
        </w:rPr>
        <w:t>万元，公务用车运行维护费</w:t>
      </w:r>
      <w:r>
        <w:rPr>
          <w:rFonts w:ascii="仿宋_GB2312" w:eastAsia="仿宋_GB2312"/>
          <w:sz w:val="32"/>
          <w:szCs w:val="32"/>
        </w:rPr>
        <w:t>3.15</w:t>
      </w:r>
      <w:r w:rsidRPr="0076526E">
        <w:rPr>
          <w:rFonts w:ascii="仿宋_GB2312" w:eastAsia="仿宋_GB2312" w:hint="eastAsia"/>
          <w:sz w:val="32"/>
          <w:szCs w:val="32"/>
        </w:rPr>
        <w:t>万元，公务接待费</w:t>
      </w:r>
      <w:r>
        <w:rPr>
          <w:rFonts w:ascii="仿宋_GB2312" w:eastAsia="仿宋_GB2312"/>
          <w:sz w:val="32"/>
          <w:szCs w:val="32"/>
        </w:rPr>
        <w:t>1.18</w:t>
      </w:r>
      <w:r w:rsidRPr="0076526E">
        <w:rPr>
          <w:rFonts w:ascii="仿宋_GB2312" w:eastAsia="仿宋_GB2312" w:hint="eastAsia"/>
          <w:sz w:val="32"/>
          <w:szCs w:val="32"/>
        </w:rPr>
        <w:t>万元</w:t>
      </w:r>
    </w:p>
    <w:p w:rsidR="003145F2" w:rsidRPr="0076526E" w:rsidRDefault="003145F2">
      <w:pPr>
        <w:numPr>
          <w:ilvl w:val="0"/>
          <w:numId w:val="7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财务管理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我局财务管理制度健全，执行制度严格合规，会计核算符合相关规定，资金专款专用，资金支付依据和开支标准合</w:t>
      </w:r>
      <w:r w:rsidRPr="0076526E">
        <w:rPr>
          <w:rFonts w:ascii="仿宋_GB2312" w:eastAsia="仿宋_GB2312" w:hint="eastAsia"/>
          <w:sz w:val="32"/>
          <w:szCs w:val="32"/>
        </w:rPr>
        <w:lastRenderedPageBreak/>
        <w:t>法合规，严格执行政府采购。</w:t>
      </w:r>
    </w:p>
    <w:p w:rsidR="003145F2" w:rsidRPr="0076526E" w:rsidRDefault="003145F2">
      <w:pPr>
        <w:numPr>
          <w:ilvl w:val="0"/>
          <w:numId w:val="7"/>
        </w:num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绩效管理工作开展情况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  <w:r w:rsidRPr="0076526E">
        <w:rPr>
          <w:rFonts w:ascii="仿宋_GB2312" w:eastAsia="仿宋_GB2312" w:hint="eastAsia"/>
          <w:sz w:val="32"/>
          <w:szCs w:val="32"/>
        </w:rPr>
        <w:t>我局严格按照区财政绩效管理工作的要求，认真开展自评工作，撰写部门自评报告。</w:t>
      </w:r>
    </w:p>
    <w:p w:rsidR="003145F2" w:rsidRPr="002F5EDC" w:rsidRDefault="003145F2">
      <w:pPr>
        <w:numPr>
          <w:ilvl w:val="0"/>
          <w:numId w:val="8"/>
        </w:numPr>
        <w:spacing w:line="360" w:lineRule="auto"/>
        <w:rPr>
          <w:rFonts w:hint="eastAsia"/>
          <w:b/>
          <w:bCs/>
          <w:sz w:val="30"/>
          <w:szCs w:val="30"/>
        </w:rPr>
      </w:pPr>
      <w:r w:rsidRPr="002F5EDC">
        <w:rPr>
          <w:rFonts w:hint="eastAsia"/>
          <w:b/>
          <w:bCs/>
          <w:sz w:val="30"/>
          <w:szCs w:val="30"/>
        </w:rPr>
        <w:t>评价结论及建议</w:t>
      </w:r>
    </w:p>
    <w:p w:rsidR="003145F2" w:rsidRDefault="003145F2" w:rsidP="0076526E">
      <w:pPr>
        <w:spacing w:line="360" w:lineRule="auto"/>
        <w:ind w:firstLine="600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我局</w:t>
      </w:r>
      <w:r>
        <w:rPr>
          <w:rFonts w:ascii="仿宋_GB2312" w:eastAsia="仿宋_GB2312"/>
          <w:sz w:val="32"/>
          <w:szCs w:val="32"/>
        </w:rPr>
        <w:t>2018</w:t>
      </w:r>
      <w:r w:rsidRPr="0076526E">
        <w:rPr>
          <w:rFonts w:ascii="仿宋_GB2312" w:eastAsia="仿宋_GB2312" w:hint="eastAsia"/>
          <w:sz w:val="32"/>
          <w:szCs w:val="32"/>
        </w:rPr>
        <w:t>年部门预算基本达到预期绩效目标。但预算编制还需进一步细化，针对我局预算存在的问题，提出以下建议：</w:t>
      </w:r>
    </w:p>
    <w:p w:rsidR="003145F2" w:rsidRPr="0076526E" w:rsidRDefault="003145F2" w:rsidP="0076526E">
      <w:pPr>
        <w:spacing w:line="360" w:lineRule="auto"/>
        <w:ind w:firstLine="6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 w:rsidRPr="0076526E">
        <w:rPr>
          <w:rFonts w:ascii="仿宋_GB2312" w:eastAsia="仿宋_GB2312" w:hint="eastAsia"/>
          <w:sz w:val="32"/>
          <w:szCs w:val="32"/>
        </w:rPr>
        <w:t>遵循先有预算、后有支出的原则，加强财务管理和内部控制监督制度。严禁超预算和无预算安排支出，严格开支范围和标准，严格支出报销审核，不报销任何超范围、超标准的费用。</w:t>
      </w:r>
    </w:p>
    <w:p w:rsidR="003145F2" w:rsidRPr="0076526E" w:rsidRDefault="003145F2" w:rsidP="00D77D28">
      <w:pPr>
        <w:spacing w:line="360" w:lineRule="auto"/>
        <w:ind w:firstLineChars="150" w:firstLine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76526E">
        <w:rPr>
          <w:rFonts w:ascii="仿宋_GB2312" w:eastAsia="仿宋_GB2312" w:hint="eastAsia"/>
          <w:sz w:val="32"/>
          <w:szCs w:val="32"/>
        </w:rPr>
        <w:t>严格控制“三公”经费。认真贯彻落实中央、省委省政府和区委区政府相关规定，严格“三公”经费支出的审核和审批，合理压缩“三公”经费支出。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</w:t>
      </w:r>
      <w:r w:rsidRPr="0076526E">
        <w:rPr>
          <w:rFonts w:ascii="仿宋_GB2312" w:eastAsia="仿宋_GB2312" w:hint="eastAsia"/>
          <w:sz w:val="32"/>
          <w:szCs w:val="32"/>
        </w:rPr>
        <w:t>在今后的工作中，我局将积极查找问题原因，认真对照整改，相关人员要加强工作责任心，加强业务学习培训，充分认识到此项工作的重要性，切实做好今后工作。</w:t>
      </w:r>
    </w:p>
    <w:p w:rsidR="003145F2" w:rsidRPr="0076526E" w:rsidRDefault="003145F2">
      <w:pPr>
        <w:spacing w:line="360" w:lineRule="auto"/>
        <w:rPr>
          <w:rFonts w:ascii="仿宋_GB2312" w:eastAsia="仿宋_GB2312" w:hint="eastAsia"/>
          <w:sz w:val="32"/>
          <w:szCs w:val="32"/>
        </w:rPr>
      </w:pPr>
    </w:p>
    <w:p w:rsidR="003145F2" w:rsidRPr="0076526E" w:rsidRDefault="003145F2">
      <w:pPr>
        <w:rPr>
          <w:rFonts w:ascii="仿宋_GB2312" w:eastAsia="仿宋_GB2312" w:hint="eastAsia"/>
          <w:sz w:val="32"/>
          <w:szCs w:val="32"/>
        </w:rPr>
      </w:pPr>
    </w:p>
    <w:p w:rsidR="003145F2" w:rsidRPr="0076526E" w:rsidRDefault="003145F2" w:rsidP="0076526E">
      <w:pPr>
        <w:jc w:val="right"/>
        <w:rPr>
          <w:rFonts w:ascii="仿宋_GB2312" w:eastAsia="仿宋_GB2312" w:hint="eastAsia"/>
          <w:sz w:val="32"/>
          <w:szCs w:val="32"/>
        </w:rPr>
      </w:pPr>
      <w:r w:rsidRPr="0076526E">
        <w:rPr>
          <w:rFonts w:ascii="仿宋_GB2312" w:eastAsia="仿宋_GB2312" w:hint="eastAsia"/>
          <w:sz w:val="32"/>
          <w:szCs w:val="32"/>
        </w:rPr>
        <w:t>怀化市鹤城区住房和城乡建设局</w:t>
      </w:r>
    </w:p>
    <w:sectPr w:rsidR="003145F2" w:rsidRPr="0076526E" w:rsidSect="00203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21DA4"/>
    <w:multiLevelType w:val="hybridMultilevel"/>
    <w:tmpl w:val="B66270FC"/>
    <w:lvl w:ilvl="0" w:tplc="02200492">
      <w:start w:val="1"/>
      <w:numFmt w:val="japaneseCounting"/>
      <w:lvlText w:val="（%1）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>
    <w:nsid w:val="15A21F6C"/>
    <w:multiLevelType w:val="hybridMultilevel"/>
    <w:tmpl w:val="9E76A58A"/>
    <w:lvl w:ilvl="0" w:tplc="FD30AD2A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459A73FC"/>
    <w:multiLevelType w:val="hybridMultilevel"/>
    <w:tmpl w:val="C9EE4288"/>
    <w:lvl w:ilvl="0" w:tplc="BB424D5A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3">
    <w:nsid w:val="46556105"/>
    <w:multiLevelType w:val="multilevel"/>
    <w:tmpl w:val="38AC6680"/>
    <w:lvl w:ilvl="0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4">
    <w:nsid w:val="5A2927B9"/>
    <w:multiLevelType w:val="singleLevel"/>
    <w:tmpl w:val="5A2927B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5">
    <w:nsid w:val="5A292BC7"/>
    <w:multiLevelType w:val="singleLevel"/>
    <w:tmpl w:val="5A292BC7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6">
    <w:nsid w:val="5A292C95"/>
    <w:multiLevelType w:val="singleLevel"/>
    <w:tmpl w:val="5A292C95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7">
    <w:nsid w:val="5A292CF6"/>
    <w:multiLevelType w:val="singleLevel"/>
    <w:tmpl w:val="5A292CF6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8">
    <w:nsid w:val="5A292DF9"/>
    <w:multiLevelType w:val="singleLevel"/>
    <w:tmpl w:val="5A292DF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A292E32"/>
    <w:multiLevelType w:val="singleLevel"/>
    <w:tmpl w:val="5A292E32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0">
    <w:nsid w:val="5A2931D7"/>
    <w:multiLevelType w:val="singleLevel"/>
    <w:tmpl w:val="5A2931D7"/>
    <w:lvl w:ilvl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1">
    <w:nsid w:val="5A293377"/>
    <w:multiLevelType w:val="singleLevel"/>
    <w:tmpl w:val="5A293377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2">
    <w:nsid w:val="5A293510"/>
    <w:multiLevelType w:val="singleLevel"/>
    <w:tmpl w:val="C11AA096"/>
    <w:lvl w:ilvl="0">
      <w:start w:val="1"/>
      <w:numFmt w:val="decimal"/>
      <w:suff w:val="nothing"/>
      <w:lvlText w:val="%1、"/>
      <w:lvlJc w:val="left"/>
      <w:rPr>
        <w:rFonts w:ascii="仿宋_GB2312" w:eastAsia="仿宋_GB2312" w:hAnsi="Calibri" w:cs="Times New Roman"/>
      </w:rPr>
    </w:lvl>
  </w:abstractNum>
  <w:abstractNum w:abstractNumId="13">
    <w:nsid w:val="64D92D98"/>
    <w:multiLevelType w:val="hybridMultilevel"/>
    <w:tmpl w:val="38AC6680"/>
    <w:lvl w:ilvl="0" w:tplc="092C2F0C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2"/>
  </w:num>
  <w:num w:numId="11">
    <w:abstractNumId w:val="13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28D708D"/>
    <w:rsid w:val="000A3634"/>
    <w:rsid w:val="000C5915"/>
    <w:rsid w:val="00203B97"/>
    <w:rsid w:val="00214B13"/>
    <w:rsid w:val="002B29FD"/>
    <w:rsid w:val="002F5EDC"/>
    <w:rsid w:val="003145F2"/>
    <w:rsid w:val="003818D6"/>
    <w:rsid w:val="00395270"/>
    <w:rsid w:val="003D1EC2"/>
    <w:rsid w:val="003F2792"/>
    <w:rsid w:val="004120C7"/>
    <w:rsid w:val="00584BE2"/>
    <w:rsid w:val="006B25CA"/>
    <w:rsid w:val="006D47FC"/>
    <w:rsid w:val="0073265C"/>
    <w:rsid w:val="0076526E"/>
    <w:rsid w:val="00787BE0"/>
    <w:rsid w:val="008C3F57"/>
    <w:rsid w:val="00A301B8"/>
    <w:rsid w:val="00A37A4F"/>
    <w:rsid w:val="00AD436B"/>
    <w:rsid w:val="00BB3DB7"/>
    <w:rsid w:val="00C677E3"/>
    <w:rsid w:val="00CB1BF3"/>
    <w:rsid w:val="00CE02C5"/>
    <w:rsid w:val="00CE47D6"/>
    <w:rsid w:val="00D1350A"/>
    <w:rsid w:val="00D72121"/>
    <w:rsid w:val="00D77D28"/>
    <w:rsid w:val="00DA795D"/>
    <w:rsid w:val="00E3090B"/>
    <w:rsid w:val="00F271D2"/>
    <w:rsid w:val="00FF13A6"/>
    <w:rsid w:val="309546D3"/>
    <w:rsid w:val="528D708D"/>
    <w:rsid w:val="5491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8</cp:revision>
  <dcterms:created xsi:type="dcterms:W3CDTF">2017-12-07T11:32:00Z</dcterms:created>
  <dcterms:modified xsi:type="dcterms:W3CDTF">2019-10-28T06:01:00Z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