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b/>
          <w:bCs/>
          <w:sz w:val="44"/>
          <w:szCs w:val="44"/>
          <w:lang w:val="en-US" w:eastAsia="zh-CN"/>
        </w:rPr>
      </w:pPr>
      <w:bookmarkStart w:id="0" w:name="_GoBack"/>
      <w:r>
        <w:rPr>
          <w:rFonts w:hint="eastAsia" w:ascii="黑体" w:hAnsi="黑体" w:eastAsia="黑体" w:cs="黑体"/>
          <w:b/>
          <w:bCs/>
          <w:sz w:val="44"/>
          <w:szCs w:val="44"/>
        </w:rPr>
        <w:t>怀化市鹤城区</w:t>
      </w:r>
      <w:r>
        <w:rPr>
          <w:rFonts w:hint="eastAsia" w:ascii="黑体" w:hAnsi="黑体" w:eastAsia="黑体" w:cs="黑体"/>
          <w:b/>
          <w:bCs/>
          <w:sz w:val="44"/>
          <w:szCs w:val="44"/>
          <w:lang w:val="en-US" w:eastAsia="zh-CN"/>
        </w:rPr>
        <w:t>委组织部</w:t>
      </w:r>
    </w:p>
    <w:p>
      <w:pPr>
        <w:bidi w:val="0"/>
        <w:jc w:val="center"/>
        <w:rPr>
          <w:rFonts w:hint="eastAsia" w:ascii="黑体" w:hAnsi="黑体" w:eastAsia="黑体" w:cs="黑体"/>
          <w:b/>
          <w:bCs/>
          <w:sz w:val="44"/>
          <w:szCs w:val="44"/>
        </w:rPr>
      </w:pPr>
      <w:r>
        <w:rPr>
          <w:rFonts w:hint="eastAsia" w:ascii="黑体" w:hAnsi="黑体" w:eastAsia="黑体" w:cs="黑体"/>
          <w:b/>
          <w:bCs/>
          <w:sz w:val="44"/>
          <w:szCs w:val="44"/>
        </w:rPr>
        <w:t>2018年部门整体绩效目标指标评价报告</w:t>
      </w:r>
    </w:p>
    <w:bookmarkEnd w:id="0"/>
    <w:p>
      <w:pPr>
        <w:spacing w:line="600" w:lineRule="exact"/>
        <w:rPr>
          <w:rFonts w:hint="eastAsia" w:ascii="仿宋" w:hAnsi="仿宋" w:eastAsia="仿宋"/>
          <w:sz w:val="30"/>
          <w:szCs w:val="30"/>
        </w:rPr>
      </w:pP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为深入贯彻落实新《预算法》中关于“各级政府、各部门、各单位应当对预算支出情况开展绩效评价”的规定及《湖南省人民政府关于全面实施预算绩效管理的意见》（湘办发[2019]10号）等文件精神，按照鹤财绩[2019]42号通知要求，我部高度重视，认真组织开展本单位整体支出绩效评价工作。现自评如下：</w:t>
      </w:r>
    </w:p>
    <w:p>
      <w:pPr>
        <w:numPr>
          <w:ilvl w:val="0"/>
          <w:numId w:val="1"/>
        </w:numPr>
        <w:spacing w:line="500" w:lineRule="exact"/>
        <w:jc w:val="left"/>
        <w:outlineLvl w:val="0"/>
        <w:rPr>
          <w:rFonts w:hint="eastAsia" w:ascii="仿宋" w:hAnsi="仿宋" w:eastAsia="仿宋"/>
          <w:b/>
          <w:sz w:val="32"/>
          <w:szCs w:val="32"/>
        </w:rPr>
      </w:pPr>
      <w:r>
        <w:rPr>
          <w:rFonts w:hint="eastAsia" w:ascii="仿宋" w:hAnsi="仿宋" w:eastAsia="仿宋"/>
          <w:b/>
          <w:sz w:val="32"/>
          <w:szCs w:val="32"/>
        </w:rPr>
        <w:t>部门职能职责：</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怀化市鹤城区</w:t>
      </w:r>
      <w:r>
        <w:rPr>
          <w:rFonts w:hint="eastAsia" w:ascii="仿宋" w:hAnsi="仿宋" w:eastAsia="仿宋"/>
          <w:sz w:val="32"/>
          <w:szCs w:val="32"/>
          <w:lang w:val="en-US" w:eastAsia="zh-CN"/>
        </w:rPr>
        <w:t>委组织部</w:t>
      </w:r>
      <w:r>
        <w:rPr>
          <w:rFonts w:hint="eastAsia" w:ascii="仿宋" w:hAnsi="仿宋" w:eastAsia="仿宋"/>
          <w:sz w:val="32"/>
          <w:szCs w:val="32"/>
        </w:rPr>
        <w:t>成立于</w:t>
      </w:r>
      <w:r>
        <w:rPr>
          <w:rFonts w:hint="eastAsia" w:ascii="仿宋" w:hAnsi="仿宋" w:eastAsia="仿宋"/>
          <w:sz w:val="32"/>
          <w:szCs w:val="32"/>
          <w:lang w:val="en-US" w:eastAsia="zh-CN"/>
        </w:rPr>
        <w:t>1998</w:t>
      </w:r>
      <w:r>
        <w:rPr>
          <w:rFonts w:hint="eastAsia" w:ascii="仿宋" w:hAnsi="仿宋" w:eastAsia="仿宋"/>
          <w:sz w:val="32"/>
          <w:szCs w:val="32"/>
        </w:rPr>
        <w:t>年，主要工作职责:负责研究和指导党组织建设，负责提出领导班子调整、配备的意见建议，研究制订全区组织管理信息系统建设规划，负责干部监督工作的宏观指导，制订干部教育工作规划等。</w:t>
      </w:r>
    </w:p>
    <w:p>
      <w:pPr>
        <w:spacing w:line="600" w:lineRule="exact"/>
        <w:ind w:firstLine="643" w:firstLineChars="200"/>
        <w:rPr>
          <w:rFonts w:hint="eastAsia" w:ascii="仿宋" w:hAnsi="仿宋" w:eastAsia="仿宋"/>
          <w:b/>
          <w:bCs/>
          <w:sz w:val="32"/>
          <w:szCs w:val="32"/>
        </w:rPr>
      </w:pPr>
      <w:r>
        <w:rPr>
          <w:rFonts w:hint="eastAsia" w:ascii="仿宋" w:hAnsi="仿宋" w:eastAsia="仿宋"/>
          <w:b/>
          <w:bCs/>
          <w:sz w:val="32"/>
          <w:szCs w:val="32"/>
          <w:lang w:val="en-US" w:eastAsia="zh-CN"/>
        </w:rPr>
        <w:t>二、</w:t>
      </w:r>
      <w:r>
        <w:rPr>
          <w:rFonts w:hint="eastAsia" w:ascii="仿宋" w:hAnsi="仿宋" w:eastAsia="仿宋"/>
          <w:b/>
          <w:bCs/>
          <w:sz w:val="32"/>
          <w:szCs w:val="32"/>
        </w:rPr>
        <w:t>部门基本概况：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201</w:t>
      </w:r>
      <w:r>
        <w:rPr>
          <w:rFonts w:hint="default" w:ascii="仿宋" w:hAnsi="仿宋" w:eastAsia="仿宋"/>
          <w:sz w:val="32"/>
          <w:szCs w:val="32"/>
          <w:lang w:val="en-US"/>
        </w:rPr>
        <w:t>8</w:t>
      </w:r>
      <w:r>
        <w:rPr>
          <w:rFonts w:hint="eastAsia" w:ascii="仿宋" w:hAnsi="仿宋" w:eastAsia="仿宋"/>
          <w:sz w:val="32"/>
          <w:szCs w:val="32"/>
        </w:rPr>
        <w:t>年部门预算编报范围包括</w:t>
      </w:r>
      <w:r>
        <w:rPr>
          <w:rFonts w:hint="eastAsia" w:ascii="仿宋" w:hAnsi="仿宋" w:eastAsia="仿宋"/>
          <w:sz w:val="32"/>
          <w:szCs w:val="32"/>
          <w:lang w:val="en-US" w:eastAsia="zh-CN"/>
        </w:rPr>
        <w:t>非公和社会组织工委、党员远程教育中心</w:t>
      </w:r>
      <w:r>
        <w:rPr>
          <w:rFonts w:hint="eastAsia" w:ascii="仿宋" w:hAnsi="仿宋" w:eastAsia="仿宋"/>
          <w:sz w:val="32"/>
          <w:szCs w:val="32"/>
        </w:rPr>
        <w:t>等机构。单位有编制数</w:t>
      </w:r>
      <w:r>
        <w:rPr>
          <w:rFonts w:hint="eastAsia" w:ascii="仿宋" w:hAnsi="仿宋" w:eastAsia="仿宋"/>
          <w:sz w:val="32"/>
          <w:szCs w:val="32"/>
          <w:lang w:val="en-US" w:eastAsia="zh-CN"/>
        </w:rPr>
        <w:t>33人，</w:t>
      </w:r>
      <w:r>
        <w:rPr>
          <w:rFonts w:hint="eastAsia" w:ascii="仿宋" w:hAnsi="仿宋" w:eastAsia="仿宋"/>
          <w:sz w:val="32"/>
          <w:szCs w:val="32"/>
        </w:rPr>
        <w:t>在编</w:t>
      </w:r>
      <w:r>
        <w:rPr>
          <w:rFonts w:hint="default" w:ascii="仿宋" w:hAnsi="仿宋" w:eastAsia="仿宋"/>
          <w:sz w:val="32"/>
          <w:szCs w:val="32"/>
          <w:lang w:val="en-US"/>
        </w:rPr>
        <w:t>2</w:t>
      </w:r>
      <w:r>
        <w:rPr>
          <w:rFonts w:hint="eastAsia" w:ascii="仿宋" w:hAnsi="仿宋" w:eastAsia="仿宋"/>
          <w:sz w:val="32"/>
          <w:szCs w:val="32"/>
          <w:lang w:val="en-US" w:eastAsia="zh-CN"/>
        </w:rPr>
        <w:t>7</w:t>
      </w:r>
      <w:r>
        <w:rPr>
          <w:rFonts w:hint="eastAsia" w:ascii="仿宋" w:hAnsi="仿宋" w:eastAsia="仿宋"/>
          <w:sz w:val="32"/>
          <w:szCs w:val="32"/>
        </w:rPr>
        <w:t>人，领导班子成员</w:t>
      </w:r>
      <w:r>
        <w:rPr>
          <w:rFonts w:hint="default" w:ascii="仿宋" w:hAnsi="仿宋" w:eastAsia="仿宋"/>
          <w:sz w:val="32"/>
          <w:szCs w:val="32"/>
          <w:lang w:val="en-US"/>
        </w:rPr>
        <w:t>4</w:t>
      </w:r>
      <w:r>
        <w:rPr>
          <w:rFonts w:hint="eastAsia" w:ascii="仿宋" w:hAnsi="仿宋" w:eastAsia="仿宋"/>
          <w:sz w:val="32"/>
          <w:szCs w:val="32"/>
        </w:rPr>
        <w:t>人，共有干部职工</w:t>
      </w:r>
      <w:r>
        <w:rPr>
          <w:rFonts w:hint="default" w:ascii="仿宋" w:hAnsi="仿宋" w:eastAsia="仿宋"/>
          <w:sz w:val="32"/>
          <w:szCs w:val="32"/>
          <w:lang w:val="en-US"/>
        </w:rPr>
        <w:t>3</w:t>
      </w:r>
      <w:r>
        <w:rPr>
          <w:rFonts w:hint="eastAsia" w:ascii="仿宋" w:hAnsi="仿宋" w:eastAsia="仿宋"/>
          <w:sz w:val="32"/>
          <w:szCs w:val="32"/>
          <w:lang w:val="en-US" w:eastAsia="zh-CN"/>
        </w:rPr>
        <w:t>7</w:t>
      </w:r>
      <w:r>
        <w:rPr>
          <w:rFonts w:hint="eastAsia" w:ascii="仿宋" w:hAnsi="仿宋" w:eastAsia="仿宋"/>
          <w:sz w:val="32"/>
          <w:szCs w:val="32"/>
        </w:rPr>
        <w:t>人，其中在职</w:t>
      </w:r>
      <w:r>
        <w:rPr>
          <w:rFonts w:hint="default" w:ascii="仿宋" w:hAnsi="仿宋" w:eastAsia="仿宋"/>
          <w:sz w:val="32"/>
          <w:szCs w:val="32"/>
          <w:lang w:val="en-US"/>
        </w:rPr>
        <w:t>2</w:t>
      </w:r>
      <w:r>
        <w:rPr>
          <w:rFonts w:hint="eastAsia" w:ascii="仿宋" w:hAnsi="仿宋" w:eastAsia="仿宋"/>
          <w:sz w:val="32"/>
          <w:szCs w:val="32"/>
          <w:lang w:val="en-US" w:eastAsia="zh-CN"/>
        </w:rPr>
        <w:t>7</w:t>
      </w:r>
      <w:r>
        <w:rPr>
          <w:rFonts w:hint="eastAsia" w:ascii="仿宋" w:hAnsi="仿宋" w:eastAsia="仿宋"/>
          <w:sz w:val="32"/>
          <w:szCs w:val="32"/>
        </w:rPr>
        <w:t>人（自收自支</w:t>
      </w:r>
      <w:r>
        <w:rPr>
          <w:rFonts w:hint="default" w:ascii="仿宋" w:hAnsi="仿宋" w:eastAsia="仿宋"/>
          <w:sz w:val="32"/>
          <w:szCs w:val="32"/>
          <w:lang w:val="en-US"/>
        </w:rPr>
        <w:t>0</w:t>
      </w:r>
      <w:r>
        <w:rPr>
          <w:rFonts w:hint="eastAsia" w:ascii="仿宋" w:hAnsi="仿宋" w:eastAsia="仿宋"/>
          <w:sz w:val="32"/>
          <w:szCs w:val="32"/>
        </w:rPr>
        <w:t>人）、离退休</w:t>
      </w:r>
      <w:r>
        <w:rPr>
          <w:rFonts w:hint="default" w:ascii="仿宋" w:hAnsi="仿宋" w:eastAsia="仿宋"/>
          <w:sz w:val="32"/>
          <w:szCs w:val="32"/>
          <w:lang w:val="en-US"/>
        </w:rPr>
        <w:t>10</w:t>
      </w:r>
      <w:r>
        <w:rPr>
          <w:rFonts w:hint="eastAsia" w:ascii="仿宋" w:hAnsi="仿宋" w:eastAsia="仿宋"/>
          <w:sz w:val="32"/>
          <w:szCs w:val="32"/>
        </w:rPr>
        <w:t>人。党总支下</w:t>
      </w:r>
      <w:r>
        <w:rPr>
          <w:rFonts w:hint="eastAsia" w:ascii="仿宋" w:hAnsi="仿宋" w:eastAsia="仿宋"/>
          <w:sz w:val="32"/>
          <w:szCs w:val="32"/>
          <w:lang w:val="en-US" w:eastAsia="zh-CN"/>
        </w:rPr>
        <w:t>设机关、老干</w:t>
      </w:r>
      <w:r>
        <w:rPr>
          <w:rFonts w:hint="eastAsia" w:ascii="仿宋" w:hAnsi="仿宋" w:eastAsia="仿宋"/>
          <w:sz w:val="32"/>
          <w:szCs w:val="32"/>
        </w:rPr>
        <w:t>等党支部，共有党员</w:t>
      </w:r>
      <w:r>
        <w:rPr>
          <w:rFonts w:hint="default" w:ascii="仿宋" w:hAnsi="仿宋" w:eastAsia="仿宋"/>
          <w:sz w:val="32"/>
          <w:szCs w:val="32"/>
          <w:lang w:val="en-US"/>
        </w:rPr>
        <w:t>36</w:t>
      </w:r>
      <w:r>
        <w:rPr>
          <w:rFonts w:hint="eastAsia" w:ascii="仿宋" w:hAnsi="仿宋" w:eastAsia="仿宋"/>
          <w:sz w:val="32"/>
          <w:szCs w:val="32"/>
        </w:rPr>
        <w:t>人。</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rPr>
        <w:t>（一）收入预算：</w:t>
      </w:r>
      <w:r>
        <w:rPr>
          <w:rFonts w:hint="eastAsia" w:ascii="仿宋" w:hAnsi="仿宋" w:eastAsia="仿宋"/>
          <w:sz w:val="32"/>
          <w:szCs w:val="32"/>
        </w:rPr>
        <w:t>2018年预算总收入664.93万元，其中，经费拨款664.93万元，上级补助收入</w:t>
      </w:r>
      <w:r>
        <w:rPr>
          <w:rFonts w:hint="eastAsia" w:ascii="仿宋" w:hAnsi="仿宋" w:eastAsia="仿宋"/>
          <w:sz w:val="32"/>
          <w:szCs w:val="32"/>
          <w:lang w:val="en-US" w:eastAsia="zh-CN"/>
        </w:rPr>
        <w:t>0</w:t>
      </w:r>
      <w:r>
        <w:rPr>
          <w:rFonts w:hint="eastAsia" w:ascii="仿宋" w:hAnsi="仿宋" w:eastAsia="仿宋"/>
          <w:sz w:val="32"/>
          <w:szCs w:val="32"/>
        </w:rPr>
        <w:t>万元，非税收入</w:t>
      </w:r>
      <w:r>
        <w:rPr>
          <w:rFonts w:hint="eastAsia" w:ascii="仿宋" w:hAnsi="仿宋" w:eastAsia="仿宋"/>
          <w:sz w:val="32"/>
          <w:szCs w:val="32"/>
          <w:lang w:val="en-US" w:eastAsia="zh-CN"/>
        </w:rPr>
        <w:t>0</w:t>
      </w:r>
      <w:r>
        <w:rPr>
          <w:rFonts w:hint="eastAsia" w:ascii="仿宋" w:hAnsi="仿宋" w:eastAsia="仿宋"/>
          <w:sz w:val="32"/>
          <w:szCs w:val="32"/>
        </w:rPr>
        <w:t>万元。</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rPr>
        <w:t>（二）支出预算：</w:t>
      </w:r>
      <w:r>
        <w:rPr>
          <w:rFonts w:hint="eastAsia" w:ascii="仿宋" w:hAnsi="仿宋" w:eastAsia="仿宋"/>
          <w:sz w:val="32"/>
          <w:szCs w:val="32"/>
        </w:rPr>
        <w:t>2018年预算总支出664.93万元，其中，1、基本支出</w:t>
      </w:r>
      <w:r>
        <w:rPr>
          <w:rFonts w:hint="eastAsia" w:ascii="仿宋" w:hAnsi="仿宋" w:eastAsia="仿宋"/>
          <w:sz w:val="32"/>
          <w:szCs w:val="32"/>
          <w:lang w:val="en-US" w:eastAsia="zh-CN"/>
        </w:rPr>
        <w:t>338.49</w:t>
      </w:r>
      <w:r>
        <w:rPr>
          <w:rFonts w:hint="eastAsia" w:ascii="仿宋" w:hAnsi="仿宋" w:eastAsia="仿宋"/>
          <w:sz w:val="32"/>
          <w:szCs w:val="32"/>
        </w:rPr>
        <w:t>万元（人员支出</w:t>
      </w:r>
      <w:r>
        <w:rPr>
          <w:rFonts w:hint="eastAsia" w:ascii="仿宋" w:hAnsi="仿宋" w:eastAsia="仿宋"/>
          <w:sz w:val="32"/>
          <w:szCs w:val="32"/>
          <w:lang w:val="en-US" w:eastAsia="zh-CN"/>
        </w:rPr>
        <w:t>197.18</w:t>
      </w:r>
      <w:r>
        <w:rPr>
          <w:rFonts w:hint="eastAsia" w:ascii="仿宋" w:hAnsi="仿宋" w:eastAsia="仿宋"/>
          <w:sz w:val="32"/>
          <w:szCs w:val="32"/>
        </w:rPr>
        <w:t>万元，公用经费支出141.31万元）；2、项目支出326.44万元（基本建设项目支出</w:t>
      </w:r>
      <w:r>
        <w:rPr>
          <w:rFonts w:hint="eastAsia" w:ascii="仿宋" w:hAnsi="仿宋" w:eastAsia="仿宋"/>
          <w:sz w:val="32"/>
          <w:szCs w:val="32"/>
          <w:lang w:val="en-US" w:eastAsia="zh-CN"/>
        </w:rPr>
        <w:t>0</w:t>
      </w:r>
      <w:r>
        <w:rPr>
          <w:rFonts w:hint="eastAsia" w:ascii="仿宋" w:hAnsi="仿宋" w:eastAsia="仿宋"/>
          <w:sz w:val="32"/>
          <w:szCs w:val="32"/>
        </w:rPr>
        <w:t>万元，专项业务费支出326.44万元）。</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rPr>
        <w:t>（三）“三公”经费增减情况</w:t>
      </w:r>
      <w:r>
        <w:rPr>
          <w:rFonts w:hint="eastAsia" w:ascii="仿宋" w:hAnsi="仿宋" w:eastAsia="仿宋"/>
          <w:b/>
          <w:bCs/>
          <w:sz w:val="32"/>
          <w:szCs w:val="32"/>
          <w:lang w:eastAsia="zh-CN"/>
        </w:rPr>
        <w:t>：</w:t>
      </w:r>
      <w:r>
        <w:rPr>
          <w:rFonts w:hint="eastAsia" w:ascii="仿宋" w:hAnsi="仿宋" w:eastAsia="仿宋"/>
          <w:sz w:val="32"/>
          <w:szCs w:val="32"/>
        </w:rPr>
        <w:t>我</w:t>
      </w:r>
      <w:r>
        <w:rPr>
          <w:rFonts w:hint="eastAsia" w:ascii="仿宋" w:hAnsi="仿宋" w:eastAsia="仿宋"/>
          <w:sz w:val="32"/>
          <w:szCs w:val="32"/>
          <w:lang w:val="en-US" w:eastAsia="zh-CN"/>
        </w:rPr>
        <w:t>部</w:t>
      </w:r>
      <w:r>
        <w:rPr>
          <w:rFonts w:hint="eastAsia" w:ascii="仿宋" w:hAnsi="仿宋" w:eastAsia="仿宋"/>
          <w:sz w:val="32"/>
          <w:szCs w:val="32"/>
        </w:rPr>
        <w:t>2017年度“三公”经费标准为</w:t>
      </w:r>
      <w:r>
        <w:rPr>
          <w:rFonts w:hint="eastAsia" w:ascii="仿宋" w:hAnsi="仿宋" w:eastAsia="仿宋"/>
          <w:sz w:val="32"/>
          <w:szCs w:val="32"/>
          <w:lang w:val="en-US" w:eastAsia="zh-CN"/>
        </w:rPr>
        <w:t>32.3</w:t>
      </w:r>
      <w:r>
        <w:rPr>
          <w:rFonts w:hint="eastAsia" w:ascii="仿宋" w:hAnsi="仿宋" w:eastAsia="仿宋"/>
          <w:sz w:val="32"/>
          <w:szCs w:val="32"/>
        </w:rPr>
        <w:t>万元，2018年核定标准为</w:t>
      </w:r>
      <w:r>
        <w:rPr>
          <w:rFonts w:hint="eastAsia" w:ascii="仿宋" w:hAnsi="仿宋" w:eastAsia="仿宋"/>
          <w:sz w:val="32"/>
          <w:szCs w:val="32"/>
          <w:lang w:val="en-US" w:eastAsia="zh-CN"/>
        </w:rPr>
        <w:t>29.07</w:t>
      </w:r>
      <w:r>
        <w:rPr>
          <w:rFonts w:hint="eastAsia" w:ascii="仿宋" w:hAnsi="仿宋" w:eastAsia="仿宋"/>
          <w:sz w:val="32"/>
          <w:szCs w:val="32"/>
        </w:rPr>
        <w:t>万元，核减</w:t>
      </w:r>
      <w:r>
        <w:rPr>
          <w:rFonts w:hint="eastAsia" w:ascii="仿宋" w:hAnsi="仿宋" w:eastAsia="仿宋"/>
          <w:sz w:val="32"/>
          <w:szCs w:val="32"/>
          <w:lang w:val="en-US" w:eastAsia="zh-CN"/>
        </w:rPr>
        <w:t>3.23</w:t>
      </w:r>
      <w:r>
        <w:rPr>
          <w:rFonts w:hint="eastAsia" w:ascii="仿宋" w:hAnsi="仿宋" w:eastAsia="仿宋"/>
          <w:sz w:val="32"/>
          <w:szCs w:val="32"/>
        </w:rPr>
        <w:t>万元，下浮</w:t>
      </w:r>
      <w:r>
        <w:rPr>
          <w:rFonts w:hint="eastAsia" w:ascii="仿宋" w:hAnsi="仿宋" w:eastAsia="仿宋"/>
          <w:sz w:val="32"/>
          <w:szCs w:val="32"/>
          <w:lang w:val="en-US" w:eastAsia="zh-CN"/>
        </w:rPr>
        <w:t>10</w:t>
      </w:r>
      <w:r>
        <w:rPr>
          <w:rFonts w:hint="eastAsia" w:ascii="仿宋" w:hAnsi="仿宋" w:eastAsia="仿宋"/>
          <w:sz w:val="32"/>
          <w:szCs w:val="32"/>
        </w:rPr>
        <w:t>%，“三公”经费控制率</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rPr>
        <w:t>（四）政府采购执行情况</w:t>
      </w:r>
      <w:r>
        <w:rPr>
          <w:rFonts w:hint="eastAsia" w:ascii="仿宋" w:hAnsi="仿宋" w:eastAsia="仿宋"/>
          <w:b/>
          <w:bCs/>
          <w:sz w:val="32"/>
          <w:szCs w:val="32"/>
          <w:lang w:eastAsia="zh-CN"/>
        </w:rPr>
        <w:t>：</w:t>
      </w:r>
      <w:r>
        <w:rPr>
          <w:rFonts w:hint="eastAsia" w:ascii="仿宋" w:hAnsi="仿宋" w:eastAsia="仿宋"/>
          <w:sz w:val="32"/>
          <w:szCs w:val="32"/>
        </w:rPr>
        <w:t>2018年我局政府采购预算为</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0</w:t>
      </w:r>
      <w:r>
        <w:rPr>
          <w:rFonts w:hint="eastAsia" w:ascii="仿宋" w:hAnsi="仿宋" w:eastAsia="仿宋"/>
          <w:sz w:val="32"/>
          <w:szCs w:val="32"/>
        </w:rPr>
        <w:t>万元属于办公设备购置；</w:t>
      </w:r>
      <w:r>
        <w:rPr>
          <w:rFonts w:hint="eastAsia" w:ascii="仿宋" w:hAnsi="仿宋" w:eastAsia="仿宋"/>
          <w:sz w:val="32"/>
          <w:szCs w:val="32"/>
          <w:lang w:val="en-US" w:eastAsia="zh-CN"/>
        </w:rPr>
        <w:t>0</w:t>
      </w:r>
      <w:r>
        <w:rPr>
          <w:rFonts w:hint="eastAsia" w:ascii="仿宋" w:hAnsi="仿宋" w:eastAsia="仿宋"/>
          <w:sz w:val="32"/>
          <w:szCs w:val="32"/>
        </w:rPr>
        <w:t>万元用于采购，政府采购执行率</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rPr>
        <w:t>三、财务管理及内控建设</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2018年是内部控制制度全面进入正常运转之年，我单位以建促控，在预算、收支、资产、政府采购、合同管理等制度方面取得</w:t>
      </w:r>
      <w:r>
        <w:rPr>
          <w:rFonts w:hint="eastAsia" w:ascii="仿宋" w:hAnsi="仿宋" w:eastAsia="仿宋"/>
          <w:sz w:val="32"/>
          <w:szCs w:val="32"/>
          <w:lang w:val="en-US" w:eastAsia="zh-CN"/>
        </w:rPr>
        <w:t>一定</w:t>
      </w:r>
      <w:r>
        <w:rPr>
          <w:rFonts w:hint="eastAsia" w:ascii="仿宋" w:hAnsi="仿宋" w:eastAsia="仿宋"/>
          <w:sz w:val="32"/>
          <w:szCs w:val="32"/>
        </w:rPr>
        <w:t>的成效。</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一是夯实基础，有效控制预算执行审核监督风险，二是严格把关，有效控制监督检查风险。按照经费明细管理办法审核了2017-2018年各项支出的原始凭证合法性、合规性。</w:t>
      </w:r>
    </w:p>
    <w:p>
      <w:pPr>
        <w:spacing w:line="600" w:lineRule="exact"/>
        <w:rPr>
          <w:rFonts w:hint="eastAsia" w:ascii="仿宋" w:hAnsi="仿宋" w:eastAsia="仿宋"/>
          <w:sz w:val="32"/>
          <w:szCs w:val="32"/>
        </w:rPr>
      </w:pPr>
      <w:r>
        <w:rPr>
          <w:rFonts w:hint="eastAsia" w:ascii="仿宋" w:hAnsi="仿宋" w:eastAsia="仿宋"/>
          <w:sz w:val="32"/>
          <w:szCs w:val="32"/>
        </w:rPr>
        <w:t>三是规范程序，有效控制流程运行风险。严格执行授权审批制度，按照授权审批程序逐级审批。四是政务公开，有效控制管理风险。在工作中坚持权利制衡，严格按照“三重一大”集体决策机制，大额资金支付、重要事项、重大决策等全部由部务会通过。</w:t>
      </w:r>
    </w:p>
    <w:p>
      <w:pPr>
        <w:spacing w:line="600" w:lineRule="exact"/>
        <w:ind w:firstLine="643" w:firstLineChars="200"/>
        <w:rPr>
          <w:rFonts w:hint="eastAsia" w:ascii="仿宋" w:hAnsi="仿宋" w:eastAsia="仿宋"/>
          <w:b/>
          <w:bCs/>
          <w:sz w:val="32"/>
          <w:szCs w:val="32"/>
        </w:rPr>
      </w:pPr>
      <w:r>
        <w:rPr>
          <w:rFonts w:hint="eastAsia" w:ascii="仿宋" w:hAnsi="仿宋" w:eastAsia="仿宋"/>
          <w:b/>
          <w:bCs/>
          <w:sz w:val="32"/>
          <w:szCs w:val="32"/>
        </w:rPr>
        <w:t>四、绩效目标完成情况</w:t>
      </w:r>
    </w:p>
    <w:p>
      <w:pPr>
        <w:spacing w:line="600" w:lineRule="exact"/>
        <w:ind w:firstLine="643" w:firstLineChars="200"/>
        <w:rPr>
          <w:rFonts w:hint="eastAsia" w:ascii="仿宋" w:hAnsi="仿宋" w:eastAsia="仿宋"/>
          <w:sz w:val="32"/>
          <w:szCs w:val="32"/>
          <w:lang w:val="en-US" w:eastAsia="zh-CN"/>
        </w:rPr>
      </w:pPr>
      <w:r>
        <w:rPr>
          <w:rFonts w:hint="eastAsia" w:ascii="仿宋" w:hAnsi="仿宋" w:eastAsia="仿宋"/>
          <w:b/>
          <w:bCs/>
          <w:sz w:val="32"/>
          <w:szCs w:val="32"/>
        </w:rPr>
        <w:t>（一）</w:t>
      </w:r>
      <w:r>
        <w:rPr>
          <w:rFonts w:hint="eastAsia" w:ascii="仿宋" w:hAnsi="仿宋" w:eastAsia="仿宋"/>
          <w:b/>
          <w:bCs/>
          <w:sz w:val="32"/>
          <w:szCs w:val="32"/>
          <w:lang w:val="en-US" w:eastAsia="zh-CN"/>
        </w:rPr>
        <w:t>收入决算：</w:t>
      </w:r>
      <w:r>
        <w:rPr>
          <w:rFonts w:hint="eastAsia" w:ascii="仿宋" w:hAnsi="仿宋" w:eastAsia="仿宋"/>
          <w:sz w:val="32"/>
          <w:szCs w:val="32"/>
        </w:rPr>
        <w:t>2018年部门决算收入539.73万元，其中财政拨款539.73万元，占100%，上级补助收入0万元，事业收入0万元，其他收入0万元。上年结转0.02万元。</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lang w:val="en-US" w:eastAsia="zh-CN"/>
        </w:rPr>
        <w:t>（二）支出决算：</w:t>
      </w:r>
      <w:r>
        <w:rPr>
          <w:rFonts w:hint="eastAsia" w:ascii="仿宋" w:hAnsi="仿宋" w:eastAsia="仿宋"/>
          <w:sz w:val="32"/>
          <w:szCs w:val="32"/>
        </w:rPr>
        <w:t>2018年部门决算支出537.52万元，其中基本支出537.52万元，占100%，项目支出0万元。公用经费202.58万元，其中办公经费支出35.44万元</w:t>
      </w:r>
      <w:r>
        <w:rPr>
          <w:rFonts w:hint="eastAsia" w:ascii="仿宋" w:hAnsi="仿宋" w:eastAsia="仿宋"/>
          <w:sz w:val="32"/>
          <w:szCs w:val="32"/>
          <w:lang w:eastAsia="zh-CN"/>
        </w:rPr>
        <w:t>，</w:t>
      </w:r>
      <w:r>
        <w:rPr>
          <w:rFonts w:hint="eastAsia" w:ascii="仿宋" w:hAnsi="仿宋" w:eastAsia="仿宋"/>
          <w:sz w:val="32"/>
          <w:szCs w:val="32"/>
        </w:rPr>
        <w:t>差旅费支出11.48万元</w:t>
      </w:r>
      <w:r>
        <w:rPr>
          <w:rFonts w:hint="eastAsia" w:ascii="仿宋" w:hAnsi="仿宋" w:eastAsia="仿宋"/>
          <w:sz w:val="32"/>
          <w:szCs w:val="32"/>
          <w:lang w:eastAsia="zh-CN"/>
        </w:rPr>
        <w:t>，</w:t>
      </w:r>
      <w:r>
        <w:rPr>
          <w:rFonts w:hint="eastAsia" w:ascii="仿宋" w:hAnsi="仿宋" w:eastAsia="仿宋"/>
          <w:sz w:val="32"/>
          <w:szCs w:val="32"/>
        </w:rPr>
        <w:t>会议费培训费支出33.11万元。</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b/>
          <w:bCs/>
          <w:sz w:val="32"/>
          <w:szCs w:val="32"/>
        </w:rPr>
        <w:t>“三公”经费增减情况</w:t>
      </w:r>
      <w:r>
        <w:rPr>
          <w:rFonts w:hint="eastAsia" w:ascii="仿宋" w:hAnsi="仿宋" w:eastAsia="仿宋"/>
          <w:b/>
          <w:bCs/>
          <w:sz w:val="32"/>
          <w:szCs w:val="32"/>
          <w:lang w:eastAsia="zh-CN"/>
        </w:rPr>
        <w:t>：</w:t>
      </w:r>
      <w:r>
        <w:rPr>
          <w:rFonts w:hint="eastAsia" w:ascii="仿宋" w:hAnsi="仿宋" w:eastAsia="仿宋"/>
          <w:sz w:val="32"/>
          <w:szCs w:val="32"/>
        </w:rPr>
        <w:t>2018 年预算“三公”经费数为29.07万元，实际支出数0.44万元，较2017年支出4.35万元节约3.91万元。其中公务用车购置和维护经费0万元，公务接待节约3.91万元。</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由此认为，我部在提高认识，强化绩效管理、厉行节约等方面，做了大量工作，自评</w:t>
      </w:r>
      <w:r>
        <w:rPr>
          <w:rFonts w:hint="eastAsia" w:ascii="仿宋" w:hAnsi="仿宋" w:eastAsia="仿宋"/>
          <w:sz w:val="32"/>
          <w:szCs w:val="32"/>
          <w:lang w:val="en-US" w:eastAsia="zh-CN"/>
        </w:rPr>
        <w:t>分</w:t>
      </w:r>
      <w:r>
        <w:rPr>
          <w:rFonts w:hint="eastAsia" w:ascii="仿宋" w:hAnsi="仿宋" w:eastAsia="仿宋"/>
          <w:sz w:val="32"/>
          <w:szCs w:val="32"/>
        </w:rPr>
        <w:t>为</w:t>
      </w:r>
      <w:r>
        <w:rPr>
          <w:rFonts w:hint="eastAsia" w:ascii="仿宋" w:hAnsi="仿宋" w:eastAsia="仿宋"/>
          <w:sz w:val="32"/>
          <w:szCs w:val="32"/>
          <w:lang w:val="en-US" w:eastAsia="zh-CN"/>
        </w:rPr>
        <w:t>96</w:t>
      </w:r>
      <w:r>
        <w:rPr>
          <w:rFonts w:hint="eastAsia" w:ascii="仿宋" w:hAnsi="仿宋" w:eastAsia="仿宋"/>
          <w:sz w:val="32"/>
          <w:szCs w:val="32"/>
        </w:rPr>
        <w:t>分。</w:t>
      </w:r>
    </w:p>
    <w:p>
      <w:pPr>
        <w:spacing w:line="600" w:lineRule="exact"/>
        <w:ind w:firstLine="643" w:firstLineChars="200"/>
        <w:rPr>
          <w:rFonts w:hint="eastAsia" w:ascii="仿宋" w:hAnsi="仿宋" w:eastAsia="仿宋"/>
          <w:sz w:val="32"/>
          <w:szCs w:val="32"/>
        </w:rPr>
      </w:pPr>
      <w:r>
        <w:rPr>
          <w:rFonts w:hint="eastAsia" w:ascii="仿宋" w:hAnsi="仿宋" w:eastAsia="仿宋"/>
          <w:b/>
          <w:bCs/>
          <w:sz w:val="32"/>
          <w:szCs w:val="32"/>
          <w:lang w:val="en-US" w:eastAsia="zh-CN"/>
        </w:rPr>
        <w:t>五、</w:t>
      </w:r>
      <w:r>
        <w:rPr>
          <w:rFonts w:hint="eastAsia" w:ascii="仿宋" w:hAnsi="仿宋" w:eastAsia="仿宋"/>
          <w:b/>
          <w:bCs/>
          <w:sz w:val="32"/>
          <w:szCs w:val="32"/>
        </w:rPr>
        <w:t>存在的不足和建议</w:t>
      </w:r>
    </w:p>
    <w:p>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无。</w:t>
      </w:r>
    </w:p>
    <w:p>
      <w:pPr>
        <w:spacing w:line="600" w:lineRule="exact"/>
        <w:ind w:firstLine="640" w:firstLineChars="200"/>
        <w:rPr>
          <w:rFonts w:hint="eastAsia" w:ascii="仿宋" w:hAnsi="仿宋" w:eastAsia="仿宋"/>
          <w:sz w:val="32"/>
          <w:szCs w:val="32"/>
          <w:lang w:val="en-US" w:eastAsia="zh-CN"/>
        </w:rPr>
      </w:pPr>
    </w:p>
    <w:p>
      <w:pPr>
        <w:spacing w:line="600" w:lineRule="exact"/>
        <w:ind w:firstLine="640" w:firstLineChars="200"/>
        <w:rPr>
          <w:rFonts w:hint="eastAsia" w:ascii="仿宋" w:hAnsi="仿宋" w:eastAsia="仿宋"/>
          <w:sz w:val="32"/>
          <w:szCs w:val="32"/>
          <w:lang w:val="en-US" w:eastAsia="zh-CN"/>
        </w:rPr>
      </w:pPr>
    </w:p>
    <w:p>
      <w:pPr>
        <w:ind w:firstLine="4500" w:firstLineChars="1500"/>
        <w:rPr>
          <w:rFonts w:hint="eastAsia" w:ascii="仿宋" w:hAnsi="仿宋" w:eastAsia="仿宋"/>
          <w:sz w:val="30"/>
          <w:szCs w:val="30"/>
        </w:rPr>
      </w:pPr>
      <w:r>
        <w:rPr>
          <w:rFonts w:hint="eastAsia" w:ascii="仿宋" w:hAnsi="仿宋" w:eastAsia="仿宋"/>
          <w:sz w:val="30"/>
          <w:szCs w:val="30"/>
        </w:rPr>
        <w:t>中共怀化市鹤城区委组织部</w:t>
      </w:r>
    </w:p>
    <w:p>
      <w:pPr>
        <w:ind w:firstLine="5040" w:firstLineChars="1680"/>
        <w:rPr>
          <w:rFonts w:hint="eastAsia" w:ascii="仿宋" w:hAnsi="仿宋" w:eastAsia="仿宋"/>
          <w:sz w:val="30"/>
          <w:szCs w:val="30"/>
        </w:rPr>
      </w:pPr>
      <w:r>
        <w:rPr>
          <w:rFonts w:hint="eastAsia" w:ascii="仿宋" w:hAnsi="仿宋" w:eastAsia="仿宋"/>
          <w:sz w:val="30"/>
          <w:szCs w:val="30"/>
        </w:rPr>
        <w:t>2019年10月22日</w:t>
      </w:r>
    </w:p>
    <w:p>
      <w:pPr>
        <w:spacing w:line="600" w:lineRule="exact"/>
        <w:ind w:firstLine="640" w:firstLineChars="200"/>
        <w:rPr>
          <w:rFonts w:hint="eastAsia" w:ascii="仿宋" w:hAnsi="仿宋" w:eastAsia="仿宋"/>
          <w:sz w:val="32"/>
          <w:szCs w:val="32"/>
          <w:lang w:val="en-US" w:eastAsia="zh-CN"/>
        </w:rPr>
      </w:pPr>
    </w:p>
    <w:p>
      <w:pPr>
        <w:spacing w:line="600" w:lineRule="exact"/>
        <w:rPr>
          <w:rFonts w:hint="eastAsia" w:ascii="仿宋" w:hAnsi="仿宋" w:eastAsia="仿宋"/>
          <w:sz w:val="32"/>
          <w:szCs w:val="32"/>
          <w:lang w:val="en-US" w:eastAsia="zh-CN"/>
        </w:rPr>
      </w:pPr>
    </w:p>
    <w:p>
      <w:pPr>
        <w:spacing w:line="600" w:lineRule="exact"/>
        <w:ind w:firstLine="640" w:firstLineChars="200"/>
        <w:rPr>
          <w:rFonts w:hint="eastAsia" w:ascii="仿宋" w:hAnsi="仿宋" w:eastAsia="仿宋"/>
          <w:sz w:val="32"/>
          <w:szCs w:val="32"/>
          <w:lang w:val="en-US" w:eastAsia="zh-CN"/>
        </w:rPr>
      </w:pPr>
    </w:p>
    <w:p>
      <w:pPr>
        <w:spacing w:line="600" w:lineRule="exact"/>
        <w:ind w:firstLine="640" w:firstLineChars="200"/>
        <w:rPr>
          <w:rFonts w:hint="default" w:ascii="仿宋" w:hAnsi="仿宋" w:eastAsia="仿宋"/>
          <w:sz w:val="32"/>
          <w:szCs w:val="32"/>
          <w:lang w:val="en-US" w:eastAsia="zh-CN"/>
        </w:rPr>
      </w:pPr>
    </w:p>
    <w:p>
      <w:pPr>
        <w:rPr>
          <w:rFonts w:hint="eastAsia" w:ascii="仿宋" w:hAnsi="仿宋" w:eastAsia="仿宋"/>
          <w:sz w:val="24"/>
        </w:rPr>
      </w:pPr>
    </w:p>
    <w:p>
      <w:pPr>
        <w:rPr>
          <w:rFonts w:ascii="仿宋" w:hAnsi="仿宋" w:eastAsia="仿宋"/>
          <w:sz w:val="24"/>
        </w:rPr>
      </w:pPr>
      <w:r>
        <w:rPr>
          <w:rFonts w:hint="eastAsia" w:ascii="仿宋" w:hAnsi="仿宋" w:eastAsia="仿宋"/>
          <w:sz w:val="24"/>
        </w:rPr>
        <w:t>附件1</w:t>
      </w:r>
    </w:p>
    <w:p>
      <w:pPr>
        <w:jc w:val="center"/>
        <w:rPr>
          <w:rFonts w:hint="eastAsia" w:ascii="仿宋" w:hAnsi="仿宋" w:eastAsia="仿宋"/>
          <w:b/>
          <w:bCs/>
          <w:sz w:val="32"/>
          <w:szCs w:val="32"/>
        </w:rPr>
      </w:pPr>
      <w:r>
        <w:rPr>
          <w:rFonts w:hint="eastAsia" w:ascii="仿宋" w:hAnsi="仿宋" w:eastAsia="仿宋"/>
          <w:b/>
          <w:bCs/>
          <w:sz w:val="32"/>
          <w:szCs w:val="32"/>
        </w:rPr>
        <w:t>部门整体支出绩效评价指标表</w:t>
      </w:r>
    </w:p>
    <w:tbl>
      <w:tblPr>
        <w:tblStyle w:val="5"/>
        <w:tblW w:w="98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29"/>
        <w:gridCol w:w="343"/>
        <w:gridCol w:w="56"/>
        <w:gridCol w:w="347"/>
        <w:gridCol w:w="16"/>
        <w:gridCol w:w="1015"/>
        <w:gridCol w:w="8"/>
        <w:gridCol w:w="429"/>
        <w:gridCol w:w="2879"/>
        <w:gridCol w:w="95"/>
        <w:gridCol w:w="3304"/>
        <w:gridCol w:w="95"/>
        <w:gridCol w:w="390"/>
        <w:gridCol w:w="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1" w:hRule="atLeast"/>
          <w:jc w:val="center"/>
        </w:trPr>
        <w:tc>
          <w:tcPr>
            <w:tcW w:w="426"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一级指标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分值</w:t>
            </w:r>
          </w:p>
        </w:tc>
        <w:tc>
          <w:tcPr>
            <w:tcW w:w="39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二级指标</w:t>
            </w:r>
          </w:p>
        </w:tc>
        <w:tc>
          <w:tcPr>
            <w:tcW w:w="347"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分值</w:t>
            </w: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三级指标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分值</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评价标准</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指标说明</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投入</w:t>
            </w:r>
          </w:p>
        </w:tc>
        <w:tc>
          <w:tcPr>
            <w:tcW w:w="429"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13</w:t>
            </w:r>
          </w:p>
        </w:tc>
        <w:tc>
          <w:tcPr>
            <w:tcW w:w="399" w:type="dxa"/>
            <w:gridSpan w:val="2"/>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预算配置</w:t>
            </w:r>
          </w:p>
        </w:tc>
        <w:tc>
          <w:tcPr>
            <w:tcW w:w="347"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13</w:t>
            </w: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在职人员控制率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cs="Microsoft Yi Baiti"/>
              </w:rPr>
            </w:pPr>
            <w:r>
              <w:rPr>
                <w:rFonts w:hint="eastAsia" w:ascii="仿宋" w:hAnsi="仿宋" w:eastAsia="仿宋"/>
              </w:rPr>
              <w:t>以100%为标准，在职人员控制率</w:t>
            </w:r>
            <w:r>
              <w:rPr>
                <w:rFonts w:hint="eastAsia" w:ascii="仿宋" w:hAnsi="仿宋" w:eastAsia="仿宋" w:cs="Microsoft Yi Baiti"/>
              </w:rPr>
              <w:t>≤100%，计5分；每超过一个百分点扣0.5分，扣完为止。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rPr>
            </w:pPr>
            <w:r>
              <w:rPr>
                <w:rFonts w:hint="eastAsia" w:ascii="仿宋" w:hAnsi="仿宋" w:eastAsia="仿宋"/>
              </w:rPr>
              <w:t>在职人员控制率=（在职人员数/编制数）×100%，在职人员数：部门（单位）实际在职人数，以财政厅确定的部门决算编制口径为准。编制数：机构编制部门核定批复的部门（单位）的人员编制数。</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sz w:val="32"/>
                <w:szCs w:val="32"/>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“三公经费”变动率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8</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“三公经费”变动率</w:t>
            </w:r>
            <w:r>
              <w:rPr>
                <w:rFonts w:hint="eastAsia" w:ascii="仿宋" w:hAnsi="仿宋" w:eastAsia="仿宋" w:cs="Microsoft Yi Baiti"/>
              </w:rPr>
              <w:t>≤0，计8分；“三公经费”＞0，每超过一个百分点扣0.8分，扣完为止。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“三公经费”变动率</w:t>
            </w:r>
            <w:r>
              <w:rPr>
                <w:rFonts w:hint="eastAsia" w:ascii="仿宋" w:hAnsi="仿宋" w:eastAsia="仿宋" w:cs="Microsoft Yi Baiti"/>
              </w:rPr>
              <w:t>=[（本年度“三公经费”预算数—上年度“三公经费”预算数）/上年度“三公经费”预算数]</w:t>
            </w:r>
            <w:r>
              <w:rPr>
                <w:rFonts w:hint="eastAsia" w:ascii="仿宋" w:hAnsi="仿宋" w:eastAsia="仿宋"/>
              </w:rPr>
              <w:t xml:space="preserve"> ×100%</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过程</w:t>
            </w:r>
          </w:p>
        </w:tc>
        <w:tc>
          <w:tcPr>
            <w:tcW w:w="429"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61</w:t>
            </w: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ascii="仿宋" w:hAnsi="仿宋" w:eastAsia="仿宋"/>
              </w:rPr>
            </w:pPr>
          </w:p>
        </w:tc>
        <w:tc>
          <w:tcPr>
            <w:tcW w:w="399" w:type="dxa"/>
            <w:gridSpan w:val="2"/>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预算执行</w:t>
            </w:r>
          </w:p>
        </w:tc>
        <w:tc>
          <w:tcPr>
            <w:tcW w:w="347"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20</w:t>
            </w: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预算完成率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100%计满分，每低于5%扣2分，扣完为止。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预算完成率=（上年结转+年初预算+本年道加预算-年未结余）/（上年结转+年初预算+本年追加预算）×100%</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预算控制率=0，计5分；0-10%（含），计4分；10-20%（含），计3分；20-30%（含），计2分；大于30%不得分。</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预算控制率=（本年追加预算/年初预算）×100%</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新建楼堂馆所面积控制率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100%以下（含）计满分，每超出5%扣2分，扣完为止。没有楼堂馆所项目的部门按满分计算。</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楼堂馆所面积控制率=实际建设面积/批准建设面积×100%，该指标以2015年完工的新建楼堂馆所为评价内容。</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新建楼堂馆所投资概算控制率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100%以下（含）计满分，每超出5%扣2分，扣完为止。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楼堂馆所投资预算控制率=实际投资金额/批准投资金额×100%，该指标以2015年完工的新建楼堂馆所为评价内容。</w:t>
            </w:r>
          </w:p>
        </w:tc>
        <w:tc>
          <w:tcPr>
            <w:tcW w:w="41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9" w:type="dxa"/>
          <w:trHeight w:val="91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3"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预算管理</w:t>
            </w:r>
          </w:p>
        </w:tc>
        <w:tc>
          <w:tcPr>
            <w:tcW w:w="419" w:type="dxa"/>
            <w:gridSpan w:val="3"/>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41</w:t>
            </w:r>
          </w:p>
        </w:tc>
        <w:tc>
          <w:tcPr>
            <w:tcW w:w="1015"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公用经费控制率</w:t>
            </w:r>
          </w:p>
        </w:tc>
        <w:tc>
          <w:tcPr>
            <w:tcW w:w="437"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8</w:t>
            </w:r>
          </w:p>
        </w:tc>
        <w:tc>
          <w:tcPr>
            <w:tcW w:w="287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100%以下（含）计满分，每超出1%扣1分，扣完为止。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公用经费控制率=（实际支出公用经费总额/预算安排公用经费总额）×100%，公用经费支出是指部门基本支出中的一般商品和服务支出。</w:t>
            </w:r>
          </w:p>
        </w:tc>
        <w:tc>
          <w:tcPr>
            <w:tcW w:w="485"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9" w:type="dxa"/>
          <w:trHeight w:val="91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3"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19" w:type="dxa"/>
            <w:gridSpan w:val="3"/>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15"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“三公经费”控制率</w:t>
            </w:r>
          </w:p>
        </w:tc>
        <w:tc>
          <w:tcPr>
            <w:tcW w:w="437"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8</w:t>
            </w:r>
          </w:p>
        </w:tc>
        <w:tc>
          <w:tcPr>
            <w:tcW w:w="287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100%以下（含）计满分，每超出1%扣1分，扣完为止。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“三公经费”控制率-（“三公经费”实际支出数/“三公经费”预算安排数）×100%。</w:t>
            </w:r>
          </w:p>
        </w:tc>
        <w:tc>
          <w:tcPr>
            <w:tcW w:w="485"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9" w:type="dxa"/>
          <w:trHeight w:val="91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3"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19" w:type="dxa"/>
            <w:gridSpan w:val="3"/>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15"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政府采购执行率</w:t>
            </w:r>
          </w:p>
        </w:tc>
        <w:tc>
          <w:tcPr>
            <w:tcW w:w="437"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6</w:t>
            </w:r>
          </w:p>
        </w:tc>
        <w:tc>
          <w:tcPr>
            <w:tcW w:w="287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100%计满分，每超过（降低）5%扣2分，扣完为止。</w:t>
            </w:r>
          </w:p>
        </w:tc>
        <w:tc>
          <w:tcPr>
            <w:tcW w:w="3399"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政府采购执行率=（实际政府采购金额/政府采购预算数）×100%。</w:t>
            </w:r>
          </w:p>
        </w:tc>
        <w:tc>
          <w:tcPr>
            <w:tcW w:w="485"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hint="eastAsia" w:ascii="仿宋" w:hAnsi="仿宋" w:eastAsia="仿宋"/>
              </w:rPr>
            </w:pPr>
            <w:r>
              <w:rPr>
                <w:rFonts w:hint="eastAsia" w:ascii="仿宋" w:hAnsi="仿宋" w:eastAsia="仿宋"/>
              </w:rPr>
              <w:t>6</w:t>
            </w:r>
          </w:p>
        </w:tc>
      </w:tr>
    </w:tbl>
    <w:p>
      <w:pPr>
        <w:rPr>
          <w:rFonts w:hint="eastAsia" w:ascii="仿宋" w:hAnsi="仿宋" w:eastAsia="仿宋"/>
          <w:b/>
          <w:bCs/>
          <w:sz w:val="32"/>
          <w:szCs w:val="32"/>
        </w:rPr>
      </w:pPr>
    </w:p>
    <w:p>
      <w:pPr>
        <w:jc w:val="center"/>
        <w:rPr>
          <w:rFonts w:hint="eastAsia" w:ascii="仿宋" w:hAnsi="仿宋" w:eastAsia="仿宋"/>
          <w:b/>
          <w:bCs/>
          <w:sz w:val="32"/>
          <w:szCs w:val="32"/>
        </w:rPr>
      </w:pPr>
      <w:r>
        <w:rPr>
          <w:rFonts w:hint="eastAsia" w:ascii="仿宋" w:hAnsi="仿宋" w:eastAsia="仿宋"/>
          <w:b/>
          <w:bCs/>
          <w:sz w:val="32"/>
          <w:szCs w:val="32"/>
        </w:rPr>
        <w:t>部门整体支出绩效评价指标表</w:t>
      </w:r>
    </w:p>
    <w:tbl>
      <w:tblPr>
        <w:tblStyle w:val="5"/>
        <w:tblW w:w="101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29"/>
        <w:gridCol w:w="426"/>
        <w:gridCol w:w="429"/>
        <w:gridCol w:w="1097"/>
        <w:gridCol w:w="426"/>
        <w:gridCol w:w="4105"/>
        <w:gridCol w:w="2268"/>
        <w:gridCol w:w="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1" w:hRule="atLeast"/>
          <w:jc w:val="center"/>
        </w:trPr>
        <w:tc>
          <w:tcPr>
            <w:tcW w:w="426"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一级指标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分值</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二级指标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分值</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三级指标</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分值</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评价标准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指标说明</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sz w:val="32"/>
                <w:szCs w:val="32"/>
              </w:rPr>
            </w:pPr>
            <w:r>
              <w:rPr>
                <w:rFonts w:hint="eastAsia" w:ascii="仿宋" w:hAnsi="仿宋" w:eastAsia="仿宋"/>
              </w:rPr>
              <w:t>过程</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61</w:t>
            </w:r>
          </w:p>
        </w:tc>
        <w:tc>
          <w:tcPr>
            <w:tcW w:w="426"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预算管理</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13</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管理制度健全性</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8</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cs="Microsoft Yi Baiti"/>
              </w:rPr>
            </w:pPr>
            <w:r>
              <w:rPr>
                <w:rFonts w:hint="eastAsia" w:ascii="仿宋" w:hAnsi="仿宋" w:eastAsia="仿宋"/>
              </w:rPr>
              <w:t>1、有内部财务管理制度，会计核算制度等管理制度，2分；2、有本部门厉行节约制度，2分；3、相关管理制度合法、合规、完整，2分；4、相关管理制度得到有效执行，2分。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jc w:val="center"/>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sz w:val="32"/>
                <w:szCs w:val="32"/>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资金使用合规性</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spacing w:line="300" w:lineRule="exact"/>
              <w:ind w:firstLine="420" w:firstLineChars="200"/>
              <w:rPr>
                <w:rFonts w:ascii="仿宋" w:hAnsi="仿宋" w:eastAsia="仿宋"/>
              </w:rPr>
            </w:pPr>
            <w:r>
              <w:rPr>
                <w:rFonts w:hint="eastAsia" w:ascii="仿宋" w:hAnsi="仿宋" w:eastAsia="仿宋"/>
              </w:rPr>
              <w:t>以上情况每出现一例不符合要求的扣1分，扣完为止</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jc w:val="center"/>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sz w:val="32"/>
                <w:szCs w:val="32"/>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预决算信息公开性</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5</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1、按规定内容公开预决算信息，1分；2、按规定时限公开预决算信息，1分；3、基础数据信息和会计信息资料真实，1分；4、基础数据信息和会计信息资料完整，1分；5、基础数据信息和汇集信息资料准确，1分。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预决算信息是指与部门预算、执行、决算、监督、绩效等相关的信息。</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 xml:space="preserve">产出及效率 </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26</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职责履行</w:t>
            </w:r>
          </w:p>
        </w:tc>
        <w:tc>
          <w:tcPr>
            <w:tcW w:w="42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8</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重点工作实际完成率</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8</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根据绩效办2015年对各部门为民办实事和部门重点工程与重点工作考核分数折算。该项得分=（绩效办对应部分考核得分/350）*8</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jc w:val="center"/>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履职效益</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经济效益</w:t>
            </w:r>
          </w:p>
        </w:tc>
        <w:tc>
          <w:tcPr>
            <w:tcW w:w="426"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6373" w:type="dxa"/>
            <w:gridSpan w:val="2"/>
            <w:vMerge w:val="restart"/>
            <w:tcBorders>
              <w:top w:val="nil"/>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此两项指标为设置部门整体支出绩效评价指标时必须考虑的共性要素，可根据部门实际情况有选择的进行设置，并将其细化为相应的个性化指标。</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社会效益</w:t>
            </w: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6373" w:type="dxa"/>
            <w:gridSpan w:val="2"/>
            <w:vMerge w:val="continue"/>
            <w:tcBorders>
              <w:top w:val="nil"/>
              <w:left w:val="nil"/>
              <w:bottom w:val="single" w:color="000000" w:sz="4" w:space="0"/>
              <w:right w:val="single" w:color="000000" w:sz="4" w:space="0"/>
            </w:tcBorders>
            <w:noWrap w:val="0"/>
            <w:vAlign w:val="center"/>
          </w:tcPr>
          <w:p>
            <w:pPr>
              <w:widowControl/>
              <w:spacing w:line="300" w:lineRule="exact"/>
              <w:ind w:firstLine="420" w:firstLineChars="200"/>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12</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行政效能</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促进部门改进文风会风，加强经费及资产管理，推动网上办事，提高行政效率，降低行政成本效果较好的计6分；一般3分，无效果或者效果不明显0分。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根据部门自评材料评定。</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社会公众或服务对象满意度</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90%（含）以上计6分；80%（含）-90%，计4分；70%（含）-80%，计2分；低于70%计0分。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社会公众或服务对象是指部门（单位）履行职责而影响到的部门、群体或个人，一般采取社会调查的方式。</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6</w:t>
            </w:r>
          </w:p>
        </w:tc>
      </w:tr>
    </w:tbl>
    <w:p>
      <w:pPr>
        <w:rPr>
          <w:rFonts w:hint="eastAsia" w:ascii="仿宋" w:hAnsi="仿宋" w:eastAsia="仿宋"/>
          <w:sz w:val="24"/>
        </w:rPr>
      </w:pPr>
    </w:p>
    <w:p>
      <w:pPr>
        <w:rPr>
          <w:rFonts w:hint="eastAsia" w:ascii="仿宋" w:hAnsi="仿宋" w:eastAsia="仿宋"/>
          <w:sz w:val="24"/>
        </w:rPr>
      </w:pPr>
    </w:p>
    <w:p>
      <w:pPr>
        <w:rPr>
          <w:rFonts w:hint="eastAsia" w:ascii="仿宋" w:hAnsi="仿宋" w:eastAsia="仿宋"/>
          <w:sz w:val="24"/>
        </w:rPr>
      </w:pPr>
    </w:p>
    <w:p>
      <w:pPr>
        <w:rPr>
          <w:rFonts w:hint="eastAsia" w:ascii="仿宋" w:hAnsi="仿宋" w:eastAsia="仿宋"/>
          <w:sz w:val="24"/>
        </w:rPr>
      </w:pPr>
      <w:r>
        <w:rPr>
          <w:rFonts w:hint="eastAsia" w:ascii="仿宋" w:hAnsi="仿宋" w:eastAsia="仿宋"/>
          <w:sz w:val="24"/>
        </w:rPr>
        <w:t>附件2</w:t>
      </w:r>
    </w:p>
    <w:p>
      <w:pPr>
        <w:jc w:val="center"/>
        <w:rPr>
          <w:rFonts w:hint="eastAsia" w:ascii="仿宋" w:hAnsi="仿宋" w:eastAsia="仿宋"/>
          <w:b/>
          <w:bCs/>
          <w:sz w:val="32"/>
          <w:szCs w:val="32"/>
        </w:rPr>
      </w:pPr>
      <w:r>
        <w:rPr>
          <w:rFonts w:hint="eastAsia" w:ascii="仿宋" w:hAnsi="仿宋" w:eastAsia="仿宋"/>
          <w:b/>
          <w:bCs/>
          <w:sz w:val="32"/>
          <w:szCs w:val="32"/>
        </w:rPr>
        <w:t>部门整体支出绩效评价基础数据表</w:t>
      </w:r>
    </w:p>
    <w:p>
      <w:pPr>
        <w:rPr>
          <w:rFonts w:hint="eastAsia" w:ascii="仿宋" w:hAnsi="仿宋" w:eastAsia="仿宋"/>
        </w:rPr>
      </w:pPr>
      <w:r>
        <w:rPr>
          <w:rFonts w:hint="eastAsia" w:ascii="仿宋" w:hAnsi="仿宋" w:eastAsia="仿宋"/>
        </w:rPr>
        <w:t>填报单位：区委组织部</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1112"/>
        <w:gridCol w:w="1069"/>
        <w:gridCol w:w="1219"/>
        <w:gridCol w:w="1073"/>
        <w:gridCol w:w="1110"/>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2018年实际在职人数</w:t>
            </w: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440" w:lineRule="exact"/>
              <w:jc w:val="left"/>
              <w:rPr>
                <w:rFonts w:ascii="仿宋" w:hAnsi="仿宋" w:eastAsia="仿宋"/>
              </w:rPr>
            </w:pP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31</w:t>
            </w:r>
          </w:p>
        </w:tc>
        <w:tc>
          <w:tcPr>
            <w:tcW w:w="2292"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26</w:t>
            </w: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2017年决算数</w:t>
            </w:r>
          </w:p>
        </w:tc>
        <w:tc>
          <w:tcPr>
            <w:tcW w:w="2292"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2018年预算数</w:t>
            </w: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11.28</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29.07</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0.44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6.93</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4.35</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29.07</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0.44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color w:val="FF0000"/>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color w:val="FF0000"/>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color w:val="FF0000"/>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color w:val="FF0000"/>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240.12</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164.63</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202.58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41.8</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31.96</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ascii="仿宋" w:hAnsi="仿宋" w:eastAsia="仿宋"/>
              </w:rPr>
            </w:pPr>
            <w:r>
              <w:rPr>
                <w:rFonts w:hint="eastAsia" w:ascii="仿宋" w:hAnsi="仿宋" w:eastAsia="仿宋"/>
              </w:rPr>
              <w:t>35.44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3.36</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10</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11.48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2.72</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30.00</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33.11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 —</w:t>
            </w:r>
          </w:p>
        </w:tc>
        <w:tc>
          <w:tcPr>
            <w:tcW w:w="2292"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0</w:t>
            </w:r>
          </w:p>
        </w:tc>
        <w:tc>
          <w:tcPr>
            <w:tcW w:w="2244"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 —</w:t>
            </w: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2" w:hRule="atLeast"/>
          <w:jc w:val="center"/>
        </w:trPr>
        <w:tc>
          <w:tcPr>
            <w:tcW w:w="3597" w:type="dxa"/>
            <w:vMerge w:val="restart"/>
            <w:tcBorders>
              <w:top w:val="nil"/>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楼堂馆所控制情况</w:t>
            </w:r>
          </w:p>
          <w:p>
            <w:pPr>
              <w:spacing w:line="300" w:lineRule="exact"/>
              <w:jc w:val="center"/>
              <w:rPr>
                <w:rFonts w:ascii="仿宋" w:hAnsi="仿宋" w:eastAsia="仿宋"/>
              </w:rPr>
            </w:pPr>
            <w:r>
              <w:rPr>
                <w:rFonts w:hint="eastAsia" w:ascii="仿宋" w:hAnsi="仿宋" w:eastAsia="仿宋"/>
              </w:rPr>
              <w:t>（2017年完工项目）</w:t>
            </w:r>
          </w:p>
        </w:tc>
        <w:tc>
          <w:tcPr>
            <w:tcW w:w="1112"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批复规模</w:t>
            </w:r>
          </w:p>
          <w:p>
            <w:pPr>
              <w:spacing w:line="300" w:lineRule="exact"/>
              <w:jc w:val="center"/>
              <w:rPr>
                <w:rFonts w:ascii="仿宋" w:hAnsi="仿宋" w:eastAsia="仿宋"/>
              </w:rPr>
            </w:pPr>
            <w:r>
              <w:rPr>
                <w:rFonts w:hint="eastAsia" w:ascii="仿宋" w:hAnsi="仿宋" w:eastAsia="仿宋"/>
              </w:rPr>
              <w:t>（㎡）</w:t>
            </w:r>
          </w:p>
        </w:tc>
        <w:tc>
          <w:tcPr>
            <w:tcW w:w="106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实际规模</w:t>
            </w:r>
          </w:p>
          <w:p>
            <w:pPr>
              <w:spacing w:line="300" w:lineRule="exact"/>
              <w:jc w:val="center"/>
              <w:rPr>
                <w:rFonts w:ascii="仿宋" w:hAnsi="仿宋" w:eastAsia="仿宋"/>
              </w:rPr>
            </w:pPr>
            <w:r>
              <w:rPr>
                <w:rFonts w:hint="eastAsia" w:ascii="仿宋" w:hAnsi="仿宋" w:eastAsia="仿宋"/>
              </w:rPr>
              <w:t>（㎡）</w:t>
            </w:r>
          </w:p>
        </w:tc>
        <w:tc>
          <w:tcPr>
            <w:tcW w:w="121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规模控</w:t>
            </w:r>
          </w:p>
          <w:p>
            <w:pPr>
              <w:spacing w:line="300" w:lineRule="exact"/>
              <w:jc w:val="center"/>
              <w:rPr>
                <w:rFonts w:ascii="仿宋" w:hAnsi="仿宋" w:eastAsia="仿宋"/>
              </w:rPr>
            </w:pPr>
            <w:r>
              <w:rPr>
                <w:rFonts w:hint="eastAsia" w:ascii="仿宋" w:hAnsi="仿宋" w:eastAsia="仿宋"/>
              </w:rPr>
              <w:t>制率</w:t>
            </w:r>
          </w:p>
        </w:tc>
        <w:tc>
          <w:tcPr>
            <w:tcW w:w="1073"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预算投资</w:t>
            </w:r>
          </w:p>
          <w:p>
            <w:pPr>
              <w:spacing w:line="300" w:lineRule="exact"/>
              <w:jc w:val="center"/>
              <w:rPr>
                <w:rFonts w:ascii="仿宋" w:hAnsi="仿宋" w:eastAsia="仿宋"/>
              </w:rPr>
            </w:pPr>
            <w:r>
              <w:rPr>
                <w:rFonts w:hint="eastAsia" w:ascii="仿宋" w:hAnsi="仿宋" w:eastAsia="仿宋"/>
              </w:rPr>
              <w:t>（万元）</w:t>
            </w:r>
          </w:p>
        </w:tc>
        <w:tc>
          <w:tcPr>
            <w:tcW w:w="1110"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实际投资</w:t>
            </w:r>
          </w:p>
          <w:p>
            <w:pPr>
              <w:spacing w:line="300" w:lineRule="exact"/>
              <w:jc w:val="center"/>
              <w:rPr>
                <w:rFonts w:ascii="仿宋" w:hAnsi="仿宋" w:eastAsia="仿宋"/>
              </w:rPr>
            </w:pPr>
            <w:r>
              <w:rPr>
                <w:rFonts w:hint="eastAsia" w:ascii="仿宋" w:hAnsi="仿宋" w:eastAsia="仿宋"/>
              </w:rPr>
              <w:t>（万元）</w:t>
            </w:r>
          </w:p>
        </w:tc>
        <w:tc>
          <w:tcPr>
            <w:tcW w:w="1134"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投资概算控制率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3597" w:type="dxa"/>
            <w:vMerge w:val="continue"/>
            <w:tcBorders>
              <w:top w:val="nil"/>
              <w:left w:val="single" w:color="000000" w:sz="4" w:space="0"/>
              <w:bottom w:val="single" w:color="000000" w:sz="4" w:space="0"/>
              <w:right w:val="single" w:color="000000" w:sz="4" w:space="0"/>
            </w:tcBorders>
            <w:noWrap w:val="0"/>
            <w:vAlign w:val="center"/>
          </w:tcPr>
          <w:p>
            <w:pPr>
              <w:widowControl/>
              <w:spacing w:line="440" w:lineRule="exact"/>
              <w:jc w:val="left"/>
              <w:rPr>
                <w:rFonts w:ascii="仿宋" w:hAnsi="仿宋" w:eastAsia="仿宋"/>
              </w:rPr>
            </w:pP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3"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厉行节约保障措施</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bl>
    <w:p>
      <w:pPr>
        <w:spacing w:line="400" w:lineRule="exact"/>
        <w:rPr>
          <w:rFonts w:hint="eastAsia"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Pr>
        <w:rPr>
          <w:rFonts w:hint="eastAsia"/>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Yi Baiti">
    <w:panose1 w:val="03000500000000000000"/>
    <w:charset w:val="00"/>
    <w:family w:val="script"/>
    <w:pitch w:val="default"/>
    <w:sig w:usb0="80000003" w:usb1="00010402" w:usb2="00080002"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B7D76"/>
    <w:multiLevelType w:val="multilevel"/>
    <w:tmpl w:val="325B7D76"/>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867A7"/>
    <w:rsid w:val="02121FCC"/>
    <w:rsid w:val="07DC1FEE"/>
    <w:rsid w:val="0A8244E9"/>
    <w:rsid w:val="0B9109F4"/>
    <w:rsid w:val="0F484902"/>
    <w:rsid w:val="15671385"/>
    <w:rsid w:val="1BBD545D"/>
    <w:rsid w:val="1FBD6661"/>
    <w:rsid w:val="305B56D6"/>
    <w:rsid w:val="34287A50"/>
    <w:rsid w:val="3E667FF4"/>
    <w:rsid w:val="440F03D6"/>
    <w:rsid w:val="454C3652"/>
    <w:rsid w:val="47FD1C53"/>
    <w:rsid w:val="48C35A9B"/>
    <w:rsid w:val="49266E7E"/>
    <w:rsid w:val="53E3000F"/>
    <w:rsid w:val="649867A7"/>
    <w:rsid w:val="6A810D3A"/>
    <w:rsid w:val="6AA67792"/>
    <w:rsid w:val="6CC3565E"/>
    <w:rsid w:val="746F4EAC"/>
    <w:rsid w:val="7A463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2019-10-30T02:09:00Z</dcterms:created>
  <dc:creator>admin16</dc:creator>
  <cp:lastModifiedBy>admin16</cp:lastModifiedBy>
  <dcterms:modified xsi:type="dcterms:W3CDTF">2019-11-05T06:43:45Z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