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shd w:val="clear" w:color="auto" w:fill="auto"/>
          <w:lang w:val="en-US" w:eastAsia="zh-CN"/>
        </w:rPr>
        <w:t>盈口乡人民政府2018年部门整体支出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shd w:val="clear" w:color="auto" w:fill="auto"/>
          <w:lang w:val="en-US" w:eastAsia="zh-CN"/>
        </w:rPr>
        <w:t>绩效评价报告</w:t>
      </w:r>
    </w:p>
    <w:p>
      <w:p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</w:p>
    <w:p>
      <w:p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为深入贯彻落实新《预算法》中关于“各级政府、各部门、各单位应当对预算支出情况开展绩效评价”的规定及《湖南省人民政府关于全面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实施预算绩效管理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的意见》（湘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办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发[201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]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号）等文件精神，现对我单位整体支出绩效情况，开展了绩效自评工作，现将情况汇报如下：</w:t>
      </w:r>
    </w:p>
    <w:p>
      <w:pPr>
        <w:numPr>
          <w:ilvl w:val="0"/>
          <w:numId w:val="1"/>
        </w:numPr>
        <w:ind w:firstLine="56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  <w:t>单位基本情况：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1、 单位机构主要工作职责： 执行本级人民代表大会的决议和上级国家行政机关的决定和命令；执行本级行政区域内的经济和社会发展计划，管理、预算本级行政区域内的经济、教育、科学、文化、卫生、体育事业和财政、民政、公安、司法、计划生育等行政工作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2、编制人员情况：现有编制数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73,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其中：行政编制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人、事业编制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人。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  <w:t>预算执行情况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（一）部门决算基本情况。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1、年度收支决算情况。201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年度财政拨款总收入为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1010.48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万元。总支出为1032.52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万元，其中一般公共服务支出797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万元，文化体育与传媒支出1.2万元，社会保障和就业支出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4.71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万元，医疗卫生与计划生育支出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101.03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万元，节能环保支出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15.73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万元，城乡社区支出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26.17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万元，农林水支出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82.74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万元，交通运输支出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3.94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2、一般公共预算财政拨款支出情况。201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年度财政拨款总支出为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1032.52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万元，其中基本支出为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871.2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万元，项目支出为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161.32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万元。</w:t>
      </w:r>
    </w:p>
    <w:p>
      <w:pPr>
        <w:widowControl/>
        <w:ind w:firstLine="640" w:firstLineChars="200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3、“三公”经费决算情况。201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年度“三公”经费总支出为3.92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万元，均用于公务用车运行费。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4、机关运行经费决算情况。201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年运行经费为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112.33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万元，其中办公费为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4.21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万元，印刷费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7.69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 ，手续费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0.22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万元，水费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1.76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万元，电费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0.92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万元，邮电费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8.61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取暖费2.72元，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差旅费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1.17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万元，维修（护）费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11.64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租赁费1.67元，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会议费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2.18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万元，培训费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0.76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万元，劳务费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14.74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委托业务费26.04元，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公务用车运行维护费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3.98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万元，其他商品和服务支出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24.03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万元。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  <w:t>项目资金管理情况。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完善专项资金管理，从源头入手，落实责任，完善制度，合理使用，加强监管，注重宣传，确保项目资金的管理使用高效率。一是加强领导，增强责任制意识。二是加强资金管理制度建设。结合单位实际，将各项经济活动划分到具体工作岗位，按照岗位确定任务、职责和权限，贯彻执行所制订的相关财务制度，加强制度执行的监督，使专项资金的财务管理有章可循。三是加强资金支出管理。坚持“专项核算、专人管理、专款专用”的原则，严禁挤占、挪用专项资金。</w:t>
      </w:r>
    </w:p>
    <w:p>
      <w:pPr>
        <w:numPr>
          <w:ilvl w:val="0"/>
          <w:numId w:val="2"/>
        </w:numPr>
        <w:ind w:firstLine="56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  <w:t>存在的问题及改进措施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（一）主要问题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 xml:space="preserve"> 1、预算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执行存在偏差</w:t>
      </w:r>
      <w:r>
        <w:rPr>
          <w:rFonts w:hint="eastAsia" w:ascii="宋体" w:hAnsi="宋体" w:cs="宋体"/>
          <w:color w:val="auto"/>
          <w:kern w:val="0"/>
          <w:sz w:val="28"/>
          <w:szCs w:val="28"/>
          <w:u w:val="none"/>
          <w:lang w:val="en-US" w:eastAsia="zh-CN"/>
        </w:rPr>
        <w:t>；</w:t>
      </w:r>
    </w:p>
    <w:p>
      <w:pPr>
        <w:numPr>
          <w:numId w:val="0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 xml:space="preserve"> 2、固定资产管理水平有待进一步提高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 xml:space="preserve">  </w:t>
      </w:r>
    </w:p>
    <w:p>
      <w:pPr>
        <w:numPr>
          <w:ilvl w:val="0"/>
          <w:numId w:val="3"/>
        </w:num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改进措施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1、科学合理编制预算，严格执行预算。按照新《预算法》及其实施条例的相关规定，按本部门的发展规划，结合上一年度预算执行情况和本年度预算收支变化因素，科学合理的编制本年度预算方案，避免预算支出与实际执行出现较大偏差情况。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2、完善管理制度，进一步加强资产管理，进一步贯彻落实中央“八项规定”和湖南省委“九条规定”，建立本单位“三公经费”等公务支出管理制度及厉行节约制度，加强经费审批和控制，规范支出标准和范围并严格执行。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3、严格按照《固定资产管理办法》的规定加强固定资产管理，及时登记、加强资产卡片管理，年终前对各类实物资产进行全面盘点，确保账账、账实相符。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</w:pP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</w:pP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 xml:space="preserve">                            怀化市鹤城区盈口乡人民政府</w:t>
      </w:r>
    </w:p>
    <w:p>
      <w:pPr>
        <w:widowControl/>
        <w:spacing w:before="42" w:beforeAutospacing="0" w:after="42" w:afterAutospacing="0" w:line="360" w:lineRule="auto"/>
        <w:ind w:left="0" w:right="0" w:firstLine="57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 xml:space="preserve">                                201</w:t>
      </w:r>
      <w:r>
        <w:rPr>
          <w:rFonts w:hint="eastAsia" w:ascii="宋体" w:hAnsi="宋体" w:cs="宋体"/>
          <w:color w:val="auto"/>
          <w:kern w:val="0"/>
          <w:sz w:val="28"/>
          <w:szCs w:val="28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kern w:val="0"/>
          <w:sz w:val="28"/>
          <w:szCs w:val="28"/>
          <w:u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kern w:val="0"/>
          <w:sz w:val="28"/>
          <w:szCs w:val="28"/>
          <w:u w:val="none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u w:val="none"/>
          <w:lang w:val="en-US" w:eastAsia="zh-CN"/>
        </w:rPr>
        <w:t>日</w:t>
      </w:r>
      <w:bookmarkStart w:id="0" w:name="_GoBack"/>
      <w:bookmarkEnd w:id="0"/>
    </w:p>
    <w:p>
      <w:pPr>
        <w:numPr>
          <w:numId w:val="0"/>
        </w:numPr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altName w:val="微软雅黑"/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Cambria">
    <w:altName w:val="Palatino Linotype"/>
    <w:panose1 w:val="02040503050406030204"/>
    <w:charset w:val="00"/>
    <w:family w:val="auto"/>
    <w:pitch w:val="default"/>
    <w:sig w:usb0="E00006FF" w:usb1="420024FF" w:usb2="02000000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77278671">
    <w:nsid w:val="580D7BCF"/>
    <w:multiLevelType w:val="singleLevel"/>
    <w:tmpl w:val="580D7BCF"/>
    <w:lvl w:ilvl="0" w:tentative="1">
      <w:start w:val="4"/>
      <w:numFmt w:val="chineseCounting"/>
      <w:suff w:val="nothing"/>
      <w:lvlText w:val="%1、"/>
      <w:lvlJc w:val="left"/>
    </w:lvl>
  </w:abstractNum>
  <w:abstractNum w:abstractNumId="1477280090">
    <w:nsid w:val="580D815A"/>
    <w:multiLevelType w:val="singleLevel"/>
    <w:tmpl w:val="580D815A"/>
    <w:lvl w:ilvl="0" w:tentative="1">
      <w:start w:val="2"/>
      <w:numFmt w:val="chineseCounting"/>
      <w:suff w:val="nothing"/>
      <w:lvlText w:val="（%1）"/>
      <w:lvlJc w:val="left"/>
    </w:lvl>
  </w:abstractNum>
  <w:abstractNum w:abstractNumId="1477277073">
    <w:nsid w:val="580D7591"/>
    <w:multiLevelType w:val="singleLevel"/>
    <w:tmpl w:val="580D7591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77277073"/>
  </w:num>
  <w:num w:numId="2">
    <w:abstractNumId w:val="1477278671"/>
  </w:num>
  <w:num w:numId="3">
    <w:abstractNumId w:val="14772800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qFormat/>
    <w:uiPriority w:val="0"/>
    <w:rPr>
      <w:color w:val="444444"/>
      <w:sz w:val="18"/>
      <w:szCs w:val="18"/>
      <w:u w:val="none"/>
    </w:rPr>
  </w:style>
  <w:style w:type="character" w:styleId="6">
    <w:name w:val="Hyperlink"/>
    <w:basedOn w:val="4"/>
    <w:qFormat/>
    <w:uiPriority w:val="0"/>
    <w:rPr>
      <w:color w:val="444444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2016-10-24T07:22:00Z</cp:lastPrinted>
  <dcterms:modified xsi:type="dcterms:W3CDTF">2019-10-04T07:22:06Z</dcterms:modified>
  <dc:title>盈口乡人民政府2018年部门整体支出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