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43" w:line="218" w:lineRule="auto"/>
        <w:jc w:val="center"/>
        <w:rPr>
          <w:rFonts w:ascii="宋体" w:hAnsi="宋体" w:eastAsia="宋体" w:cs="宋体"/>
          <w:sz w:val="44"/>
          <w:szCs w:val="44"/>
          <w:lang w:eastAsia="zh-CN"/>
        </w:rPr>
      </w:pPr>
      <w:bookmarkStart w:id="0" w:name="_GoBack"/>
      <w:r>
        <w:rPr>
          <w:rFonts w:ascii="宋体" w:hAnsi="宋体" w:eastAsia="宋体" w:cs="宋体"/>
          <w:b/>
          <w:bCs/>
          <w:spacing w:val="-11"/>
          <w:sz w:val="44"/>
          <w:szCs w:val="44"/>
          <w:lang w:eastAsia="zh-CN"/>
        </w:rPr>
        <w:t>怀化市</w:t>
      </w:r>
      <w:r>
        <w:rPr>
          <w:rFonts w:hint="eastAsia" w:ascii="宋体" w:hAnsi="宋体" w:eastAsia="宋体" w:cs="宋体"/>
          <w:b/>
          <w:bCs/>
          <w:spacing w:val="-11"/>
          <w:sz w:val="44"/>
          <w:szCs w:val="44"/>
          <w:lang w:eastAsia="zh-CN"/>
        </w:rPr>
        <w:t>鹤城区委</w:t>
      </w:r>
      <w:bookmarkEnd w:id="0"/>
      <w:r>
        <w:rPr>
          <w:rFonts w:hint="eastAsia" w:ascii="宋体" w:hAnsi="宋体" w:eastAsia="宋体" w:cs="宋体"/>
          <w:b/>
          <w:bCs/>
          <w:spacing w:val="-11"/>
          <w:sz w:val="44"/>
          <w:szCs w:val="44"/>
          <w:lang w:eastAsia="zh-CN"/>
        </w:rPr>
        <w:t>办公室</w:t>
      </w:r>
      <w:r>
        <w:rPr>
          <w:rFonts w:hint="eastAsia" w:ascii="宋体" w:hAnsi="宋体" w:eastAsia="宋体" w:cs="宋体"/>
          <w:b/>
          <w:bCs/>
          <w:spacing w:val="-11"/>
          <w:sz w:val="44"/>
          <w:szCs w:val="44"/>
          <w:lang w:val="en-US" w:eastAsia="zh-CN"/>
        </w:rPr>
        <w:t>2024年</w:t>
      </w:r>
      <w:r>
        <w:rPr>
          <w:rFonts w:ascii="宋体" w:hAnsi="宋体" w:eastAsia="宋体" w:cs="宋体"/>
          <w:b/>
          <w:bCs/>
          <w:spacing w:val="-11"/>
          <w:sz w:val="44"/>
          <w:szCs w:val="44"/>
          <w:lang w:eastAsia="zh-CN"/>
        </w:rPr>
        <w:t>绩效运行监控报告</w:t>
      </w:r>
    </w:p>
    <w:p>
      <w:pPr>
        <w:widowControl w:val="0"/>
        <w:spacing w:line="360" w:lineRule="auto"/>
        <w:ind w:firstLine="584" w:firstLineChars="200"/>
        <w:outlineLvl w:val="2"/>
        <w:rPr>
          <w:rFonts w:ascii="黑体" w:hAnsi="黑体" w:eastAsia="黑体" w:cs="黑体"/>
          <w:spacing w:val="-14"/>
          <w:sz w:val="32"/>
          <w:szCs w:val="32"/>
          <w:lang w:eastAsia="zh-CN"/>
        </w:rPr>
      </w:pPr>
    </w:p>
    <w:p>
      <w:pPr>
        <w:widowControl w:val="0"/>
        <w:numPr>
          <w:ilvl w:val="0"/>
          <w:numId w:val="1"/>
        </w:numPr>
        <w:spacing w:line="360" w:lineRule="auto"/>
        <w:ind w:firstLine="584" w:firstLineChars="200"/>
        <w:outlineLvl w:val="2"/>
        <w:rPr>
          <w:rFonts w:ascii="黑体" w:hAnsi="黑体" w:eastAsia="黑体" w:cs="黑体"/>
          <w:spacing w:val="-14"/>
          <w:sz w:val="32"/>
          <w:szCs w:val="32"/>
          <w:lang w:eastAsia="zh-CN"/>
        </w:rPr>
      </w:pPr>
      <w:r>
        <w:rPr>
          <w:rFonts w:ascii="黑体" w:hAnsi="黑体" w:eastAsia="黑体" w:cs="黑体"/>
          <w:spacing w:val="-14"/>
          <w:sz w:val="32"/>
          <w:szCs w:val="32"/>
          <w:lang w:eastAsia="zh-CN"/>
        </w:rPr>
        <w:t>基本情况</w:t>
      </w:r>
    </w:p>
    <w:p>
      <w:pPr>
        <w:widowControl w:val="0"/>
        <w:numPr>
          <w:ilvl w:val="0"/>
          <w:numId w:val="0"/>
        </w:numPr>
        <w:kinsoku/>
        <w:overflowPunct w:val="0"/>
        <w:spacing w:line="360" w:lineRule="auto"/>
        <w:ind w:leftChars="200" w:firstLine="584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spacing w:val="-14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202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年，鹤城区委办坚持以习近平新时代中国特色社会主义思想为指导，深入学习贯彻党的二十大精神，全国、全省党委秘书长会议和全市、全区党务工作会议精神，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紧紧围绕全区重大任务、重点工作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强参谋、优服务、增效能，切实保障区委日常工作有序高效运转，</w:t>
      </w:r>
    </w:p>
    <w:p>
      <w:pPr>
        <w:widowControl w:val="0"/>
        <w:numPr>
          <w:ilvl w:val="0"/>
          <w:numId w:val="1"/>
        </w:numPr>
        <w:spacing w:line="360" w:lineRule="auto"/>
        <w:ind w:left="0" w:leftChars="0" w:firstLine="596" w:firstLineChars="200"/>
        <w:outlineLvl w:val="2"/>
        <w:rPr>
          <w:rFonts w:ascii="黑体" w:hAnsi="黑体" w:eastAsia="黑体" w:cs="黑体"/>
          <w:spacing w:val="-11"/>
          <w:sz w:val="32"/>
          <w:szCs w:val="32"/>
          <w:lang w:eastAsia="zh-CN"/>
        </w:rPr>
      </w:pPr>
      <w:r>
        <w:rPr>
          <w:rFonts w:ascii="黑体" w:hAnsi="黑体" w:eastAsia="黑体" w:cs="黑体"/>
          <w:spacing w:val="-11"/>
          <w:sz w:val="32"/>
          <w:szCs w:val="32"/>
          <w:lang w:eastAsia="zh-CN"/>
        </w:rPr>
        <w:t>绩效运行监控工作开展情况</w:t>
      </w:r>
    </w:p>
    <w:p>
      <w:pPr>
        <w:widowControl w:val="0"/>
        <w:numPr>
          <w:ilvl w:val="0"/>
          <w:numId w:val="0"/>
        </w:numPr>
        <w:kinsoku/>
        <w:overflowPunct w:val="0"/>
        <w:spacing w:line="360" w:lineRule="auto"/>
        <w:ind w:leftChars="200" w:firstLine="676" w:firstLineChars="200"/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  <w:t>一、强化组织建设，推动“党建+业务”融合;落实“大党委”工作机制;加强党内激励帮扶机制。</w:t>
      </w:r>
    </w:p>
    <w:p>
      <w:pPr>
        <w:widowControl w:val="0"/>
        <w:numPr>
          <w:ilvl w:val="0"/>
          <w:numId w:val="0"/>
        </w:numPr>
        <w:kinsoku/>
        <w:overflowPunct w:val="0"/>
        <w:spacing w:line="360" w:lineRule="auto"/>
        <w:ind w:leftChars="200" w:firstLine="640" w:firstLineChars="200"/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二、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文稿服务参谋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工作，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围绕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落实党的二十大精神，省委十二届四次全会，市委六届五次、六次全会，锚定“三高四新”美好蓝图，深入实施“五新四城”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战略</w:t>
      </w:r>
      <w:r>
        <w:rPr>
          <w:rFonts w:hint="default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紧扣区委中心工作，积极参政设谋。围绕产业发展、项目建设、教育教学质量提升、党办系统规范化管理等工作，扎实开展调查研究，充分总结特色经验。</w:t>
      </w:r>
    </w:p>
    <w:p>
      <w:pPr>
        <w:widowControl w:val="0"/>
        <w:numPr>
          <w:ilvl w:val="0"/>
          <w:numId w:val="0"/>
        </w:numPr>
        <w:kinsoku/>
        <w:overflowPunct w:val="0"/>
        <w:spacing w:line="360" w:lineRule="auto"/>
        <w:ind w:leftChars="200" w:firstLine="640" w:firstLineChars="200"/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三、</w:t>
      </w:r>
      <w:r>
        <w:rPr>
          <w:rFonts w:hint="eastAsia" w:ascii="仿宋_GB2312" w:eastAsia="仿宋_GB2312"/>
          <w:color w:val="000000"/>
          <w:sz w:val="32"/>
          <w:szCs w:val="32"/>
        </w:rPr>
        <w:t>充分发挥党委信息参谋服务作用，按时保质完成省委办公厅信息处、市委办公室信息科的约稿任务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，客观真实反映基层情况和声音，</w:t>
      </w:r>
      <w:r>
        <w:rPr>
          <w:rFonts w:hint="eastAsia" w:ascii="仿宋_GB2312" w:eastAsia="仿宋_GB2312"/>
          <w:color w:val="000000"/>
          <w:sz w:val="32"/>
          <w:szCs w:val="32"/>
        </w:rPr>
        <w:t>坚决杜绝误报、漏报、迟报现象发生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。</w:t>
      </w:r>
    </w:p>
    <w:p>
      <w:pPr>
        <w:widowControl w:val="0"/>
        <w:numPr>
          <w:ilvl w:val="0"/>
          <w:numId w:val="0"/>
        </w:numPr>
        <w:kinsoku/>
        <w:overflowPunct w:val="0"/>
        <w:spacing w:line="360" w:lineRule="auto"/>
        <w:ind w:leftChars="200"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四、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狠抓领导交办事项督促落实，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围绕经济发展、项目建设、乡村振兴、安全生产、为民办事等重点工作以及区委区政府主要领导交办事项开展督查。</w:t>
      </w:r>
    </w:p>
    <w:p>
      <w:pPr>
        <w:widowControl w:val="0"/>
        <w:numPr>
          <w:ilvl w:val="0"/>
          <w:numId w:val="2"/>
        </w:numPr>
        <w:kinsoku/>
        <w:overflowPunct w:val="0"/>
        <w:spacing w:line="360" w:lineRule="auto"/>
        <w:ind w:leftChars="200" w:firstLine="640" w:firstLineChars="200"/>
        <w:rPr>
          <w:rStyle w:val="6"/>
          <w:rFonts w:hint="eastAsia" w:ascii="仿宋_GB2312" w:hAnsi="宋体" w:eastAsia="仿宋_GB2312" w:cs="宋体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color w:val="000000"/>
          <w:sz w:val="32"/>
          <w:szCs w:val="32"/>
        </w:rPr>
        <w:t>严格落实机要室值班制度，保证专人24小时值班不离岗。多措并举推进密码安全管理，顺利完成通信保障任务。</w:t>
      </w:r>
      <w:r>
        <w:rPr>
          <w:rStyle w:val="6"/>
          <w:rFonts w:hint="eastAsia" w:ascii="仿宋_GB2312" w:hAnsi="宋体" w:eastAsia="仿宋_GB2312" w:cs="宋体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常态化开展保密宣传教育，组织开展全区保密业务知识培训，认真开展保密专项检查。</w:t>
      </w:r>
    </w:p>
    <w:p>
      <w:pPr>
        <w:widowControl w:val="0"/>
        <w:spacing w:line="360" w:lineRule="auto"/>
        <w:ind w:firstLine="292" w:firstLineChars="100"/>
        <w:outlineLvl w:val="2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spacing w:val="-14"/>
          <w:sz w:val="32"/>
          <w:szCs w:val="32"/>
          <w:lang w:eastAsia="zh-CN"/>
        </w:rPr>
        <w:t>三、绩效运行监控情况</w:t>
      </w:r>
    </w:p>
    <w:p>
      <w:pPr>
        <w:widowControl w:val="0"/>
        <w:spacing w:line="360" w:lineRule="auto"/>
        <w:ind w:firstLine="664" w:firstLineChars="200"/>
        <w:outlineLvl w:val="2"/>
        <w:rPr>
          <w:rFonts w:ascii="楷体" w:hAnsi="楷体" w:eastAsia="楷体" w:cs="楷体"/>
          <w:spacing w:val="6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6"/>
          <w:sz w:val="32"/>
          <w:szCs w:val="32"/>
          <w:lang w:eastAsia="zh-CN"/>
        </w:rPr>
        <w:t>(一)预算执行情况</w:t>
      </w:r>
    </w:p>
    <w:p>
      <w:pPr>
        <w:pStyle w:val="2"/>
        <w:widowControl w:val="0"/>
        <w:kinsoku/>
        <w:overflowPunct w:val="0"/>
        <w:autoSpaceDE/>
        <w:autoSpaceDN/>
        <w:spacing w:line="360" w:lineRule="auto"/>
        <w:ind w:firstLine="628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-3"/>
          <w:sz w:val="32"/>
          <w:szCs w:val="32"/>
          <w:lang w:eastAsia="zh-CN"/>
        </w:rPr>
        <w:t>1.预算资金安排及管理情况</w:t>
      </w:r>
    </w:p>
    <w:p>
      <w:pPr>
        <w:pStyle w:val="2"/>
        <w:widowControl w:val="0"/>
        <w:kinsoku/>
        <w:overflowPunct w:val="0"/>
        <w:autoSpaceDE/>
        <w:autoSpaceDN/>
        <w:spacing w:line="360" w:lineRule="auto"/>
        <w:ind w:firstLine="688" w:firstLineChars="200"/>
        <w:rPr>
          <w:rFonts w:hint="eastAsia" w:ascii="仿宋" w:hAnsi="仿宋" w:eastAsia="仿宋" w:cs="仿宋"/>
          <w:spacing w:val="1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12"/>
          <w:sz w:val="32"/>
          <w:szCs w:val="32"/>
          <w:lang w:eastAsia="zh-CN"/>
        </w:rPr>
        <w:t>(1)资金来源及拨付流程</w:t>
      </w:r>
    </w:p>
    <w:p>
      <w:pPr>
        <w:pStyle w:val="2"/>
        <w:widowControl w:val="0"/>
        <w:kinsoku/>
        <w:overflowPunct w:val="0"/>
        <w:autoSpaceDE/>
        <w:autoSpaceDN/>
        <w:spacing w:line="360" w:lineRule="auto"/>
        <w:ind w:firstLine="688" w:firstLineChars="200"/>
        <w:rPr>
          <w:rFonts w:hint="eastAsia" w:ascii="仿宋" w:hAnsi="仿宋" w:eastAsia="仿宋" w:cs="仿宋"/>
          <w:spacing w:val="1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12"/>
          <w:sz w:val="32"/>
          <w:szCs w:val="32"/>
          <w:lang w:eastAsia="zh-CN"/>
        </w:rPr>
        <w:t>根据《怀化市鹤城区财政局关于批复下达202</w:t>
      </w:r>
      <w:r>
        <w:rPr>
          <w:rFonts w:hint="eastAsia" w:cs="仿宋"/>
          <w:spacing w:val="12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pacing w:val="12"/>
          <w:sz w:val="32"/>
          <w:szCs w:val="32"/>
          <w:lang w:eastAsia="zh-CN"/>
        </w:rPr>
        <w:t>年度部门预算的通知》（鹤财预〔202</w:t>
      </w:r>
      <w:r>
        <w:rPr>
          <w:rFonts w:hint="eastAsia" w:cs="仿宋"/>
          <w:spacing w:val="12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pacing w:val="12"/>
          <w:sz w:val="32"/>
          <w:szCs w:val="32"/>
          <w:lang w:eastAsia="zh-CN"/>
        </w:rPr>
        <w:t>〕</w:t>
      </w:r>
      <w:r>
        <w:rPr>
          <w:rFonts w:hint="eastAsia" w:cs="仿宋"/>
          <w:spacing w:val="12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pacing w:val="12"/>
          <w:sz w:val="32"/>
          <w:szCs w:val="32"/>
          <w:lang w:eastAsia="zh-CN"/>
        </w:rPr>
        <w:t>号）下达202</w:t>
      </w:r>
      <w:r>
        <w:rPr>
          <w:rFonts w:hint="eastAsia" w:cs="仿宋"/>
          <w:spacing w:val="12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pacing w:val="12"/>
          <w:sz w:val="32"/>
          <w:szCs w:val="32"/>
          <w:lang w:eastAsia="zh-CN"/>
        </w:rPr>
        <w:t>年专项业务经费</w:t>
      </w:r>
      <w:r>
        <w:rPr>
          <w:rFonts w:hint="eastAsia" w:cs="仿宋"/>
          <w:spacing w:val="12"/>
          <w:sz w:val="32"/>
          <w:szCs w:val="32"/>
          <w:lang w:val="en-US" w:eastAsia="zh-CN"/>
        </w:rPr>
        <w:t>203.98</w:t>
      </w:r>
      <w:r>
        <w:rPr>
          <w:rFonts w:hint="eastAsia" w:ascii="仿宋" w:hAnsi="仿宋" w:eastAsia="仿宋" w:cs="仿宋"/>
          <w:spacing w:val="12"/>
          <w:sz w:val="32"/>
          <w:szCs w:val="32"/>
          <w:lang w:eastAsia="zh-CN"/>
        </w:rPr>
        <w:t>万元。资金到位率100%。</w:t>
      </w:r>
    </w:p>
    <w:p>
      <w:pPr>
        <w:pStyle w:val="2"/>
        <w:widowControl w:val="0"/>
        <w:numPr>
          <w:ilvl w:val="0"/>
          <w:numId w:val="3"/>
        </w:numPr>
        <w:kinsoku/>
        <w:overflowPunct w:val="0"/>
        <w:autoSpaceDE/>
        <w:autoSpaceDN/>
        <w:spacing w:line="360" w:lineRule="auto"/>
        <w:ind w:firstLine="700" w:firstLineChars="200"/>
        <w:rPr>
          <w:rFonts w:hint="eastAsia" w:ascii="仿宋" w:hAnsi="仿宋" w:eastAsia="仿宋" w:cs="仿宋"/>
          <w:spacing w:val="15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15"/>
          <w:sz w:val="32"/>
          <w:szCs w:val="32"/>
          <w:lang w:eastAsia="zh-CN"/>
        </w:rPr>
        <w:t>资金到位情况</w:t>
      </w:r>
    </w:p>
    <w:p>
      <w:pPr>
        <w:pStyle w:val="2"/>
        <w:widowControl w:val="0"/>
        <w:numPr>
          <w:ilvl w:val="0"/>
          <w:numId w:val="0"/>
        </w:numPr>
        <w:kinsoku/>
        <w:overflowPunct w:val="0"/>
        <w:autoSpaceDE/>
        <w:autoSpaceDN/>
        <w:spacing w:line="360" w:lineRule="auto"/>
        <w:ind w:firstLine="700" w:firstLineChars="200"/>
        <w:rPr>
          <w:rFonts w:hint="eastAsia" w:ascii="仿宋" w:hAnsi="仿宋" w:eastAsia="仿宋" w:cs="仿宋"/>
          <w:spacing w:val="15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15"/>
          <w:sz w:val="32"/>
          <w:szCs w:val="32"/>
          <w:lang w:eastAsia="zh-CN"/>
        </w:rPr>
        <w:t>截至202</w:t>
      </w:r>
      <w:r>
        <w:rPr>
          <w:rFonts w:hint="eastAsia" w:cs="仿宋"/>
          <w:spacing w:val="15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pacing w:val="15"/>
          <w:sz w:val="32"/>
          <w:szCs w:val="32"/>
          <w:lang w:eastAsia="zh-CN"/>
        </w:rPr>
        <w:t>年底，资金共计到位</w:t>
      </w:r>
      <w:r>
        <w:rPr>
          <w:rFonts w:hint="eastAsia" w:cs="仿宋"/>
          <w:spacing w:val="15"/>
          <w:sz w:val="32"/>
          <w:szCs w:val="32"/>
          <w:lang w:val="en-US" w:eastAsia="zh-CN"/>
        </w:rPr>
        <w:t>203.98</w:t>
      </w:r>
      <w:r>
        <w:rPr>
          <w:rFonts w:hint="eastAsia" w:ascii="仿宋" w:hAnsi="仿宋" w:eastAsia="仿宋" w:cs="仿宋"/>
          <w:spacing w:val="15"/>
          <w:sz w:val="32"/>
          <w:szCs w:val="32"/>
          <w:lang w:eastAsia="zh-CN"/>
        </w:rPr>
        <w:t>万元，区级财政专项资金</w:t>
      </w:r>
      <w:r>
        <w:rPr>
          <w:rFonts w:hint="eastAsia" w:cs="仿宋"/>
          <w:spacing w:val="15"/>
          <w:sz w:val="32"/>
          <w:szCs w:val="32"/>
          <w:lang w:val="en-US" w:eastAsia="zh-CN"/>
        </w:rPr>
        <w:t>203.98</w:t>
      </w:r>
      <w:r>
        <w:rPr>
          <w:rFonts w:hint="eastAsia" w:ascii="仿宋" w:hAnsi="仿宋" w:eastAsia="仿宋" w:cs="仿宋"/>
          <w:spacing w:val="15"/>
          <w:sz w:val="32"/>
          <w:szCs w:val="32"/>
          <w:lang w:eastAsia="zh-CN"/>
        </w:rPr>
        <w:t>万元。资金到位率100%。</w:t>
      </w:r>
    </w:p>
    <w:p>
      <w:pPr>
        <w:pStyle w:val="2"/>
        <w:widowControl w:val="0"/>
        <w:numPr>
          <w:ilvl w:val="0"/>
          <w:numId w:val="3"/>
        </w:numPr>
        <w:kinsoku/>
        <w:overflowPunct w:val="0"/>
        <w:autoSpaceDE/>
        <w:autoSpaceDN/>
        <w:spacing w:line="360" w:lineRule="auto"/>
        <w:ind w:left="0" w:leftChars="0" w:firstLine="700" w:firstLineChars="200"/>
        <w:rPr>
          <w:rFonts w:hint="eastAsia" w:ascii="仿宋" w:hAnsi="仿宋" w:eastAsia="仿宋" w:cs="仿宋"/>
          <w:spacing w:val="15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15"/>
          <w:sz w:val="32"/>
          <w:szCs w:val="32"/>
          <w:lang w:eastAsia="zh-CN"/>
        </w:rPr>
        <w:t>资金使用情况</w:t>
      </w:r>
    </w:p>
    <w:p>
      <w:pPr>
        <w:pStyle w:val="2"/>
        <w:widowControl w:val="0"/>
        <w:numPr>
          <w:ilvl w:val="0"/>
          <w:numId w:val="0"/>
        </w:numPr>
        <w:kinsoku/>
        <w:overflowPunct w:val="0"/>
        <w:autoSpaceDE/>
        <w:autoSpaceDN/>
        <w:spacing w:line="360" w:lineRule="auto"/>
        <w:rPr>
          <w:rFonts w:hint="eastAsia" w:ascii="仿宋" w:hAnsi="仿宋" w:eastAsia="仿宋" w:cs="仿宋"/>
          <w:spacing w:val="15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15"/>
          <w:sz w:val="32"/>
          <w:szCs w:val="32"/>
          <w:lang w:val="en-US" w:eastAsia="zh-CN"/>
        </w:rPr>
        <w:t xml:space="preserve"> 截至202</w:t>
      </w:r>
      <w:r>
        <w:rPr>
          <w:rFonts w:hint="eastAsia" w:cs="仿宋"/>
          <w:spacing w:val="15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pacing w:val="15"/>
          <w:sz w:val="32"/>
          <w:szCs w:val="32"/>
          <w:lang w:val="en-US" w:eastAsia="zh-CN"/>
        </w:rPr>
        <w:t>年底，资金共计使用</w:t>
      </w:r>
      <w:r>
        <w:rPr>
          <w:rFonts w:hint="eastAsia" w:cs="仿宋"/>
          <w:spacing w:val="15"/>
          <w:sz w:val="32"/>
          <w:szCs w:val="32"/>
          <w:lang w:val="en-US" w:eastAsia="zh-CN"/>
        </w:rPr>
        <w:t>203.98</w:t>
      </w:r>
      <w:r>
        <w:rPr>
          <w:rFonts w:hint="eastAsia" w:ascii="仿宋" w:hAnsi="仿宋" w:eastAsia="仿宋" w:cs="仿宋"/>
          <w:spacing w:val="15"/>
          <w:sz w:val="32"/>
          <w:szCs w:val="32"/>
          <w:lang w:val="en-US" w:eastAsia="zh-CN"/>
        </w:rPr>
        <w:t>万元，资金使用</w:t>
      </w:r>
      <w:r>
        <w:rPr>
          <w:rFonts w:hint="eastAsia" w:cs="仿宋"/>
          <w:spacing w:val="15"/>
          <w:sz w:val="32"/>
          <w:szCs w:val="32"/>
          <w:lang w:val="en-US" w:eastAsia="zh-CN"/>
        </w:rPr>
        <w:t>率</w:t>
      </w:r>
      <w:r>
        <w:rPr>
          <w:rFonts w:hint="eastAsia" w:ascii="仿宋" w:hAnsi="仿宋" w:eastAsia="仿宋" w:cs="仿宋"/>
          <w:spacing w:val="15"/>
          <w:sz w:val="32"/>
          <w:szCs w:val="32"/>
          <w:lang w:val="en-US" w:eastAsia="zh-CN"/>
        </w:rPr>
        <w:t>100%。</w:t>
      </w:r>
    </w:p>
    <w:p>
      <w:pPr>
        <w:pStyle w:val="2"/>
        <w:widowControl w:val="0"/>
        <w:numPr>
          <w:ilvl w:val="0"/>
          <w:numId w:val="3"/>
        </w:numPr>
        <w:kinsoku/>
        <w:overflowPunct w:val="0"/>
        <w:autoSpaceDE/>
        <w:autoSpaceDN/>
        <w:spacing w:line="360" w:lineRule="auto"/>
        <w:ind w:left="0" w:leftChars="0" w:firstLine="676" w:firstLineChars="200"/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  <w:t>资金管理制度及执行情况</w:t>
      </w:r>
    </w:p>
    <w:p>
      <w:pPr>
        <w:pStyle w:val="2"/>
        <w:widowControl w:val="0"/>
        <w:kinsoku/>
        <w:overflowPunct w:val="0"/>
        <w:autoSpaceDE/>
        <w:autoSpaceDN/>
        <w:spacing w:line="360" w:lineRule="auto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494949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94949"/>
          <w:spacing w:val="0"/>
          <w:sz w:val="32"/>
          <w:szCs w:val="32"/>
          <w:u w:val="none"/>
          <w:shd w:val="clear" w:fill="FFFFFF"/>
        </w:rPr>
        <w:t>严格按照国库集中支付制度相关规定办理支付业务，严格遵循</w:t>
      </w:r>
      <w:r>
        <w:rPr>
          <w:rFonts w:hint="eastAsia" w:ascii="仿宋" w:hAnsi="仿宋" w:eastAsia="仿宋" w:cs="仿宋"/>
          <w:i w:val="0"/>
          <w:iCs w:val="0"/>
          <w:caps w:val="0"/>
          <w:color w:val="494949"/>
          <w:spacing w:val="0"/>
          <w:sz w:val="32"/>
          <w:szCs w:val="32"/>
          <w:shd w:val="clear" w:fill="FFFFFF"/>
        </w:rPr>
        <w:t>“先有预算、后有支出、厉行节约”的原则，项目经费按照文件精神编制预算项目并拨付资金，资金严格按照规定的使用范围列支，款项均采取银行转账方式进行支付。项目支出过程中，严格按照项目预算绩效目标要求，将项目工作经费专项用于开展项目工作的各个环节，做到专款专用，确保项目绩效目标得以实现。</w:t>
      </w:r>
    </w:p>
    <w:p>
      <w:pPr>
        <w:widowControl w:val="0"/>
        <w:numPr>
          <w:ilvl w:val="0"/>
          <w:numId w:val="4"/>
        </w:numPr>
        <w:spacing w:line="360" w:lineRule="auto"/>
        <w:outlineLvl w:val="1"/>
        <w:rPr>
          <w:rFonts w:ascii="楷体" w:hAnsi="楷体" w:eastAsia="楷体" w:cs="楷体"/>
          <w:spacing w:val="3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3"/>
          <w:sz w:val="32"/>
          <w:szCs w:val="32"/>
          <w:lang w:eastAsia="zh-CN"/>
        </w:rPr>
        <w:t>绩效目标完成情况</w:t>
      </w:r>
    </w:p>
    <w:p>
      <w:pPr>
        <w:pStyle w:val="2"/>
        <w:widowControl w:val="0"/>
        <w:kinsoku/>
        <w:overflowPunct w:val="0"/>
        <w:autoSpaceDE/>
        <w:autoSpaceDN/>
        <w:spacing w:line="360" w:lineRule="auto"/>
        <w:ind w:firstLine="612" w:firstLineChars="200"/>
        <w:rPr>
          <w:rFonts w:hint="eastAsia" w:ascii="仿宋" w:hAnsi="仿宋" w:eastAsia="仿宋" w:cs="仿宋"/>
          <w:spacing w:val="-7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-7"/>
          <w:sz w:val="32"/>
          <w:szCs w:val="32"/>
          <w:lang w:eastAsia="zh-CN"/>
        </w:rPr>
        <w:t>1.绩效目标</w:t>
      </w:r>
    </w:p>
    <w:p>
      <w:pPr>
        <w:pStyle w:val="2"/>
        <w:widowControl w:val="0"/>
        <w:kinsoku/>
        <w:overflowPunct w:val="0"/>
        <w:autoSpaceDE/>
        <w:autoSpaceDN/>
        <w:spacing w:line="360" w:lineRule="auto"/>
        <w:ind w:firstLine="676" w:firstLineChars="200"/>
        <w:rPr>
          <w:rFonts w:hint="eastAsia" w:ascii="仿宋" w:hAnsi="仿宋" w:eastAsia="仿宋" w:cs="仿宋"/>
          <w:spacing w:val="-7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  <w:t>我办执行国家有关法律、法规和财务制度，厉行节约，量入为出，注重资金使用效益、部门预算编制、分配符合本单位职责、符合</w:t>
      </w:r>
      <w:r>
        <w:rPr>
          <w:rFonts w:hint="eastAsia" w:ascii="仿宋" w:hAnsi="仿宋" w:eastAsia="仿宋" w:cs="仿宋"/>
          <w:spacing w:val="9"/>
          <w:sz w:val="32"/>
          <w:szCs w:val="32"/>
          <w:lang w:val="en-US" w:eastAsia="zh-CN"/>
        </w:rPr>
        <w:t>区</w:t>
      </w:r>
      <w:r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  <w:t>委</w:t>
      </w:r>
      <w:r>
        <w:rPr>
          <w:rFonts w:hint="eastAsia" w:ascii="仿宋" w:hAnsi="仿宋" w:eastAsia="仿宋" w:cs="仿宋"/>
          <w:spacing w:val="9"/>
          <w:sz w:val="32"/>
          <w:szCs w:val="32"/>
          <w:lang w:val="en-US" w:eastAsia="zh-CN"/>
        </w:rPr>
        <w:t>区</w:t>
      </w:r>
      <w:r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  <w:t>政府方针政策和工作要求，部门预算资金能根据年度工作重点，在不同项目、不同用途之间合理调整，按要求做实做细部门项目库工作，严格依照要求申报项目绩效目标和设置部门整体绩效目标，整体绩效目标具有合理性、可衡量性。</w:t>
      </w:r>
    </w:p>
    <w:p>
      <w:pPr>
        <w:pStyle w:val="2"/>
        <w:widowControl w:val="0"/>
        <w:numPr>
          <w:ilvl w:val="0"/>
          <w:numId w:val="5"/>
        </w:numPr>
        <w:kinsoku/>
        <w:overflowPunct w:val="0"/>
        <w:autoSpaceDE/>
        <w:autoSpaceDN/>
        <w:spacing w:line="360" w:lineRule="auto"/>
        <w:ind w:left="0" w:leftChars="0" w:firstLine="628" w:firstLineChars="200"/>
        <w:rPr>
          <w:rFonts w:hint="eastAsia" w:ascii="仿宋" w:hAnsi="仿宋" w:eastAsia="仿宋" w:cs="仿宋"/>
          <w:spacing w:val="-3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-3"/>
          <w:sz w:val="32"/>
          <w:szCs w:val="32"/>
          <w:lang w:eastAsia="zh-CN"/>
        </w:rPr>
        <w:t>绩效指标</w:t>
      </w:r>
    </w:p>
    <w:p>
      <w:pPr>
        <w:pStyle w:val="2"/>
        <w:widowControl w:val="0"/>
        <w:numPr>
          <w:ilvl w:val="0"/>
          <w:numId w:val="0"/>
        </w:numPr>
        <w:kinsoku/>
        <w:overflowPunct w:val="0"/>
        <w:autoSpaceDE/>
        <w:autoSpaceDN/>
        <w:spacing w:line="360" w:lineRule="auto"/>
        <w:ind w:leftChars="200" w:firstLine="628" w:firstLineChars="200"/>
        <w:rPr>
          <w:rFonts w:hint="eastAsia" w:ascii="仿宋" w:hAnsi="仿宋" w:eastAsia="仿宋" w:cs="仿宋"/>
          <w:spacing w:val="-3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3"/>
          <w:sz w:val="32"/>
          <w:szCs w:val="32"/>
          <w:lang w:eastAsia="zh-CN"/>
        </w:rPr>
        <w:t>该项资金主要从数量、质量、时效、成本、效益、满意度，六项指标进行项目总体分析。</w:t>
      </w:r>
    </w:p>
    <w:p>
      <w:pPr>
        <w:widowControl w:val="0"/>
        <w:numPr>
          <w:ilvl w:val="0"/>
          <w:numId w:val="0"/>
        </w:numPr>
        <w:spacing w:line="360" w:lineRule="auto"/>
        <w:ind w:leftChars="200"/>
        <w:outlineLvl w:val="1"/>
        <w:rPr>
          <w:rFonts w:ascii="黑体" w:hAnsi="黑体" w:eastAsia="黑体" w:cs="黑体"/>
          <w:spacing w:val="-1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pacing w:val="-12"/>
          <w:sz w:val="32"/>
          <w:szCs w:val="32"/>
          <w:lang w:eastAsia="zh-CN"/>
        </w:rPr>
        <w:t>四、</w:t>
      </w:r>
      <w:r>
        <w:rPr>
          <w:rFonts w:ascii="黑体" w:hAnsi="黑体" w:eastAsia="黑体" w:cs="黑体"/>
          <w:spacing w:val="-12"/>
          <w:sz w:val="32"/>
          <w:szCs w:val="32"/>
          <w:lang w:eastAsia="zh-CN"/>
        </w:rPr>
        <w:t>存在问题及其原因</w:t>
      </w:r>
    </w:p>
    <w:p>
      <w:pPr>
        <w:widowControl w:val="0"/>
        <w:kinsoku/>
        <w:overflowPunct w:val="0"/>
        <w:spacing w:line="360" w:lineRule="auto"/>
        <w:ind w:firstLine="604" w:firstLineChars="200"/>
        <w:rPr>
          <w:rFonts w:hint="eastAsia" w:ascii="仿宋" w:hAnsi="仿宋" w:eastAsia="仿宋" w:cs="仿宋"/>
          <w:spacing w:val="-9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-9"/>
          <w:sz w:val="32"/>
          <w:szCs w:val="32"/>
          <w:lang w:eastAsia="zh-CN"/>
        </w:rPr>
        <w:t>1.预算申报时，应建立在科学测算、整体评估、切合实际的基础上，但项目经费下达还不够细化，预算编制的准确性有待进一步提高。</w:t>
      </w:r>
    </w:p>
    <w:p>
      <w:pPr>
        <w:widowControl w:val="0"/>
        <w:kinsoku/>
        <w:overflowPunct w:val="0"/>
        <w:spacing w:line="360" w:lineRule="auto"/>
        <w:ind w:firstLine="604" w:firstLineChars="200"/>
        <w:rPr>
          <w:rFonts w:hint="eastAsia" w:ascii="仿宋" w:hAnsi="仿宋" w:eastAsia="仿宋" w:cs="仿宋"/>
          <w:b/>
          <w:bCs/>
          <w:spacing w:val="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-9"/>
          <w:sz w:val="32"/>
          <w:szCs w:val="32"/>
          <w:lang w:eastAsia="zh-CN"/>
        </w:rPr>
        <w:t>2.人员素质有待进一步提高。预算绩效管理极具专业性和复杂性，相关工作人员专业能力有待提升。</w:t>
      </w:r>
    </w:p>
    <w:p>
      <w:pPr>
        <w:widowControl w:val="0"/>
        <w:numPr>
          <w:ilvl w:val="0"/>
          <w:numId w:val="0"/>
        </w:numPr>
        <w:spacing w:line="360" w:lineRule="auto"/>
        <w:ind w:leftChars="200"/>
        <w:outlineLvl w:val="1"/>
        <w:rPr>
          <w:rFonts w:hint="eastAsia" w:ascii="仿宋" w:hAnsi="仿宋" w:eastAsia="仿宋" w:cs="仿宋"/>
          <w:spacing w:val="-12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ind w:leftChars="200"/>
        <w:outlineLvl w:val="1"/>
        <w:rPr>
          <w:rFonts w:ascii="黑体" w:hAnsi="黑体" w:eastAsia="黑体" w:cs="黑体"/>
          <w:spacing w:val="-12"/>
          <w:sz w:val="32"/>
          <w:szCs w:val="32"/>
          <w:lang w:eastAsia="zh-CN"/>
        </w:rPr>
      </w:pPr>
    </w:p>
    <w:p>
      <w:pPr>
        <w:widowControl w:val="0"/>
        <w:spacing w:line="360" w:lineRule="auto"/>
        <w:ind w:firstLine="596" w:firstLineChars="200"/>
        <w:outlineLvl w:val="2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spacing w:val="-11"/>
          <w:sz w:val="32"/>
          <w:szCs w:val="32"/>
          <w:lang w:eastAsia="zh-CN"/>
        </w:rPr>
        <w:t>五、有关建议及工作措施</w:t>
      </w:r>
    </w:p>
    <w:p>
      <w:pPr>
        <w:spacing w:before="107" w:line="230" w:lineRule="auto"/>
        <w:ind w:firstLine="640" w:firstLineChars="200"/>
        <w:rPr>
          <w:rFonts w:hint="eastAsia" w:ascii="仿宋" w:hAnsi="仿宋" w:eastAsia="仿宋" w:cs="仿宋"/>
          <w:bCs/>
          <w:snapToGrid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napToGrid/>
          <w:sz w:val="32"/>
          <w:szCs w:val="32"/>
          <w:lang w:eastAsia="zh-CN"/>
        </w:rPr>
        <w:t>一、进一步健全和完善财务管理制度及内部控制制度，创新管理手段，用新思路、新方法，改进完善财务管理方法，制度管项目，用制度管资金，杜绝一切腐败现象；二、财务人员积极学习财务知识，相关文件政策，提升自身职业素养。</w:t>
      </w:r>
    </w:p>
    <w:p>
      <w:pPr>
        <w:spacing w:before="122" w:line="225" w:lineRule="auto"/>
        <w:ind w:left="854"/>
        <w:outlineLvl w:val="0"/>
        <w:rPr>
          <w:rFonts w:hint="eastAsia" w:ascii="仿宋" w:hAnsi="仿宋" w:eastAsia="仿宋" w:cs="仿宋"/>
          <w:b/>
          <w:bCs/>
          <w:spacing w:val="6"/>
          <w:sz w:val="32"/>
          <w:szCs w:val="32"/>
          <w:lang w:eastAsia="zh-CN"/>
        </w:rPr>
      </w:pPr>
    </w:p>
    <w:p/>
    <w:p/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               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</w:t>
      </w:r>
    </w:p>
    <w:p>
      <w:pPr>
        <w:ind w:firstLine="5120" w:firstLineChars="1600"/>
        <w:rPr>
          <w:rFonts w:hint="default" w:eastAsia="宋体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2024年11月20日</w:t>
      </w:r>
    </w:p>
    <w:sectPr>
      <w:footerReference r:id="rId3" w:type="default"/>
      <w:pgSz w:w="12060" w:h="16950"/>
      <w:pgMar w:top="1446" w:right="1587" w:bottom="1446" w:left="1587" w:header="0" w:footer="1070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9" w:lineRule="auto"/>
      <w:rPr>
        <w:rFonts w:ascii="Times New Roman" w:hAnsi="Times New Roman" w:eastAsia="Times New Roman" w:cs="Times New Roman"/>
        <w:sz w:val="23"/>
        <w:szCs w:val="23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F126C8"/>
    <w:multiLevelType w:val="singleLevel"/>
    <w:tmpl w:val="BFF126C8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DE24D91B"/>
    <w:multiLevelType w:val="singleLevel"/>
    <w:tmpl w:val="DE24D91B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CA2EE80"/>
    <w:multiLevelType w:val="singleLevel"/>
    <w:tmpl w:val="FCA2EE8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6471DCEC"/>
    <w:multiLevelType w:val="singleLevel"/>
    <w:tmpl w:val="6471DCEC"/>
    <w:lvl w:ilvl="0" w:tentative="0">
      <w:start w:val="2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4">
    <w:nsid w:val="65C381F9"/>
    <w:multiLevelType w:val="singleLevel"/>
    <w:tmpl w:val="65C381F9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8908AC"/>
    <w:rsid w:val="1DE83E4C"/>
    <w:rsid w:val="26AC3CA6"/>
    <w:rsid w:val="5C890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5"/>
      <w:szCs w:val="35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6">
    <w:name w:val="NormalCharacter"/>
    <w:link w:val="7"/>
    <w:semiHidden/>
    <w:qFormat/>
    <w:uiPriority w:val="0"/>
    <w:rPr>
      <w:rFonts w:ascii="宋体" w:hAnsi="宋体" w:cs="宋体"/>
      <w:sz w:val="24"/>
      <w:szCs w:val="24"/>
    </w:rPr>
  </w:style>
  <w:style w:type="paragraph" w:customStyle="1" w:styleId="7">
    <w:name w:val="UserStyle_0"/>
    <w:basedOn w:val="1"/>
    <w:link w:val="6"/>
    <w:qFormat/>
    <w:uiPriority w:val="99"/>
    <w:pPr>
      <w:widowControl/>
    </w:pPr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2024-11-22T01:27:00Z</dcterms:created>
  <dc:creator>Administrator</dc:creator>
  <cp:lastModifiedBy>Administrator</cp:lastModifiedBy>
  <cp:lastPrinted>2024-11-22T02:40:07Z</cp:lastPrinted>
  <dcterms:modified xsi:type="dcterms:W3CDTF">2024-11-22T02:44:48Z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B2F879D11A1049429B3EADB0631393CC</vt:lpwstr>
  </property>
</Properties>
</file>