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spacing w:val="11"/>
        </w:rPr>
      </w:pPr>
      <w:r>
        <w:rPr>
          <w:spacing w:val="11"/>
        </w:rPr>
        <w:t>附件2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1893"/>
        <w:jc w:val="center"/>
        <w:textAlignment w:val="baseline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2" w:rightChars="0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  <w:r>
        <w:rPr>
          <w:rFonts w:ascii="宋体" w:hAnsi="宋体" w:eastAsia="宋体" w:cs="宋体"/>
          <w:b/>
          <w:bCs/>
          <w:sz w:val="52"/>
          <w:szCs w:val="52"/>
        </w:rPr>
        <w:t>202</w:t>
      </w:r>
      <w:r>
        <w:rPr>
          <w:rFonts w:hint="eastAsia" w:ascii="宋体" w:hAnsi="宋体" w:eastAsia="宋体" w:cs="宋体"/>
          <w:b/>
          <w:bCs/>
          <w:sz w:val="52"/>
          <w:szCs w:val="52"/>
          <w:lang w:val="en-US" w:eastAsia="zh-CN"/>
        </w:rPr>
        <w:t>4</w:t>
      </w:r>
      <w:r>
        <w:rPr>
          <w:rFonts w:ascii="宋体" w:hAnsi="宋体" w:eastAsia="宋体" w:cs="宋体"/>
          <w:b/>
          <w:bCs/>
          <w:sz w:val="52"/>
          <w:szCs w:val="52"/>
        </w:rPr>
        <w:t>年度</w:t>
      </w:r>
      <w:r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  <w:t>怀化市人民路小学整体</w:t>
      </w:r>
      <w:r>
        <w:rPr>
          <w:rFonts w:ascii="宋体" w:hAnsi="宋体" w:eastAsia="宋体" w:cs="宋体"/>
          <w:b/>
          <w:bCs/>
          <w:sz w:val="52"/>
          <w:szCs w:val="52"/>
        </w:rPr>
        <w:t>支出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1893" w:firstLine="3012" w:firstLineChars="600"/>
        <w:textAlignment w:val="baseline"/>
        <w:rPr>
          <w:rFonts w:hint="default" w:ascii="宋体" w:hAnsi="宋体" w:eastAsia="宋体" w:cs="宋体"/>
          <w:sz w:val="52"/>
          <w:szCs w:val="52"/>
          <w:lang w:val="en-US" w:eastAsia="zh-CN"/>
        </w:rPr>
      </w:pPr>
      <w:r>
        <w:rPr>
          <w:rFonts w:ascii="宋体" w:hAnsi="宋体" w:eastAsia="宋体" w:cs="宋体"/>
          <w:b/>
          <w:bCs/>
          <w:spacing w:val="-10"/>
          <w:sz w:val="52"/>
          <w:szCs w:val="52"/>
        </w:rPr>
        <w:t>绩效自评报告</w:t>
      </w:r>
      <w:r>
        <w:rPr>
          <w:rFonts w:hint="eastAsia" w:ascii="宋体" w:hAnsi="宋体" w:eastAsia="宋体" w:cs="宋体"/>
          <w:b/>
          <w:bCs/>
          <w:spacing w:val="-10"/>
          <w:sz w:val="52"/>
          <w:szCs w:val="5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795"/>
        <w:textAlignment w:val="baseline"/>
        <w:rPr>
          <w:rFonts w:ascii="楷体" w:hAnsi="楷体" w:eastAsia="楷体" w:cs="楷体"/>
          <w:spacing w:val="-36"/>
          <w:w w:val="99"/>
          <w:sz w:val="34"/>
          <w:szCs w:val="34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795"/>
        <w:textAlignment w:val="baseline"/>
        <w:rPr>
          <w:rFonts w:ascii="楷体" w:hAnsi="楷体" w:eastAsia="楷体" w:cs="楷体"/>
          <w:spacing w:val="-36"/>
          <w:w w:val="99"/>
          <w:sz w:val="34"/>
          <w:szCs w:val="34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795"/>
        <w:textAlignment w:val="baseline"/>
        <w:rPr>
          <w:rFonts w:ascii="楷体" w:hAnsi="楷体" w:eastAsia="楷体" w:cs="楷体"/>
          <w:sz w:val="34"/>
          <w:szCs w:val="34"/>
        </w:rPr>
      </w:pPr>
      <w:r>
        <w:rPr>
          <w:rFonts w:ascii="楷体" w:hAnsi="楷体" w:eastAsia="楷体" w:cs="楷体"/>
          <w:spacing w:val="-36"/>
          <w:w w:val="99"/>
          <w:sz w:val="34"/>
          <w:szCs w:val="34"/>
        </w:rPr>
        <w:t>实施单位：</w:t>
      </w:r>
      <w:r>
        <w:rPr>
          <w:rFonts w:ascii="楷体" w:hAnsi="楷体" w:eastAsia="楷体" w:cs="楷体"/>
          <w:spacing w:val="-79"/>
          <w:sz w:val="34"/>
          <w:szCs w:val="34"/>
          <w:u w:val="single" w:color="auto"/>
        </w:rPr>
        <w:t xml:space="preserve"> </w:t>
      </w:r>
      <w:r>
        <w:rPr>
          <w:rFonts w:ascii="楷体" w:hAnsi="楷体" w:eastAsia="楷体" w:cs="楷体"/>
          <w:spacing w:val="-36"/>
          <w:w w:val="99"/>
          <w:sz w:val="34"/>
          <w:szCs w:val="34"/>
          <w:u w:val="single" w:color="auto"/>
        </w:rPr>
        <w:t>(</w:t>
      </w:r>
      <w:r>
        <w:rPr>
          <w:rFonts w:ascii="楷体" w:hAnsi="楷体" w:eastAsia="楷体" w:cs="楷体"/>
          <w:spacing w:val="27"/>
          <w:sz w:val="34"/>
          <w:szCs w:val="34"/>
          <w:u w:val="single" w:color="auto"/>
        </w:rPr>
        <w:t xml:space="preserve"> </w:t>
      </w:r>
      <w:r>
        <w:rPr>
          <w:rFonts w:ascii="楷体" w:hAnsi="楷体" w:eastAsia="楷体" w:cs="楷体"/>
          <w:spacing w:val="-36"/>
          <w:w w:val="99"/>
          <w:sz w:val="34"/>
          <w:szCs w:val="34"/>
          <w:u w:val="single" w:color="auto"/>
        </w:rPr>
        <w:t>盖</w:t>
      </w:r>
      <w:r>
        <w:rPr>
          <w:rFonts w:ascii="楷体" w:hAnsi="楷体" w:eastAsia="楷体" w:cs="楷体"/>
          <w:spacing w:val="32"/>
          <w:sz w:val="34"/>
          <w:szCs w:val="34"/>
          <w:u w:val="single" w:color="auto"/>
        </w:rPr>
        <w:t xml:space="preserve"> </w:t>
      </w:r>
      <w:r>
        <w:rPr>
          <w:rFonts w:ascii="楷体" w:hAnsi="楷体" w:eastAsia="楷体" w:cs="楷体"/>
          <w:spacing w:val="-36"/>
          <w:w w:val="99"/>
          <w:sz w:val="34"/>
          <w:szCs w:val="34"/>
          <w:u w:val="single" w:color="auto"/>
        </w:rPr>
        <w:t>章</w:t>
      </w:r>
      <w:r>
        <w:rPr>
          <w:rFonts w:ascii="楷体" w:hAnsi="楷体" w:eastAsia="楷体" w:cs="楷体"/>
          <w:spacing w:val="26"/>
          <w:sz w:val="34"/>
          <w:szCs w:val="34"/>
          <w:u w:val="single" w:color="auto"/>
        </w:rPr>
        <w:t xml:space="preserve"> </w:t>
      </w:r>
      <w:r>
        <w:rPr>
          <w:rFonts w:ascii="楷体" w:hAnsi="楷体" w:eastAsia="楷体" w:cs="楷体"/>
          <w:spacing w:val="-36"/>
          <w:w w:val="99"/>
          <w:sz w:val="34"/>
          <w:szCs w:val="34"/>
          <w:u w:val="single" w:color="auto"/>
        </w:rPr>
        <w:t>)</w:t>
      </w:r>
      <w:r>
        <w:rPr>
          <w:rFonts w:ascii="楷体" w:hAnsi="楷体" w:eastAsia="楷体" w:cs="楷体"/>
          <w:sz w:val="34"/>
          <w:szCs w:val="34"/>
          <w:u w:val="single" w:color="auto"/>
        </w:rPr>
        <w:t xml:space="preserve">       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3046"/>
        <w:textAlignment w:val="baseline"/>
        <w:rPr>
          <w:rFonts w:ascii="楷体" w:hAnsi="楷体" w:eastAsia="楷体" w:cs="楷体"/>
          <w:spacing w:val="-11"/>
          <w:sz w:val="25"/>
          <w:szCs w:val="25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3046"/>
        <w:textAlignment w:val="baseline"/>
        <w:rPr>
          <w:rFonts w:ascii="楷体" w:hAnsi="楷体" w:eastAsia="楷体" w:cs="楷体"/>
          <w:sz w:val="25"/>
          <w:szCs w:val="25"/>
        </w:rPr>
      </w:pPr>
      <w:r>
        <w:rPr>
          <w:rFonts w:hint="eastAsia" w:ascii="楷体" w:hAnsi="楷体" w:eastAsia="楷体" w:cs="楷体"/>
          <w:spacing w:val="-11"/>
          <w:sz w:val="25"/>
          <w:szCs w:val="25"/>
          <w:lang w:val="en-US" w:eastAsia="zh-CN"/>
        </w:rPr>
        <w:t>2025</w:t>
      </w:r>
      <w:r>
        <w:rPr>
          <w:rFonts w:ascii="楷体" w:hAnsi="楷体" w:eastAsia="楷体" w:cs="楷体"/>
          <w:spacing w:val="-11"/>
          <w:sz w:val="25"/>
          <w:szCs w:val="25"/>
        </w:rPr>
        <w:t>年</w:t>
      </w:r>
      <w:r>
        <w:rPr>
          <w:rFonts w:ascii="楷体" w:hAnsi="楷体" w:eastAsia="楷体" w:cs="楷体"/>
          <w:spacing w:val="11"/>
          <w:sz w:val="25"/>
          <w:szCs w:val="25"/>
        </w:rPr>
        <w:t xml:space="preserve">  </w:t>
      </w:r>
      <w:r>
        <w:rPr>
          <w:rFonts w:hint="eastAsia" w:ascii="楷体" w:hAnsi="楷体" w:eastAsia="楷体" w:cs="楷体"/>
          <w:spacing w:val="11"/>
          <w:sz w:val="25"/>
          <w:szCs w:val="25"/>
          <w:lang w:val="en-US" w:eastAsia="zh-CN"/>
        </w:rPr>
        <w:t>4</w:t>
      </w:r>
      <w:r>
        <w:rPr>
          <w:rFonts w:ascii="楷体" w:hAnsi="楷体" w:eastAsia="楷体" w:cs="楷体"/>
          <w:spacing w:val="11"/>
          <w:sz w:val="25"/>
          <w:szCs w:val="25"/>
        </w:rPr>
        <w:t xml:space="preserve"> </w:t>
      </w:r>
      <w:r>
        <w:rPr>
          <w:rFonts w:ascii="楷体" w:hAnsi="楷体" w:eastAsia="楷体" w:cs="楷体"/>
          <w:spacing w:val="-11"/>
          <w:sz w:val="25"/>
          <w:szCs w:val="25"/>
        </w:rPr>
        <w:t>月</w:t>
      </w:r>
      <w:r>
        <w:rPr>
          <w:rFonts w:ascii="楷体" w:hAnsi="楷体" w:eastAsia="楷体" w:cs="楷体"/>
          <w:spacing w:val="26"/>
          <w:sz w:val="25"/>
          <w:szCs w:val="25"/>
        </w:rPr>
        <w:t xml:space="preserve">  </w:t>
      </w:r>
      <w:r>
        <w:rPr>
          <w:rFonts w:hint="eastAsia" w:ascii="楷体" w:hAnsi="楷体" w:eastAsia="楷体" w:cs="楷体"/>
          <w:spacing w:val="26"/>
          <w:sz w:val="25"/>
          <w:szCs w:val="25"/>
          <w:lang w:val="en-US" w:eastAsia="zh-CN"/>
        </w:rPr>
        <w:t>25</w:t>
      </w:r>
      <w:r>
        <w:rPr>
          <w:rFonts w:ascii="楷体" w:hAnsi="楷体" w:eastAsia="楷体" w:cs="楷体"/>
          <w:spacing w:val="26"/>
          <w:sz w:val="25"/>
          <w:szCs w:val="25"/>
        </w:rPr>
        <w:t xml:space="preserve"> </w:t>
      </w:r>
      <w:r>
        <w:rPr>
          <w:rFonts w:ascii="楷体" w:hAnsi="楷体" w:eastAsia="楷体" w:cs="楷体"/>
          <w:spacing w:val="-11"/>
          <w:sz w:val="25"/>
          <w:szCs w:val="25"/>
        </w:rPr>
        <w:t>日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楷体" w:hAnsi="楷体" w:eastAsia="楷体" w:cs="楷体"/>
          <w:sz w:val="25"/>
          <w:szCs w:val="25"/>
        </w:rPr>
        <w:sectPr>
          <w:pgSz w:w="11900" w:h="16830"/>
          <w:pgMar w:top="1088" w:right="1429" w:bottom="1020" w:left="1429" w:header="0" w:footer="939" w:gutter="0"/>
          <w:pgNumType w:fmt="decimal"/>
          <w:cols w:space="720" w:num="1"/>
        </w:sect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20</w:t>
      </w:r>
      <w:r>
        <w:rPr>
          <w:rFonts w:hint="eastAsia" w:ascii="宋体" w:hAnsi="宋体" w:eastAsia="宋体" w:cs="宋体"/>
          <w:b/>
          <w:bCs/>
          <w:spacing w:val="-7"/>
          <w:sz w:val="43"/>
          <w:szCs w:val="43"/>
          <w:lang w:val="en-US" w:eastAsia="zh-CN"/>
        </w:rPr>
        <w:t>24</w:t>
      </w: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年度</w:t>
      </w:r>
      <w:r>
        <w:rPr>
          <w:rFonts w:hint="eastAsia" w:ascii="Times New Roman" w:hAnsi="Times New Roman" w:eastAsia="宋体" w:cs="Times New Roman"/>
          <w:b/>
          <w:bCs/>
          <w:spacing w:val="-7"/>
          <w:sz w:val="43"/>
          <w:szCs w:val="43"/>
          <w:lang w:val="en-US" w:eastAsia="zh-CN"/>
        </w:rPr>
        <w:t>怀化市人民路小学</w:t>
      </w: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整体支出绩效自评报告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2"/>
          <w:sz w:val="28"/>
          <w:szCs w:val="28"/>
        </w:rPr>
        <w:t>一、部门</w:t>
      </w:r>
      <w:r>
        <w:rPr>
          <w:rFonts w:hint="eastAsia" w:ascii="宋体" w:hAnsi="宋体" w:eastAsia="宋体" w:cs="宋体"/>
          <w:b/>
          <w:bCs/>
          <w:spacing w:val="2"/>
          <w:sz w:val="28"/>
          <w:szCs w:val="28"/>
          <w:lang w:eastAsia="zh-CN"/>
        </w:rPr>
        <w:t>基本</w:t>
      </w:r>
      <w:r>
        <w:rPr>
          <w:rFonts w:hint="eastAsia" w:ascii="宋体" w:hAnsi="宋体" w:eastAsia="宋体" w:cs="宋体"/>
          <w:b/>
          <w:bCs/>
          <w:spacing w:val="2"/>
          <w:sz w:val="28"/>
          <w:szCs w:val="28"/>
        </w:rPr>
        <w:t>概况</w:t>
      </w:r>
    </w:p>
    <w:p>
      <w:pPr>
        <w:pStyle w:val="3"/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spacing w:val="23"/>
          <w:sz w:val="28"/>
          <w:szCs w:val="28"/>
        </w:rPr>
      </w:pPr>
      <w:r>
        <w:rPr>
          <w:rFonts w:hint="eastAsia" w:ascii="宋体" w:hAnsi="宋体" w:eastAsia="宋体" w:cs="宋体"/>
          <w:spacing w:val="23"/>
          <w:sz w:val="28"/>
          <w:szCs w:val="28"/>
        </w:rPr>
        <w:t>(一)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en-US" w:bidi="ar-SA"/>
        </w:rPr>
        <w:t>机构、人员构成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怀化市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人民路小</w:t>
      </w:r>
      <w:r>
        <w:rPr>
          <w:rFonts w:hint="eastAsia" w:ascii="宋体" w:hAnsi="宋体" w:eastAsia="宋体" w:cs="宋体"/>
          <w:sz w:val="28"/>
          <w:szCs w:val="28"/>
        </w:rPr>
        <w:t>学是全额拨款的事业单位。内设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</w:rPr>
        <w:t>个职能处室：校长室、副校长室、教导处、教研室、总务处、办公室、工会、德育处、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安监办、督导室</w:t>
      </w:r>
      <w:r>
        <w:rPr>
          <w:rFonts w:hint="eastAsia" w:ascii="宋体" w:hAnsi="宋体" w:eastAsia="宋体" w:cs="宋体"/>
          <w:sz w:val="28"/>
          <w:szCs w:val="28"/>
        </w:rPr>
        <w:t>。现实有在职人员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163</w:t>
      </w:r>
      <w:r>
        <w:rPr>
          <w:rFonts w:hint="eastAsia" w:ascii="宋体" w:hAnsi="宋体" w:eastAsia="宋体" w:cs="宋体"/>
          <w:sz w:val="28"/>
          <w:szCs w:val="28"/>
        </w:rPr>
        <w:t>人（其中全额拨款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163</w:t>
      </w:r>
      <w:r>
        <w:rPr>
          <w:rFonts w:hint="eastAsia" w:ascii="宋体" w:hAnsi="宋体" w:eastAsia="宋体" w:cs="宋体"/>
          <w:sz w:val="28"/>
          <w:szCs w:val="28"/>
        </w:rPr>
        <w:t>人，自收自支0人）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spacing w:val="25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pacing w:val="25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spacing w:val="25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en-US" w:bidi="ar-SA"/>
        </w:rPr>
        <w:t>单位主要职责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全面贯彻党的教育方针，落实九年义务教育各项政策，保障学生受教育的各项权利，维护教师职工各项权益。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2"/>
          <w:sz w:val="28"/>
          <w:szCs w:val="28"/>
        </w:rPr>
        <w:t>二、部门财务情况</w:t>
      </w:r>
    </w:p>
    <w:p>
      <w:pPr>
        <w:pStyle w:val="3"/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spacing w:val="23"/>
          <w:sz w:val="28"/>
          <w:szCs w:val="28"/>
        </w:rPr>
      </w:pPr>
      <w:r>
        <w:rPr>
          <w:rFonts w:hint="eastAsia" w:ascii="宋体" w:hAnsi="宋体" w:eastAsia="宋体" w:cs="宋体"/>
          <w:spacing w:val="23"/>
          <w:sz w:val="28"/>
          <w:szCs w:val="28"/>
        </w:rPr>
        <w:t>(一)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en-US" w:bidi="ar-SA"/>
        </w:rPr>
        <w:t>部门整体支出情况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年我校高度重视预算管理工作，严格遵循相关财务制度和法规，以保障学校各项工作的顺利开展和资金的合理使用。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在预算执行方面，通过定期监控，对预算执行情况进行分析和总结,及时发现并纠正存在的问题。各部门密切配合，按照预算安排有序推进各项工作，确保预算执行的进度和准确性。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在资金使用方面，坚持专款专用、合理分配的原则。优先保障教育教学的正常开展，如水电维修、办公用品采购等。同时，合理安排资金用于学校的教师培训、校园文化活动等方面，以提升学校的综合实力和办学水平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在预算管理方面，加强预算编制的科学性和合理性，充分考虑学校的发展规划和实际需求。严格执行预算审批程序，确保每一笔资金的使用都经过层层审核和把关，保障资金使用的安全和效益。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我校202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年总支出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3955.73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万元，其中基本支出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2544.16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万元，项目支出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1411.57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万元。按支出经济分类，工资福利支出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2527.75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万元，商品和服务支出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1250.79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万元，对个人和家庭的补助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119.82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万元。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部门预算收支决算情况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1.基本支出情况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基本支出指保障单位正常运转，完成日常工作任务而发生的支出。2024年基本支出2544.16万元。其中工资福利支出2140.87万元，商品和服务支出286.2万元，对个人和家庭的补助117.08万元。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我校严格按照资金管理要求，加强资金管理，严格遵守中央和省、市、区各项财经规章制度，严格支出标准和范围，切实提高资金使用效益。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项目支出情况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我校项目支出1415.79万元。其中运行维护费(学生公用经费)278.14万元，往来资金（伙食费、校服费、作业本费）321.15万元，课后服务经费523.57万元，基本建设经费33.15万元，研学经费125.06万元，临聘教师工资129万元，残疾儿童送教经费1.5万元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“三公经费”支出使用和管理情况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2024年“三公”经费预算0万元，实际支出0万元：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1.公务接待费用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2024年学校未发生公务接待开支，此项费用不存在。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2.公款出国（境）费用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2024年学校没有出国(境)事项发生，此项费用不存在。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3.公车购置费用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学校没有公车，不存在公车私用行为，此项费用不存在。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三、部门绩效目标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(一)部门绩效总目标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保障学校正常教学运行，提升教育教学质量，改善校园环境，促进教师专业成长，提高学生及家长满意度，推动学校教育事业持续发展。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(二)202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年度部门绩效目标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保障学校正常教学运行，确保学生人数达标率 100%，按教学计划开足开齐课程，完成教师年度培训 10 次，控制公用经费在预算范围内。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提升教育教学质量，确保教学成果达标率不低于 85%，设备完好率不低于 90%，及时完成教学任务及项目资金支付。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改善校园环境，保持校园绿化、卫生达标率 90% 以上，保障教职员工基本生活水平，提高教育质量及就学率、成材率。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促进教师专业成长，提升学生及家长满意度至 90% 以上。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sz w:val="28"/>
          <w:szCs w:val="28"/>
        </w:rPr>
        <w:t>绩效评价工作情况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一）评价目的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通过对 2024 年度部门整体支出进行绩效评价，全面了解资金使用效率、目标完成情况及存在问题，为优化预算管理、提升教育教学质量提供依据。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（二）评价方法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采用定量与定性相结合的方法，对照《2024 年度部门整体支出绩效自评表》中的指标体系，从产出、效益、满意度三个维度进行综合评价。定量指标依据实际完成数据计算得分，定性指标通过资料分析、现场调研等方式综合评估。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（三）指标体系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绩效评价指标体系总分 100 分，其中：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产出指标（50 分）：包括数量指标（学生人数达标率、课程开设完成率、教师培训次数）、质量指标（教学成果达标率、设备完好率）、时效指标（教学任务完成及时性、项目资金支付及时性）、成本指标（公用经费控制率）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效益指标（30 分）：涵盖经济效益指标（保障教职员工基本生活水平）、社会效益指标（提高教育质量、就学率和成材率）、生态效益指标（校园绿化、卫生达标率）、可持续影响指标（教师专业成长）。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满意度指标（10 分）：学生满意度和家长满意度。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（四）评价过程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成立绩效评价工作小组，明确职责分工，制定评价方案。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收集整理预算、财务、业务等相关资料，核实资金使用和目标完成情况。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对照评价指标逐项打分，分析偏差原因，提出改进措施。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形成绩效自评报告，总结经验，反馈问题。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五、</w:t>
      </w:r>
      <w:r>
        <w:rPr>
          <w:rFonts w:hint="eastAsia" w:ascii="宋体" w:hAnsi="宋体" w:eastAsia="宋体" w:cs="宋体"/>
          <w:sz w:val="28"/>
          <w:szCs w:val="28"/>
        </w:rPr>
        <w:t>综合评价结果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经综合评价，我校 2024 年度部门整体支出绩效自评得分 9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 xml:space="preserve"> 分，评价等级为 “优秀”。整体来看，预算执行率 100%，各项核心指标完成情况良好，资金使用效益显著，教育教学质量和校园环境得到有效提升，师生及家长满意度较高。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六、</w:t>
      </w:r>
      <w:r>
        <w:rPr>
          <w:rFonts w:hint="eastAsia" w:ascii="宋体" w:hAnsi="宋体" w:eastAsia="宋体" w:cs="宋体"/>
          <w:sz w:val="28"/>
          <w:szCs w:val="28"/>
        </w:rPr>
        <w:t>部门整体支出绩效情况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（一）产出指标完成情况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数量指标：学生人数达标率 100%，课程开设完成率 100%，均超额完成预期目标；教师培训完成 12 次，超额完成年度计划（10 次），得益于积极争取外部培训资源，教师专业成长机会增加。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质量指标：教学成果达标率 95%，高于预期目标（85%），但部分学生因特殊情况影响成绩，需加强个性化辅导；设备完好率 90%，因老旧设备故障频发未达预期（95%），已制定维护更新计划。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时效指标：教学任务完成及时性 100%，确保教学计划有序推进；项目资金支付及时性 95%，因部分项目验收流程延迟导致支付滞后，后续将优化验收流程。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成本指标：公用经费控制率 100%，严格控制在预算范围内，预算管理成效显著。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（二）效益指标完成情况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经济效益指标：保障了教职员工基本生活水平，工资福利支出及时足额发放，教职工队伍稳定性得到提升，评分 10 分。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社会效益指标：教育质量稳步提高，就学率和成材率效果明显，社会认可度逐步提升，评分 5 分。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生态效益指标：校园绿化、卫生达标率均为 90%，达到预期目标，营造了整洁舒适的校园环境，各得 5 分。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可持续影响指标：教师专业成长成效显著，通过培训、教研活动等方式，教师教学能力和科研水平明显提升，评分 5 分。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（三）满意度指标完成情况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学生满意度和家长满意度均为 95%，高于预期目标（90%），但存在教学服务细节和家校沟通不足问题，后续将加强需求调研和沟通频次。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七、</w:t>
      </w:r>
      <w:r>
        <w:rPr>
          <w:rFonts w:hint="eastAsia" w:ascii="宋体" w:hAnsi="宋体" w:eastAsia="宋体" w:cs="宋体"/>
          <w:sz w:val="28"/>
          <w:szCs w:val="28"/>
        </w:rPr>
        <w:t>存在的主要问题及原因分析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（一）教学成果达标率未达最优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部分学生因特殊情况（如学习基础薄弱、身心发展差异等）导致成绩未达标，反映出个性化教学服务仍需加强，对特殊学生的关注和辅导不够精准。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（二）设备完好率偏低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老旧设备长期使用导致故障频发，维修成本较高，而设备更新预算有限，未能及时替换老化设备，影响教学设施的正常使用。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（三）项目资金支付延迟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部分项目验收流程繁琐，各环节时间节点不明确，导致资金支付滞后，反映出项目管理流程有待优化，部门间协调效率需提高。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（四）家校沟通细节不足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尽管满意度较高，但仍有部分家长对教学服务细节提出建议，说明家校沟通的深度和频次仍需加强，未能充分满足家长对孩子在校情况的了解需求。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八、有关建议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（一）强化个性化教学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针对特殊学生制定专项辅导计划，建立一对一帮扶机制，跟踪学习进度，提升教学成果达标率。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（二）加大设备维护更新力度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增加设备维护预算，制定年度更新计划，逐步替换老旧设备，确保教学设备完好率稳定在 95% 以上。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（三）优化项目管理流程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明确项目验收各环节的责任人和时间节点，简化审批流程，提高部门间协作效率，确保项目资金及时支付。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（四）加强家校沟通机制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定期开展家长满意度调查，针对反馈问题及时改进；增加家校互动活动频次，通过家长会、家访、线上沟通平台等渠道，及时、全面反馈学生情况，提升家长参与度和满意度。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（五）持续提升预算管理水平</w:t>
      </w: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  <w:sectPr>
          <w:footerReference r:id="rId5" w:type="default"/>
          <w:pgSz w:w="11900" w:h="16830"/>
          <w:pgMar w:top="1430" w:right="1281" w:bottom="1094" w:left="1279" w:header="0" w:footer="959" w:gutter="0"/>
          <w:pgNumType w:fmt="decimal"/>
          <w:cols w:space="720" w:num="1"/>
        </w:sect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结合年度目标和实际需求，科学编制预算，加强预算执行监控，提高资金使用的精准性和效益性，为学校教育事业发展提供有力保障。</w:t>
      </w:r>
    </w:p>
    <w:p>
      <w:pPr>
        <w:pStyle w:val="3"/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baseline"/>
        <w:rPr>
          <w:rFonts w:hint="eastAsia" w:ascii="宋体" w:hAnsi="宋体" w:eastAsia="宋体" w:cs="宋体"/>
          <w:spacing w:val="23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370"/>
      <w:rPr>
        <w:rFonts w:ascii="Times New Roman" w:hAnsi="Times New Roman" w:eastAsia="Times New Roman" w:cs="Times New Roman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iODcxYThiNDY1ZDQ1MjEzYjYzMWQ0Zjc2NGZiMjgifQ=="/>
  </w:docVars>
  <w:rsids>
    <w:rsidRoot w:val="47675ACA"/>
    <w:rsid w:val="01DD1E9F"/>
    <w:rsid w:val="03F460FC"/>
    <w:rsid w:val="05452235"/>
    <w:rsid w:val="3EC079B0"/>
    <w:rsid w:val="42AF6C5E"/>
    <w:rsid w:val="47675ACA"/>
    <w:rsid w:val="4A5146B4"/>
    <w:rsid w:val="4E3C6CBA"/>
    <w:rsid w:val="51762962"/>
    <w:rsid w:val="60EF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3139</Words>
  <Characters>3342</Characters>
  <Lines>0</Lines>
  <Paragraphs>0</Paragraphs>
  <TotalTime>39</TotalTime>
  <ScaleCrop>false</ScaleCrop>
  <LinksUpToDate>false</LinksUpToDate>
  <CharactersWithSpaces>3410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2025-04-14T02:54:00Z</dcterms:created>
  <dc:creator>朱衡  。</dc:creator>
  <cp:lastModifiedBy>朱衡  。</cp:lastModifiedBy>
  <dcterms:modified xsi:type="dcterms:W3CDTF">2025-04-24T11:35:22Z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487B41ECFCDF4103A6D6915C00687C8C_11</vt:lpwstr>
  </property>
  <property fmtid="{D5CDD505-2E9C-101B-9397-08002B2CF9AE}" pid="4" name="KSOTemplateDocerSaveRecord">
    <vt:lpwstr>eyJoZGlkIjoiOTAxOTE3MTU1MGI3NTY1OTdkNjc2Njk5NjEwOTJlZmIiLCJ1c2VySWQiOiIyODE4NDM3NjMifQ==</vt:lpwstr>
  </property>
</Properties>
</file>