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7388F">
      <w:pPr>
        <w:pStyle w:val="2"/>
        <w:spacing w:before="101" w:line="222" w:lineRule="auto"/>
        <w:rPr>
          <w:spacing w:val="11"/>
        </w:rPr>
      </w:pPr>
    </w:p>
    <w:p w14:paraId="62CACB40">
      <w:pPr>
        <w:spacing w:line="249" w:lineRule="auto"/>
        <w:rPr>
          <w:rFonts w:ascii="Arial"/>
          <w:sz w:val="21"/>
        </w:rPr>
      </w:pPr>
    </w:p>
    <w:p w14:paraId="7256DD86">
      <w:pPr>
        <w:spacing w:line="249" w:lineRule="auto"/>
        <w:rPr>
          <w:rFonts w:ascii="Arial"/>
          <w:sz w:val="21"/>
        </w:rPr>
      </w:pPr>
    </w:p>
    <w:p w14:paraId="66958275">
      <w:pPr>
        <w:spacing w:before="156" w:line="336" w:lineRule="auto"/>
        <w:ind w:right="1893"/>
        <w:jc w:val="center"/>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 xml:space="preserve">    </w:t>
      </w:r>
    </w:p>
    <w:p w14:paraId="50557AF6">
      <w:pPr>
        <w:keepNext w:val="0"/>
        <w:keepLines w:val="0"/>
        <w:pageBreakBefore w:val="0"/>
        <w:widowControl/>
        <w:kinsoku w:val="0"/>
        <w:wordWrap/>
        <w:overflowPunct/>
        <w:topLinePunct w:val="0"/>
        <w:autoSpaceDE w:val="0"/>
        <w:autoSpaceDN w:val="0"/>
        <w:bidi w:val="0"/>
        <w:adjustRightInd w:val="0"/>
        <w:snapToGrid w:val="0"/>
        <w:spacing w:before="156" w:line="336" w:lineRule="auto"/>
        <w:ind w:right="1894" w:firstLine="964" w:firstLineChars="200"/>
        <w:jc w:val="center"/>
        <w:textAlignment w:val="baseline"/>
        <w:rPr>
          <w:rFonts w:ascii="宋体" w:hAnsi="宋体" w:eastAsia="宋体" w:cs="宋体"/>
          <w:b/>
          <w:bCs/>
          <w:sz w:val="48"/>
          <w:szCs w:val="48"/>
        </w:rPr>
      </w:pPr>
      <w:r>
        <w:rPr>
          <w:rFonts w:ascii="宋体" w:hAnsi="宋体" w:eastAsia="宋体" w:cs="宋体"/>
          <w:b/>
          <w:bCs/>
          <w:sz w:val="48"/>
          <w:szCs w:val="48"/>
        </w:rPr>
        <w:t>202</w:t>
      </w:r>
      <w:r>
        <w:rPr>
          <w:rFonts w:hint="eastAsia" w:ascii="宋体" w:hAnsi="宋体" w:eastAsia="宋体" w:cs="宋体"/>
          <w:b/>
          <w:bCs/>
          <w:sz w:val="48"/>
          <w:szCs w:val="48"/>
          <w:lang w:val="en-US" w:eastAsia="zh-CN"/>
        </w:rPr>
        <w:t>4</w:t>
      </w:r>
      <w:r>
        <w:rPr>
          <w:rFonts w:ascii="宋体" w:hAnsi="宋体" w:eastAsia="宋体" w:cs="宋体"/>
          <w:b/>
          <w:bCs/>
          <w:sz w:val="48"/>
          <w:szCs w:val="48"/>
        </w:rPr>
        <w:t>年度</w:t>
      </w:r>
      <w:r>
        <w:rPr>
          <w:rFonts w:hint="eastAsia" w:ascii="宋体" w:hAnsi="宋体" w:eastAsia="宋体" w:cs="宋体"/>
          <w:b/>
          <w:bCs/>
          <w:sz w:val="48"/>
          <w:szCs w:val="48"/>
          <w:lang w:eastAsia="zh-CN"/>
        </w:rPr>
        <w:t>换黄金坳中心幼儿园部门整体</w:t>
      </w:r>
      <w:r>
        <w:rPr>
          <w:rFonts w:ascii="宋体" w:hAnsi="宋体" w:eastAsia="宋体" w:cs="宋体"/>
          <w:b/>
          <w:bCs/>
          <w:sz w:val="48"/>
          <w:szCs w:val="48"/>
        </w:rPr>
        <w:t>支出</w:t>
      </w:r>
    </w:p>
    <w:p w14:paraId="5E5BCCB3">
      <w:pPr>
        <w:keepNext w:val="0"/>
        <w:keepLines w:val="0"/>
        <w:pageBreakBefore w:val="0"/>
        <w:widowControl/>
        <w:kinsoku w:val="0"/>
        <w:wordWrap/>
        <w:overflowPunct/>
        <w:topLinePunct w:val="0"/>
        <w:autoSpaceDE w:val="0"/>
        <w:autoSpaceDN w:val="0"/>
        <w:bidi w:val="0"/>
        <w:adjustRightInd w:val="0"/>
        <w:snapToGrid w:val="0"/>
        <w:spacing w:before="156" w:line="336" w:lineRule="auto"/>
        <w:ind w:right="1894" w:firstLine="1004" w:firstLineChars="200"/>
        <w:jc w:val="center"/>
        <w:textAlignment w:val="baseline"/>
        <w:rPr>
          <w:rFonts w:hint="default" w:ascii="宋体" w:hAnsi="宋体" w:eastAsia="宋体" w:cs="宋体"/>
          <w:sz w:val="52"/>
          <w:szCs w:val="52"/>
          <w:lang w:val="en-US" w:eastAsia="zh-CN"/>
        </w:rPr>
      </w:pPr>
      <w:r>
        <w:rPr>
          <w:rFonts w:ascii="宋体" w:hAnsi="宋体" w:eastAsia="宋体" w:cs="宋体"/>
          <w:b/>
          <w:bCs/>
          <w:spacing w:val="-10"/>
          <w:sz w:val="52"/>
          <w:szCs w:val="52"/>
        </w:rPr>
        <w:t>绩效自评报告</w:t>
      </w:r>
      <w:r>
        <w:rPr>
          <w:rFonts w:hint="eastAsia" w:ascii="宋体" w:hAnsi="宋体" w:eastAsia="宋体" w:cs="宋体"/>
          <w:b/>
          <w:bCs/>
          <w:spacing w:val="-10"/>
          <w:sz w:val="52"/>
          <w:szCs w:val="52"/>
          <w:lang w:val="en-US" w:eastAsia="zh-CN"/>
        </w:rPr>
        <w:t xml:space="preserve">  </w:t>
      </w:r>
    </w:p>
    <w:p w14:paraId="46D57C9F">
      <w:pPr>
        <w:spacing w:line="246" w:lineRule="auto"/>
        <w:rPr>
          <w:rFonts w:ascii="Arial"/>
          <w:sz w:val="21"/>
        </w:rPr>
      </w:pPr>
    </w:p>
    <w:p w14:paraId="3997D7F2">
      <w:pPr>
        <w:spacing w:line="246" w:lineRule="auto"/>
        <w:rPr>
          <w:rFonts w:ascii="Arial"/>
          <w:sz w:val="21"/>
        </w:rPr>
      </w:pPr>
    </w:p>
    <w:p w14:paraId="6011CA1F">
      <w:pPr>
        <w:spacing w:line="247" w:lineRule="auto"/>
        <w:rPr>
          <w:rFonts w:ascii="Arial"/>
          <w:sz w:val="21"/>
        </w:rPr>
      </w:pPr>
    </w:p>
    <w:p w14:paraId="02ACF518">
      <w:pPr>
        <w:spacing w:line="247" w:lineRule="auto"/>
        <w:rPr>
          <w:rFonts w:ascii="Arial"/>
          <w:sz w:val="21"/>
        </w:rPr>
      </w:pPr>
    </w:p>
    <w:p w14:paraId="009053C2">
      <w:pPr>
        <w:spacing w:line="247" w:lineRule="auto"/>
        <w:rPr>
          <w:rFonts w:ascii="Arial"/>
          <w:sz w:val="21"/>
        </w:rPr>
      </w:pPr>
    </w:p>
    <w:p w14:paraId="1A390D45">
      <w:pPr>
        <w:spacing w:line="247" w:lineRule="auto"/>
        <w:rPr>
          <w:rFonts w:ascii="Arial"/>
          <w:sz w:val="21"/>
        </w:rPr>
      </w:pPr>
    </w:p>
    <w:p w14:paraId="2BA279FF">
      <w:pPr>
        <w:spacing w:line="247" w:lineRule="auto"/>
        <w:rPr>
          <w:rFonts w:ascii="Arial"/>
          <w:sz w:val="21"/>
        </w:rPr>
      </w:pPr>
    </w:p>
    <w:p w14:paraId="7B2FD9B4">
      <w:pPr>
        <w:spacing w:line="247" w:lineRule="auto"/>
        <w:rPr>
          <w:rFonts w:ascii="Arial"/>
          <w:sz w:val="21"/>
        </w:rPr>
      </w:pPr>
    </w:p>
    <w:p w14:paraId="6B647EF0">
      <w:pPr>
        <w:spacing w:line="247" w:lineRule="auto"/>
        <w:rPr>
          <w:rFonts w:ascii="Arial"/>
          <w:sz w:val="21"/>
        </w:rPr>
      </w:pPr>
    </w:p>
    <w:p w14:paraId="4AD46AF7">
      <w:pPr>
        <w:spacing w:line="247" w:lineRule="auto"/>
        <w:rPr>
          <w:rFonts w:ascii="Arial"/>
          <w:sz w:val="21"/>
        </w:rPr>
      </w:pPr>
    </w:p>
    <w:p w14:paraId="1D0A3FCB">
      <w:pPr>
        <w:spacing w:line="247" w:lineRule="auto"/>
        <w:rPr>
          <w:rFonts w:ascii="Arial"/>
          <w:sz w:val="21"/>
        </w:rPr>
      </w:pPr>
    </w:p>
    <w:p w14:paraId="70C2802F">
      <w:pPr>
        <w:spacing w:line="247" w:lineRule="auto"/>
        <w:rPr>
          <w:rFonts w:ascii="Arial"/>
          <w:sz w:val="21"/>
        </w:rPr>
      </w:pPr>
    </w:p>
    <w:p w14:paraId="3971C42D">
      <w:pPr>
        <w:spacing w:line="247" w:lineRule="auto"/>
        <w:rPr>
          <w:rFonts w:ascii="Arial"/>
          <w:sz w:val="21"/>
        </w:rPr>
      </w:pPr>
    </w:p>
    <w:p w14:paraId="6FB16858">
      <w:pPr>
        <w:spacing w:line="247" w:lineRule="auto"/>
        <w:rPr>
          <w:rFonts w:ascii="Arial"/>
          <w:sz w:val="21"/>
        </w:rPr>
      </w:pPr>
    </w:p>
    <w:p w14:paraId="06A53FF9">
      <w:pPr>
        <w:spacing w:line="247" w:lineRule="auto"/>
        <w:rPr>
          <w:rFonts w:ascii="Arial"/>
          <w:sz w:val="21"/>
        </w:rPr>
      </w:pPr>
    </w:p>
    <w:p w14:paraId="15242DBB">
      <w:pPr>
        <w:spacing w:line="247" w:lineRule="auto"/>
        <w:rPr>
          <w:rFonts w:ascii="Arial"/>
          <w:sz w:val="21"/>
        </w:rPr>
      </w:pPr>
    </w:p>
    <w:p w14:paraId="0A2A49D6">
      <w:pPr>
        <w:spacing w:line="247" w:lineRule="auto"/>
        <w:rPr>
          <w:rFonts w:ascii="Arial"/>
          <w:sz w:val="21"/>
        </w:rPr>
      </w:pPr>
    </w:p>
    <w:p w14:paraId="46E2A821">
      <w:pPr>
        <w:spacing w:line="247" w:lineRule="auto"/>
        <w:rPr>
          <w:rFonts w:ascii="Arial"/>
          <w:sz w:val="21"/>
        </w:rPr>
      </w:pPr>
    </w:p>
    <w:p w14:paraId="4862C110">
      <w:pPr>
        <w:spacing w:line="247" w:lineRule="auto"/>
        <w:rPr>
          <w:rFonts w:ascii="Arial"/>
          <w:sz w:val="21"/>
        </w:rPr>
      </w:pPr>
    </w:p>
    <w:p w14:paraId="0DCCEBAF">
      <w:pPr>
        <w:spacing w:line="247" w:lineRule="auto"/>
        <w:rPr>
          <w:rFonts w:ascii="Arial"/>
          <w:sz w:val="21"/>
        </w:rPr>
      </w:pPr>
    </w:p>
    <w:p w14:paraId="11AF1FE1">
      <w:pPr>
        <w:spacing w:line="247" w:lineRule="auto"/>
        <w:rPr>
          <w:rFonts w:ascii="Arial"/>
          <w:sz w:val="21"/>
        </w:rPr>
      </w:pPr>
    </w:p>
    <w:p w14:paraId="1597420A">
      <w:pPr>
        <w:spacing w:line="247" w:lineRule="auto"/>
        <w:rPr>
          <w:rFonts w:ascii="Arial"/>
          <w:sz w:val="21"/>
        </w:rPr>
      </w:pPr>
    </w:p>
    <w:p w14:paraId="7D2041C5">
      <w:pPr>
        <w:spacing w:before="110" w:line="225" w:lineRule="auto"/>
        <w:ind w:left="1795"/>
        <w:rPr>
          <w:rFonts w:ascii="楷体" w:hAnsi="楷体" w:eastAsia="楷体" w:cs="楷体"/>
          <w:spacing w:val="-36"/>
          <w:w w:val="99"/>
          <w:sz w:val="34"/>
          <w:szCs w:val="34"/>
        </w:rPr>
      </w:pPr>
    </w:p>
    <w:p w14:paraId="2D9CCF28">
      <w:pPr>
        <w:spacing w:before="110" w:line="225" w:lineRule="auto"/>
        <w:ind w:left="1795"/>
        <w:rPr>
          <w:rFonts w:ascii="楷体" w:hAnsi="楷体" w:eastAsia="楷体" w:cs="楷体"/>
          <w:spacing w:val="-36"/>
          <w:w w:val="99"/>
          <w:sz w:val="34"/>
          <w:szCs w:val="34"/>
        </w:rPr>
      </w:pPr>
    </w:p>
    <w:p w14:paraId="315C731D">
      <w:pPr>
        <w:spacing w:before="110" w:line="225" w:lineRule="auto"/>
        <w:ind w:left="1795"/>
        <w:rPr>
          <w:rFonts w:ascii="楷体" w:hAnsi="楷体" w:eastAsia="楷体" w:cs="楷体"/>
          <w:sz w:val="34"/>
          <w:szCs w:val="34"/>
        </w:rPr>
      </w:pPr>
      <w:r>
        <w:rPr>
          <w:rFonts w:ascii="楷体" w:hAnsi="楷体" w:eastAsia="楷体" w:cs="楷体"/>
          <w:spacing w:val="-36"/>
          <w:w w:val="99"/>
          <w:sz w:val="34"/>
          <w:szCs w:val="34"/>
        </w:rPr>
        <w:t>实施单位：</w:t>
      </w:r>
      <w:r>
        <w:rPr>
          <w:rFonts w:ascii="楷体" w:hAnsi="楷体" w:eastAsia="楷体" w:cs="楷体"/>
          <w:spacing w:val="-79"/>
          <w:sz w:val="34"/>
          <w:szCs w:val="34"/>
          <w:u w:val="single" w:color="auto"/>
        </w:rPr>
        <w:t xml:space="preserve"> </w:t>
      </w:r>
      <w:r>
        <w:rPr>
          <w:rFonts w:ascii="楷体" w:hAnsi="楷体" w:eastAsia="楷体" w:cs="楷体"/>
          <w:spacing w:val="-36"/>
          <w:w w:val="99"/>
          <w:sz w:val="34"/>
          <w:szCs w:val="34"/>
          <w:u w:val="single" w:color="auto"/>
        </w:rPr>
        <w:t>(</w:t>
      </w:r>
      <w:r>
        <w:rPr>
          <w:rFonts w:ascii="楷体" w:hAnsi="楷体" w:eastAsia="楷体" w:cs="楷体"/>
          <w:spacing w:val="27"/>
          <w:sz w:val="34"/>
          <w:szCs w:val="34"/>
          <w:u w:val="single" w:color="auto"/>
        </w:rPr>
        <w:t xml:space="preserve"> </w:t>
      </w:r>
      <w:r>
        <w:rPr>
          <w:rFonts w:ascii="楷体" w:hAnsi="楷体" w:eastAsia="楷体" w:cs="楷体"/>
          <w:spacing w:val="-36"/>
          <w:w w:val="99"/>
          <w:sz w:val="34"/>
          <w:szCs w:val="34"/>
          <w:u w:val="single" w:color="auto"/>
        </w:rPr>
        <w:t>盖</w:t>
      </w:r>
      <w:r>
        <w:rPr>
          <w:rFonts w:ascii="楷体" w:hAnsi="楷体" w:eastAsia="楷体" w:cs="楷体"/>
          <w:spacing w:val="32"/>
          <w:sz w:val="34"/>
          <w:szCs w:val="34"/>
          <w:u w:val="single" w:color="auto"/>
        </w:rPr>
        <w:t xml:space="preserve"> </w:t>
      </w:r>
      <w:r>
        <w:rPr>
          <w:rFonts w:ascii="楷体" w:hAnsi="楷体" w:eastAsia="楷体" w:cs="楷体"/>
          <w:spacing w:val="-36"/>
          <w:w w:val="99"/>
          <w:sz w:val="34"/>
          <w:szCs w:val="34"/>
          <w:u w:val="single" w:color="auto"/>
        </w:rPr>
        <w:t>章</w:t>
      </w:r>
      <w:r>
        <w:rPr>
          <w:rFonts w:ascii="楷体" w:hAnsi="楷体" w:eastAsia="楷体" w:cs="楷体"/>
          <w:spacing w:val="26"/>
          <w:sz w:val="34"/>
          <w:szCs w:val="34"/>
          <w:u w:val="single" w:color="auto"/>
        </w:rPr>
        <w:t xml:space="preserve"> </w:t>
      </w:r>
      <w:r>
        <w:rPr>
          <w:rFonts w:ascii="楷体" w:hAnsi="楷体" w:eastAsia="楷体" w:cs="楷体"/>
          <w:spacing w:val="-36"/>
          <w:w w:val="99"/>
          <w:sz w:val="34"/>
          <w:szCs w:val="34"/>
          <w:u w:val="single" w:color="auto"/>
        </w:rPr>
        <w:t>)</w:t>
      </w:r>
      <w:r>
        <w:rPr>
          <w:rFonts w:ascii="楷体" w:hAnsi="楷体" w:eastAsia="楷体" w:cs="楷体"/>
          <w:sz w:val="34"/>
          <w:szCs w:val="34"/>
          <w:u w:val="single" w:color="auto"/>
        </w:rPr>
        <w:t xml:space="preserve">       </w:t>
      </w:r>
    </w:p>
    <w:p w14:paraId="1B8D84A5">
      <w:pPr>
        <w:spacing w:before="292" w:line="225" w:lineRule="auto"/>
        <w:ind w:left="3046"/>
        <w:rPr>
          <w:rFonts w:ascii="楷体" w:hAnsi="楷体" w:eastAsia="楷体" w:cs="楷体"/>
          <w:spacing w:val="-11"/>
          <w:sz w:val="25"/>
          <w:szCs w:val="25"/>
        </w:rPr>
      </w:pPr>
    </w:p>
    <w:p w14:paraId="474E16E4">
      <w:pPr>
        <w:spacing w:before="292" w:line="225" w:lineRule="auto"/>
        <w:ind w:left="3046"/>
        <w:rPr>
          <w:rFonts w:ascii="楷体" w:hAnsi="楷体" w:eastAsia="楷体" w:cs="楷体"/>
          <w:sz w:val="25"/>
          <w:szCs w:val="25"/>
        </w:rPr>
      </w:pPr>
      <w:r>
        <w:rPr>
          <w:rFonts w:hint="eastAsia" w:ascii="楷体" w:hAnsi="楷体" w:eastAsia="楷体" w:cs="楷体"/>
          <w:spacing w:val="-11"/>
          <w:sz w:val="25"/>
          <w:szCs w:val="25"/>
          <w:lang w:val="en-US" w:eastAsia="zh-CN"/>
        </w:rPr>
        <w:t>2025</w:t>
      </w:r>
      <w:r>
        <w:rPr>
          <w:rFonts w:ascii="楷体" w:hAnsi="楷体" w:eastAsia="楷体" w:cs="楷体"/>
          <w:spacing w:val="-11"/>
          <w:sz w:val="25"/>
          <w:szCs w:val="25"/>
        </w:rPr>
        <w:t>年</w:t>
      </w:r>
      <w:r>
        <w:rPr>
          <w:rFonts w:ascii="楷体" w:hAnsi="楷体" w:eastAsia="楷体" w:cs="楷体"/>
          <w:spacing w:val="11"/>
          <w:sz w:val="25"/>
          <w:szCs w:val="25"/>
        </w:rPr>
        <w:t xml:space="preserve"> </w:t>
      </w:r>
      <w:r>
        <w:rPr>
          <w:rFonts w:hint="eastAsia" w:ascii="楷体" w:hAnsi="楷体" w:eastAsia="楷体" w:cs="楷体"/>
          <w:spacing w:val="11"/>
          <w:sz w:val="25"/>
          <w:szCs w:val="25"/>
          <w:lang w:val="en-US" w:eastAsia="zh-CN"/>
        </w:rPr>
        <w:t>4</w:t>
      </w:r>
      <w:r>
        <w:rPr>
          <w:rFonts w:ascii="楷体" w:hAnsi="楷体" w:eastAsia="楷体" w:cs="楷体"/>
          <w:spacing w:val="11"/>
          <w:sz w:val="25"/>
          <w:szCs w:val="25"/>
        </w:rPr>
        <w:t xml:space="preserve"> </w:t>
      </w:r>
      <w:r>
        <w:rPr>
          <w:rFonts w:ascii="楷体" w:hAnsi="楷体" w:eastAsia="楷体" w:cs="楷体"/>
          <w:spacing w:val="-11"/>
          <w:sz w:val="25"/>
          <w:szCs w:val="25"/>
        </w:rPr>
        <w:t>月</w:t>
      </w:r>
      <w:r>
        <w:rPr>
          <w:rFonts w:ascii="楷体" w:hAnsi="楷体" w:eastAsia="楷体" w:cs="楷体"/>
          <w:spacing w:val="26"/>
          <w:sz w:val="25"/>
          <w:szCs w:val="25"/>
        </w:rPr>
        <w:t xml:space="preserve"> </w:t>
      </w:r>
      <w:r>
        <w:rPr>
          <w:rFonts w:hint="eastAsia" w:ascii="楷体" w:hAnsi="楷体" w:eastAsia="楷体" w:cs="楷体"/>
          <w:spacing w:val="26"/>
          <w:sz w:val="25"/>
          <w:szCs w:val="25"/>
          <w:lang w:val="en-US" w:eastAsia="zh-CN"/>
        </w:rPr>
        <w:t>23</w:t>
      </w:r>
      <w:r>
        <w:rPr>
          <w:rFonts w:ascii="楷体" w:hAnsi="楷体" w:eastAsia="楷体" w:cs="楷体"/>
          <w:spacing w:val="26"/>
          <w:sz w:val="25"/>
          <w:szCs w:val="25"/>
        </w:rPr>
        <w:t xml:space="preserve"> </w:t>
      </w:r>
      <w:r>
        <w:rPr>
          <w:rFonts w:ascii="楷体" w:hAnsi="楷体" w:eastAsia="楷体" w:cs="楷体"/>
          <w:spacing w:val="-11"/>
          <w:sz w:val="25"/>
          <w:szCs w:val="25"/>
        </w:rPr>
        <w:t>日</w:t>
      </w:r>
    </w:p>
    <w:p w14:paraId="17D09D9B">
      <w:pPr>
        <w:spacing w:line="225" w:lineRule="auto"/>
        <w:rPr>
          <w:rFonts w:ascii="楷体" w:hAnsi="楷体" w:eastAsia="楷体" w:cs="楷体"/>
          <w:sz w:val="25"/>
          <w:szCs w:val="25"/>
        </w:rPr>
        <w:sectPr>
          <w:footerReference r:id="rId5" w:type="default"/>
          <w:pgSz w:w="11900" w:h="16830"/>
          <w:pgMar w:top="1088" w:right="1429" w:bottom="1020" w:left="1429" w:header="0" w:footer="939" w:gutter="0"/>
          <w:pgNumType w:fmt="decimal"/>
          <w:cols w:space="720" w:num="1"/>
        </w:sectPr>
      </w:pPr>
    </w:p>
    <w:p w14:paraId="794188DE">
      <w:pPr>
        <w:spacing w:line="245" w:lineRule="auto"/>
        <w:rPr>
          <w:rFonts w:ascii="Arial"/>
          <w:sz w:val="21"/>
        </w:rPr>
      </w:pPr>
    </w:p>
    <w:p w14:paraId="34DF76DF">
      <w:pPr>
        <w:spacing w:line="246" w:lineRule="auto"/>
        <w:jc w:val="center"/>
        <w:rPr>
          <w:rFonts w:ascii="Arial"/>
          <w:sz w:val="21"/>
        </w:rPr>
      </w:pPr>
    </w:p>
    <w:p w14:paraId="44C42860">
      <w:pPr>
        <w:spacing w:before="140" w:line="218" w:lineRule="auto"/>
        <w:ind w:left="816"/>
        <w:jc w:val="center"/>
        <w:rPr>
          <w:rFonts w:ascii="宋体" w:hAnsi="宋体" w:eastAsia="宋体" w:cs="宋体"/>
          <w:b/>
          <w:bCs/>
          <w:spacing w:val="-7"/>
          <w:sz w:val="43"/>
          <w:szCs w:val="43"/>
        </w:rPr>
      </w:pPr>
      <w:r>
        <w:rPr>
          <w:rFonts w:ascii="宋体" w:hAnsi="宋体" w:eastAsia="宋体" w:cs="宋体"/>
          <w:b/>
          <w:bCs/>
          <w:spacing w:val="-7"/>
          <w:sz w:val="43"/>
          <w:szCs w:val="43"/>
        </w:rPr>
        <w:t>20</w:t>
      </w:r>
      <w:r>
        <w:rPr>
          <w:rFonts w:hint="eastAsia" w:ascii="宋体" w:hAnsi="宋体" w:eastAsia="宋体" w:cs="宋体"/>
          <w:b/>
          <w:bCs/>
          <w:spacing w:val="-7"/>
          <w:sz w:val="43"/>
          <w:szCs w:val="43"/>
          <w:lang w:val="en-US" w:eastAsia="zh-CN"/>
        </w:rPr>
        <w:t>24</w:t>
      </w:r>
      <w:r>
        <w:rPr>
          <w:rFonts w:ascii="宋体" w:hAnsi="宋体" w:eastAsia="宋体" w:cs="宋体"/>
          <w:b/>
          <w:bCs/>
          <w:spacing w:val="-7"/>
          <w:sz w:val="43"/>
          <w:szCs w:val="43"/>
        </w:rPr>
        <w:t>年度</w:t>
      </w:r>
      <w:r>
        <w:rPr>
          <w:rFonts w:hint="eastAsia" w:ascii="宋体" w:hAnsi="宋体" w:eastAsia="宋体" w:cs="宋体"/>
          <w:b/>
          <w:bCs/>
          <w:spacing w:val="-7"/>
          <w:sz w:val="43"/>
          <w:szCs w:val="43"/>
          <w:lang w:eastAsia="zh-CN"/>
        </w:rPr>
        <w:t>黄金坳中心幼儿园</w:t>
      </w:r>
      <w:r>
        <w:rPr>
          <w:rFonts w:ascii="宋体" w:hAnsi="宋体" w:eastAsia="宋体" w:cs="宋体"/>
          <w:b/>
          <w:bCs/>
          <w:spacing w:val="-7"/>
          <w:sz w:val="43"/>
          <w:szCs w:val="43"/>
        </w:rPr>
        <w:t>部门整体支出绩效自评报告</w:t>
      </w:r>
    </w:p>
    <w:p w14:paraId="266E86BE">
      <w:pPr>
        <w:spacing w:before="140" w:line="218" w:lineRule="auto"/>
        <w:ind w:left="816"/>
        <w:jc w:val="center"/>
        <w:rPr>
          <w:rFonts w:ascii="宋体" w:hAnsi="宋体" w:eastAsia="宋体" w:cs="宋体"/>
          <w:b/>
          <w:bCs/>
          <w:spacing w:val="-7"/>
          <w:sz w:val="43"/>
          <w:szCs w:val="43"/>
        </w:rPr>
      </w:pPr>
    </w:p>
    <w:p w14:paraId="057060FC">
      <w:pPr>
        <w:spacing w:before="104" w:line="222" w:lineRule="auto"/>
        <w:ind w:left="554"/>
        <w:outlineLvl w:val="0"/>
        <w:rPr>
          <w:rFonts w:ascii="黑体" w:hAnsi="黑体" w:eastAsia="黑体" w:cs="黑体"/>
          <w:sz w:val="32"/>
          <w:szCs w:val="32"/>
        </w:rPr>
      </w:pPr>
      <w:r>
        <w:rPr>
          <w:rFonts w:ascii="黑体" w:hAnsi="黑体" w:eastAsia="黑体" w:cs="黑体"/>
          <w:b/>
          <w:bCs/>
          <w:spacing w:val="-13"/>
          <w:sz w:val="32"/>
          <w:szCs w:val="32"/>
        </w:rPr>
        <w:t>一、部门、单位基本情况</w:t>
      </w:r>
    </w:p>
    <w:p w14:paraId="7BAD67D3">
      <w:pPr>
        <w:spacing w:before="237" w:line="227" w:lineRule="auto"/>
        <w:ind w:left="689"/>
        <w:rPr>
          <w:rFonts w:ascii="楷体" w:hAnsi="楷体" w:eastAsia="楷体" w:cs="楷体"/>
          <w:spacing w:val="4"/>
          <w:sz w:val="32"/>
          <w:szCs w:val="32"/>
        </w:rPr>
      </w:pPr>
      <w:r>
        <w:rPr>
          <w:rFonts w:ascii="楷体" w:hAnsi="楷体" w:eastAsia="楷体" w:cs="楷体"/>
          <w:spacing w:val="4"/>
          <w:sz w:val="32"/>
          <w:szCs w:val="32"/>
        </w:rPr>
        <w:t>(一)机构设置情况</w:t>
      </w:r>
    </w:p>
    <w:p w14:paraId="572E2A3B">
      <w:pPr>
        <w:pStyle w:val="4"/>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楷体" w:hAnsi="楷体" w:eastAsia="楷体" w:cs="楷体"/>
          <w:spacing w:val="4"/>
          <w:sz w:val="28"/>
          <w:szCs w:val="28"/>
        </w:rPr>
      </w:pPr>
      <w:r>
        <w:rPr>
          <w:rFonts w:ascii="宋体" w:hAnsi="宋体" w:eastAsia="宋体" w:cs="宋体"/>
          <w:sz w:val="28"/>
          <w:szCs w:val="28"/>
        </w:rPr>
        <w:t>怀化市鹤城区黄金坳中心幼儿园内设机构包括：内设机构8个，分别为办公室、教师办公室、园长办公室、总务室、工会室、财务室、教研室、保健室。</w:t>
      </w:r>
    </w:p>
    <w:p w14:paraId="671AF6D8">
      <w:pPr>
        <w:numPr>
          <w:ilvl w:val="0"/>
          <w:numId w:val="1"/>
        </w:numPr>
        <w:spacing w:before="227" w:line="227" w:lineRule="auto"/>
        <w:ind w:left="689"/>
        <w:rPr>
          <w:rFonts w:ascii="楷体" w:hAnsi="楷体" w:eastAsia="楷体" w:cs="楷体"/>
          <w:spacing w:val="1"/>
          <w:sz w:val="32"/>
          <w:szCs w:val="32"/>
        </w:rPr>
      </w:pPr>
      <w:r>
        <w:rPr>
          <w:rFonts w:ascii="楷体" w:hAnsi="楷体" w:eastAsia="楷体" w:cs="楷体"/>
          <w:spacing w:val="1"/>
          <w:sz w:val="32"/>
          <w:szCs w:val="32"/>
        </w:rPr>
        <w:t>人员编制情况</w:t>
      </w:r>
    </w:p>
    <w:p w14:paraId="131037AE">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227" w:line="228" w:lineRule="auto"/>
        <w:ind w:firstLine="560" w:firstLineChars="200"/>
        <w:textAlignment w:val="baseline"/>
        <w:rPr>
          <w:rFonts w:ascii="楷体" w:hAnsi="楷体" w:eastAsia="楷体" w:cs="楷体"/>
          <w:spacing w:val="1"/>
          <w:sz w:val="32"/>
          <w:szCs w:val="32"/>
        </w:rPr>
      </w:pPr>
      <w:r>
        <w:rPr>
          <w:rFonts w:ascii="宋体" w:hAnsi="宋体" w:eastAsia="宋体" w:cs="宋体"/>
          <w:sz w:val="28"/>
        </w:rPr>
        <w:t>本部门共有编制人数</w:t>
      </w:r>
      <w:r>
        <w:rPr>
          <w:rFonts w:hint="eastAsia" w:ascii="宋体" w:hAnsi="宋体" w:eastAsia="宋体" w:cs="宋体"/>
          <w:sz w:val="28"/>
          <w:lang w:val="en-US" w:eastAsia="zh-CN"/>
        </w:rPr>
        <w:t>3</w:t>
      </w:r>
      <w:r>
        <w:rPr>
          <w:rFonts w:ascii="宋体" w:hAnsi="宋体" w:eastAsia="宋体" w:cs="宋体"/>
          <w:sz w:val="28"/>
        </w:rPr>
        <w:t>人，</w:t>
      </w:r>
      <w:r>
        <w:rPr>
          <w:rFonts w:hint="eastAsia" w:ascii="宋体" w:hAnsi="宋体" w:eastAsia="宋体" w:cs="宋体"/>
          <w:sz w:val="28"/>
          <w:lang w:eastAsia="zh-CN"/>
        </w:rPr>
        <w:t>领导人数</w:t>
      </w:r>
      <w:r>
        <w:rPr>
          <w:rFonts w:hint="eastAsia" w:ascii="宋体" w:hAnsi="宋体" w:eastAsia="宋体" w:cs="宋体"/>
          <w:sz w:val="28"/>
          <w:lang w:val="en-US" w:eastAsia="zh-CN"/>
        </w:rPr>
        <w:t>3</w:t>
      </w:r>
      <w:r>
        <w:rPr>
          <w:rFonts w:ascii="宋体" w:hAnsi="宋体" w:eastAsia="宋体" w:cs="宋体"/>
          <w:sz w:val="28"/>
        </w:rPr>
        <w:t>人。</w:t>
      </w:r>
    </w:p>
    <w:p w14:paraId="09EECF7D">
      <w:pPr>
        <w:numPr>
          <w:ilvl w:val="0"/>
          <w:numId w:val="1"/>
        </w:numPr>
        <w:spacing w:before="244" w:line="224" w:lineRule="auto"/>
        <w:ind w:left="689" w:leftChars="0" w:firstLine="0" w:firstLineChars="0"/>
        <w:rPr>
          <w:rFonts w:ascii="楷体" w:hAnsi="楷体" w:eastAsia="楷体" w:cs="楷体"/>
          <w:sz w:val="32"/>
          <w:szCs w:val="32"/>
        </w:rPr>
      </w:pPr>
      <w:r>
        <w:rPr>
          <w:rFonts w:ascii="楷体" w:hAnsi="楷体" w:eastAsia="楷体" w:cs="楷体"/>
          <w:sz w:val="32"/>
          <w:szCs w:val="32"/>
        </w:rPr>
        <w:t>主要职能职责</w:t>
      </w:r>
    </w:p>
    <w:p w14:paraId="6768D775">
      <w:pPr>
        <w:pStyle w:val="4"/>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楷体" w:hAnsi="楷体" w:eastAsia="楷体" w:cs="楷体"/>
          <w:sz w:val="32"/>
          <w:szCs w:val="32"/>
        </w:rPr>
      </w:pPr>
      <w:r>
        <w:rPr>
          <w:rFonts w:ascii="宋体" w:hAnsi="宋体" w:eastAsia="宋体" w:cs="宋体"/>
          <w:sz w:val="28"/>
        </w:rPr>
        <w:t>怀化市鹤城区黄金坳中心幼儿园，全面贯彻党的教育方针，落实学前教育各项政策，保障幼儿收到教育的各项权利，维护全体教职工的各项权益。</w:t>
      </w:r>
    </w:p>
    <w:p w14:paraId="51AFF4F3">
      <w:pPr>
        <w:numPr>
          <w:ilvl w:val="0"/>
          <w:numId w:val="1"/>
        </w:numPr>
        <w:spacing w:before="214" w:line="227" w:lineRule="auto"/>
        <w:ind w:left="689" w:leftChars="0" w:firstLine="0" w:firstLineChars="0"/>
        <w:rPr>
          <w:rFonts w:ascii="楷体" w:hAnsi="楷体" w:eastAsia="楷体" w:cs="楷体"/>
          <w:spacing w:val="2"/>
          <w:sz w:val="32"/>
          <w:szCs w:val="32"/>
        </w:rPr>
      </w:pPr>
      <w:r>
        <w:rPr>
          <w:rFonts w:ascii="楷体" w:hAnsi="楷体" w:eastAsia="楷体" w:cs="楷体"/>
          <w:spacing w:val="2"/>
          <w:sz w:val="32"/>
          <w:szCs w:val="32"/>
        </w:rPr>
        <w:t>绩效目标设定情况</w:t>
      </w:r>
    </w:p>
    <w:p w14:paraId="5CD958DD">
      <w:pPr>
        <w:pStyle w:val="4"/>
        <w:keepNext w:val="0"/>
        <w:keepLines w:val="0"/>
        <w:pageBreakBefore w:val="0"/>
        <w:widowControl/>
        <w:kinsoku w:val="0"/>
        <w:wordWrap/>
        <w:overflowPunct/>
        <w:topLinePunct w:val="0"/>
        <w:autoSpaceDE w:val="0"/>
        <w:autoSpaceDN w:val="0"/>
        <w:bidi w:val="0"/>
        <w:adjustRightInd w:val="0"/>
        <w:snapToGrid w:val="0"/>
        <w:spacing w:beforeAutospacing="0" w:after="0" w:afterAutospacing="0" w:line="520" w:lineRule="exact"/>
        <w:ind w:firstLine="560" w:firstLineChars="200"/>
        <w:jc w:val="both"/>
        <w:textAlignment w:val="baseline"/>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学校部门整体支出包括教育基本经费、项目经费、教育发展校方责任经费和教学设备经费。</w:t>
      </w:r>
    </w:p>
    <w:p w14:paraId="55FA9F96">
      <w:pPr>
        <w:pStyle w:val="4"/>
        <w:keepNext w:val="0"/>
        <w:keepLines w:val="0"/>
        <w:pageBreakBefore w:val="0"/>
        <w:widowControl/>
        <w:kinsoku w:val="0"/>
        <w:wordWrap/>
        <w:overflowPunct/>
        <w:topLinePunct w:val="0"/>
        <w:autoSpaceDE w:val="0"/>
        <w:autoSpaceDN w:val="0"/>
        <w:bidi w:val="0"/>
        <w:adjustRightInd w:val="0"/>
        <w:snapToGrid w:val="0"/>
        <w:spacing w:beforeAutospacing="0" w:after="0" w:afterAutospacing="0" w:line="520" w:lineRule="exact"/>
        <w:ind w:firstLine="560" w:firstLineChars="200"/>
        <w:jc w:val="both"/>
        <w:textAlignment w:val="baseline"/>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教育基本经费：保障教育教学工作的有效开展以及学校工作的正常运行。</w:t>
      </w:r>
    </w:p>
    <w:p w14:paraId="24FD1540">
      <w:pPr>
        <w:pStyle w:val="4"/>
        <w:keepNext w:val="0"/>
        <w:keepLines w:val="0"/>
        <w:pageBreakBefore w:val="0"/>
        <w:widowControl/>
        <w:kinsoku w:val="0"/>
        <w:wordWrap/>
        <w:overflowPunct/>
        <w:topLinePunct w:val="0"/>
        <w:autoSpaceDE w:val="0"/>
        <w:autoSpaceDN w:val="0"/>
        <w:bidi w:val="0"/>
        <w:adjustRightInd w:val="0"/>
        <w:snapToGrid w:val="0"/>
        <w:spacing w:beforeAutospacing="0" w:after="0" w:afterAutospacing="0" w:line="520" w:lineRule="exact"/>
        <w:ind w:firstLine="560" w:firstLineChars="200"/>
        <w:jc w:val="both"/>
        <w:textAlignment w:val="baseline"/>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教育发展校方责任经费：保障学生及时入</w:t>
      </w:r>
      <w:r>
        <w:rPr>
          <w:rFonts w:hint="eastAsia" w:asciiTheme="minorEastAsia" w:hAnsiTheme="minorEastAsia" w:eastAsiaTheme="minorEastAsia" w:cstheme="minorEastAsia"/>
          <w:color w:val="333333"/>
          <w:sz w:val="28"/>
          <w:szCs w:val="28"/>
          <w:lang w:val="en-US" w:eastAsia="zh-CN"/>
        </w:rPr>
        <w:t>园</w:t>
      </w:r>
      <w:r>
        <w:rPr>
          <w:rFonts w:hint="eastAsia" w:asciiTheme="minorEastAsia" w:hAnsiTheme="minorEastAsia" w:eastAsiaTheme="minorEastAsia" w:cstheme="minorEastAsia"/>
          <w:color w:val="333333"/>
          <w:sz w:val="28"/>
          <w:szCs w:val="28"/>
        </w:rPr>
        <w:t>，活跃校园气氛，保证学生安全及身心健康。</w:t>
      </w:r>
    </w:p>
    <w:p w14:paraId="13EBDCA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560" w:firstLineChars="200"/>
        <w:jc w:val="left"/>
        <w:textAlignment w:val="baseline"/>
        <w:rPr>
          <w:rFonts w:hint="eastAsia" w:asciiTheme="minorEastAsia" w:hAnsiTheme="minorEastAsia" w:eastAsiaTheme="minorEastAsia" w:cstheme="minorEastAsia"/>
          <w:spacing w:val="2"/>
          <w:sz w:val="28"/>
          <w:szCs w:val="28"/>
        </w:rPr>
      </w:pPr>
      <w:r>
        <w:rPr>
          <w:rFonts w:hint="eastAsia" w:asciiTheme="minorEastAsia" w:hAnsiTheme="minorEastAsia" w:eastAsiaTheme="minorEastAsia" w:cstheme="minorEastAsia"/>
          <w:color w:val="333333"/>
          <w:sz w:val="28"/>
          <w:szCs w:val="28"/>
        </w:rPr>
        <w:t>教育发展教学设备经费：教学教研活动的有效开展。</w:t>
      </w:r>
    </w:p>
    <w:p w14:paraId="3390AB10">
      <w:pPr>
        <w:spacing w:before="242" w:line="222" w:lineRule="auto"/>
        <w:ind w:left="554"/>
        <w:outlineLvl w:val="0"/>
        <w:rPr>
          <w:rFonts w:ascii="黑体" w:hAnsi="黑体" w:eastAsia="黑体" w:cs="黑体"/>
          <w:sz w:val="32"/>
          <w:szCs w:val="32"/>
        </w:rPr>
      </w:pPr>
      <w:r>
        <w:rPr>
          <w:rFonts w:ascii="黑体" w:hAnsi="黑体" w:eastAsia="黑体" w:cs="黑体"/>
          <w:b/>
          <w:bCs/>
          <w:spacing w:val="-17"/>
          <w:sz w:val="32"/>
          <w:szCs w:val="32"/>
        </w:rPr>
        <w:t>二、部门整体支出管理及使用情况</w:t>
      </w:r>
    </w:p>
    <w:p w14:paraId="1C3C3A9C">
      <w:pPr>
        <w:spacing w:before="224" w:line="223" w:lineRule="auto"/>
        <w:ind w:left="689"/>
        <w:rPr>
          <w:rFonts w:ascii="楷体" w:hAnsi="楷体" w:eastAsia="楷体" w:cs="楷体"/>
          <w:spacing w:val="-4"/>
          <w:sz w:val="32"/>
          <w:szCs w:val="32"/>
        </w:rPr>
      </w:pPr>
      <w:r>
        <w:rPr>
          <w:rFonts w:ascii="楷体" w:hAnsi="楷体" w:eastAsia="楷体" w:cs="楷体"/>
          <w:spacing w:val="-4"/>
          <w:sz w:val="32"/>
          <w:szCs w:val="32"/>
        </w:rPr>
        <w:t>(一)预算执行、使用、管理总体情况。</w:t>
      </w:r>
    </w:p>
    <w:p w14:paraId="053005BB">
      <w:pPr>
        <w:pStyle w:val="4"/>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520" w:lineRule="exact"/>
        <w:ind w:firstLine="560" w:firstLineChars="200"/>
        <w:jc w:val="both"/>
        <w:textAlignment w:val="baseline"/>
        <w:rPr>
          <w:color w:val="333333"/>
          <w:sz w:val="28"/>
          <w:szCs w:val="28"/>
        </w:rPr>
      </w:pPr>
      <w:r>
        <w:rPr>
          <w:rFonts w:hint="eastAsia"/>
          <w:color w:val="333333"/>
          <w:sz w:val="28"/>
          <w:szCs w:val="28"/>
        </w:rPr>
        <w:t>教育基本经费总支出</w:t>
      </w:r>
      <w:r>
        <w:rPr>
          <w:rFonts w:hint="eastAsia" w:eastAsia="宋体"/>
          <w:color w:val="333333"/>
          <w:sz w:val="28"/>
          <w:szCs w:val="28"/>
          <w:lang w:eastAsia="zh-CN"/>
        </w:rPr>
        <w:t>139.57</w:t>
      </w:r>
      <w:r>
        <w:rPr>
          <w:rFonts w:hint="eastAsia"/>
          <w:color w:val="333333"/>
          <w:sz w:val="28"/>
          <w:szCs w:val="28"/>
        </w:rPr>
        <w:t>万元。其中人员经费支出</w:t>
      </w:r>
      <w:r>
        <w:rPr>
          <w:rFonts w:hint="eastAsia" w:eastAsia="宋体"/>
          <w:color w:val="333333"/>
          <w:sz w:val="28"/>
          <w:szCs w:val="28"/>
          <w:lang w:val="en-US" w:eastAsia="zh-CN"/>
        </w:rPr>
        <w:t>47.10</w:t>
      </w:r>
      <w:r>
        <w:rPr>
          <w:rFonts w:hint="eastAsia"/>
          <w:color w:val="333333"/>
          <w:sz w:val="28"/>
          <w:szCs w:val="28"/>
        </w:rPr>
        <w:t>万元，日常公用经费支出</w:t>
      </w:r>
      <w:r>
        <w:rPr>
          <w:rFonts w:hint="eastAsia" w:eastAsia="宋体"/>
          <w:color w:val="333333"/>
          <w:sz w:val="28"/>
          <w:szCs w:val="28"/>
          <w:lang w:val="en-US" w:eastAsia="zh-CN"/>
        </w:rPr>
        <w:t>54.03</w:t>
      </w:r>
      <w:r>
        <w:rPr>
          <w:rFonts w:hint="eastAsia"/>
          <w:color w:val="333333"/>
          <w:sz w:val="28"/>
          <w:szCs w:val="28"/>
        </w:rPr>
        <w:t>万元。项目支出：总支出</w:t>
      </w:r>
      <w:r>
        <w:rPr>
          <w:rFonts w:hint="eastAsia" w:eastAsia="宋体"/>
          <w:color w:val="333333"/>
          <w:sz w:val="28"/>
          <w:szCs w:val="28"/>
          <w:lang w:val="en-US" w:eastAsia="zh-CN"/>
        </w:rPr>
        <w:t>38.44</w:t>
      </w:r>
      <w:r>
        <w:rPr>
          <w:rFonts w:hint="eastAsia"/>
          <w:color w:val="333333"/>
          <w:sz w:val="28"/>
          <w:szCs w:val="28"/>
        </w:rPr>
        <w:t>万元,主要用于学生营养餐</w:t>
      </w:r>
      <w:r>
        <w:rPr>
          <w:rFonts w:hint="eastAsia" w:eastAsia="宋体"/>
          <w:color w:val="333333"/>
          <w:sz w:val="28"/>
          <w:szCs w:val="28"/>
          <w:lang w:eastAsia="zh-CN"/>
        </w:rPr>
        <w:t>，</w:t>
      </w:r>
      <w:r>
        <w:rPr>
          <w:rFonts w:hint="eastAsia"/>
          <w:color w:val="333333"/>
          <w:sz w:val="28"/>
          <w:szCs w:val="28"/>
        </w:rPr>
        <w:t>购买校方责任险。</w:t>
      </w:r>
    </w:p>
    <w:p w14:paraId="3CCE172D">
      <w:pPr>
        <w:pStyle w:val="4"/>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520" w:lineRule="exact"/>
        <w:ind w:firstLine="560" w:firstLineChars="200"/>
        <w:jc w:val="both"/>
        <w:textAlignment w:val="baseline"/>
        <w:rPr>
          <w:rFonts w:ascii="楷体" w:hAnsi="楷体" w:eastAsia="楷体" w:cs="楷体"/>
          <w:spacing w:val="-4"/>
          <w:sz w:val="32"/>
          <w:szCs w:val="32"/>
        </w:rPr>
      </w:pPr>
      <w:r>
        <w:rPr>
          <w:rFonts w:hint="eastAsia"/>
          <w:color w:val="333333"/>
          <w:sz w:val="28"/>
          <w:szCs w:val="28"/>
        </w:rPr>
        <w:t>公务接待费0万元, 控制在预算的0万元范围内；无公务用车购置及运行维护费。</w:t>
      </w:r>
    </w:p>
    <w:p w14:paraId="52C2FD31">
      <w:pPr>
        <w:spacing w:before="237" w:line="224" w:lineRule="auto"/>
        <w:ind w:left="689"/>
        <w:rPr>
          <w:rFonts w:ascii="楷体" w:hAnsi="楷体" w:eastAsia="楷体" w:cs="楷体"/>
          <w:sz w:val="32"/>
          <w:szCs w:val="32"/>
        </w:rPr>
      </w:pPr>
      <w:r>
        <w:rPr>
          <w:rFonts w:ascii="楷体" w:hAnsi="楷体" w:eastAsia="楷体" w:cs="楷体"/>
          <w:spacing w:val="2"/>
          <w:sz w:val="32"/>
          <w:szCs w:val="32"/>
        </w:rPr>
        <w:t>(二)部门预算执行情况</w:t>
      </w:r>
    </w:p>
    <w:p w14:paraId="71A2EE77">
      <w:pPr>
        <w:spacing w:before="241" w:line="339" w:lineRule="auto"/>
        <w:ind w:left="688" w:right="3762" w:hanging="69"/>
        <w:rPr>
          <w:rFonts w:ascii="楷体" w:hAnsi="楷体" w:eastAsia="楷体" w:cs="楷体"/>
          <w:spacing w:val="-5"/>
          <w:sz w:val="32"/>
          <w:szCs w:val="32"/>
        </w:rPr>
      </w:pPr>
      <w:r>
        <w:rPr>
          <w:rFonts w:ascii="宋体" w:hAnsi="宋体" w:eastAsia="宋体" w:cs="宋体"/>
          <w:spacing w:val="-5"/>
          <w:sz w:val="32"/>
          <w:szCs w:val="32"/>
        </w:rPr>
        <w:t>1.</w:t>
      </w:r>
      <w:r>
        <w:rPr>
          <w:rFonts w:ascii="楷体" w:hAnsi="楷体" w:eastAsia="楷体" w:cs="楷体"/>
          <w:spacing w:val="-5"/>
          <w:sz w:val="32"/>
          <w:szCs w:val="32"/>
        </w:rPr>
        <w:t>基本支出情况</w:t>
      </w:r>
    </w:p>
    <w:p w14:paraId="25610A4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leftChars="0" w:right="0" w:rightChars="0" w:firstLine="560" w:firstLineChars="200"/>
        <w:textAlignment w:val="baseline"/>
        <w:rPr>
          <w:rFonts w:ascii="楷体" w:hAnsi="楷体" w:eastAsia="楷体" w:cs="楷体"/>
          <w:spacing w:val="-5"/>
          <w:sz w:val="32"/>
          <w:szCs w:val="32"/>
        </w:rPr>
      </w:pPr>
      <w:r>
        <w:rPr>
          <w:rFonts w:hint="eastAsia"/>
          <w:color w:val="333333"/>
          <w:sz w:val="28"/>
          <w:szCs w:val="28"/>
        </w:rPr>
        <w:t>教育基本经费总支出</w:t>
      </w:r>
      <w:r>
        <w:rPr>
          <w:rFonts w:hint="eastAsia" w:eastAsia="宋体"/>
          <w:color w:val="333333"/>
          <w:sz w:val="28"/>
          <w:szCs w:val="28"/>
          <w:lang w:eastAsia="zh-CN"/>
        </w:rPr>
        <w:t>139</w:t>
      </w:r>
      <w:r>
        <w:rPr>
          <w:rFonts w:hint="eastAsia"/>
          <w:color w:val="333333"/>
          <w:sz w:val="28"/>
          <w:szCs w:val="28"/>
        </w:rPr>
        <w:t>万元。其中人员经费支出</w:t>
      </w:r>
      <w:r>
        <w:rPr>
          <w:rFonts w:hint="eastAsia" w:eastAsia="宋体"/>
          <w:color w:val="333333"/>
          <w:sz w:val="28"/>
          <w:szCs w:val="28"/>
          <w:lang w:val="en-US" w:eastAsia="zh-CN"/>
        </w:rPr>
        <w:t>47.10</w:t>
      </w:r>
      <w:r>
        <w:rPr>
          <w:rFonts w:hint="eastAsia"/>
          <w:color w:val="333333"/>
          <w:sz w:val="28"/>
          <w:szCs w:val="28"/>
        </w:rPr>
        <w:t>万元，日常公用经费支出</w:t>
      </w:r>
      <w:r>
        <w:rPr>
          <w:rFonts w:hint="eastAsia" w:eastAsia="宋体"/>
          <w:color w:val="333333"/>
          <w:sz w:val="28"/>
          <w:szCs w:val="28"/>
          <w:lang w:val="en-US" w:eastAsia="zh-CN"/>
        </w:rPr>
        <w:t>54.03</w:t>
      </w:r>
      <w:r>
        <w:rPr>
          <w:rFonts w:hint="eastAsia"/>
          <w:color w:val="333333"/>
          <w:sz w:val="28"/>
          <w:szCs w:val="28"/>
        </w:rPr>
        <w:t>万元。</w:t>
      </w:r>
    </w:p>
    <w:p w14:paraId="1D884F37">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20" w:lineRule="exact"/>
        <w:ind w:left="0" w:right="0" w:firstLine="620" w:firstLineChars="200"/>
        <w:textAlignment w:val="baseline"/>
        <w:rPr>
          <w:rFonts w:ascii="楷体" w:hAnsi="楷体" w:eastAsia="楷体" w:cs="楷体"/>
          <w:spacing w:val="-5"/>
          <w:sz w:val="32"/>
          <w:szCs w:val="32"/>
        </w:rPr>
      </w:pPr>
      <w:r>
        <w:rPr>
          <w:rFonts w:ascii="楷体" w:hAnsi="楷体" w:eastAsia="楷体" w:cs="楷体"/>
          <w:spacing w:val="-5"/>
          <w:sz w:val="32"/>
          <w:szCs w:val="32"/>
        </w:rPr>
        <w:t>项目支出情况</w:t>
      </w:r>
    </w:p>
    <w:p w14:paraId="3FD8E633">
      <w:pPr>
        <w:pStyle w:val="4"/>
        <w:keepNext w:val="0"/>
        <w:keepLines w:val="0"/>
        <w:pageBreakBefore w:val="0"/>
        <w:widowControl/>
        <w:kinsoku w:val="0"/>
        <w:wordWrap/>
        <w:overflowPunct/>
        <w:topLinePunct w:val="0"/>
        <w:autoSpaceDE w:val="0"/>
        <w:autoSpaceDN w:val="0"/>
        <w:bidi w:val="0"/>
        <w:adjustRightInd w:val="0"/>
        <w:snapToGrid w:val="0"/>
        <w:spacing w:beforeAutospacing="0" w:after="0" w:afterAutospacing="0" w:line="520" w:lineRule="exact"/>
        <w:ind w:left="0" w:right="0" w:firstLine="560" w:firstLineChars="200"/>
        <w:jc w:val="both"/>
        <w:textAlignment w:val="baseline"/>
        <w:rPr>
          <w:rFonts w:ascii="楷体" w:hAnsi="楷体" w:eastAsia="楷体" w:cs="楷体"/>
          <w:spacing w:val="-5"/>
          <w:sz w:val="32"/>
          <w:szCs w:val="32"/>
        </w:rPr>
      </w:pPr>
      <w:r>
        <w:rPr>
          <w:rFonts w:hint="eastAsia"/>
          <w:color w:val="333333"/>
          <w:sz w:val="28"/>
          <w:szCs w:val="28"/>
        </w:rPr>
        <w:t>项目支出：总支出</w:t>
      </w:r>
      <w:r>
        <w:rPr>
          <w:rFonts w:hint="eastAsia" w:eastAsia="宋体"/>
          <w:color w:val="333333"/>
          <w:sz w:val="28"/>
          <w:szCs w:val="28"/>
          <w:lang w:val="en-US" w:eastAsia="zh-CN"/>
        </w:rPr>
        <w:t>38.44</w:t>
      </w:r>
      <w:r>
        <w:rPr>
          <w:rFonts w:hint="eastAsia"/>
          <w:color w:val="333333"/>
          <w:sz w:val="28"/>
          <w:szCs w:val="28"/>
        </w:rPr>
        <w:t>万元,主要用于学生营养餐</w:t>
      </w:r>
      <w:r>
        <w:rPr>
          <w:rFonts w:hint="eastAsia" w:eastAsia="宋体"/>
          <w:color w:val="333333"/>
          <w:sz w:val="28"/>
          <w:szCs w:val="28"/>
          <w:lang w:eastAsia="zh-CN"/>
        </w:rPr>
        <w:t>，</w:t>
      </w:r>
      <w:r>
        <w:rPr>
          <w:rFonts w:hint="eastAsia"/>
          <w:color w:val="333333"/>
          <w:sz w:val="28"/>
          <w:szCs w:val="28"/>
        </w:rPr>
        <w:t>购买校方责任险</w:t>
      </w:r>
    </w:p>
    <w:p w14:paraId="451B22DB">
      <w:pPr>
        <w:numPr>
          <w:ilvl w:val="0"/>
          <w:numId w:val="0"/>
        </w:numPr>
        <w:spacing w:before="241" w:line="339" w:lineRule="auto"/>
        <w:ind w:left="619" w:leftChars="0" w:right="3762" w:rightChars="0"/>
        <w:rPr>
          <w:rFonts w:hint="eastAsia" w:ascii="楷体" w:hAnsi="楷体" w:eastAsia="楷体" w:cs="楷体"/>
          <w:spacing w:val="-1"/>
          <w:sz w:val="32"/>
          <w:szCs w:val="32"/>
          <w:lang w:eastAsia="zh-CN"/>
        </w:rPr>
      </w:pPr>
      <w:r>
        <w:rPr>
          <w:rFonts w:ascii="楷体" w:hAnsi="楷体" w:eastAsia="楷体" w:cs="楷体"/>
          <w:spacing w:val="-1"/>
          <w:sz w:val="32"/>
          <w:szCs w:val="32"/>
        </w:rPr>
        <w:t>(三)"三公"经费使用和管理情</w:t>
      </w:r>
      <w:r>
        <w:rPr>
          <w:rFonts w:hint="eastAsia" w:ascii="楷体" w:hAnsi="楷体" w:eastAsia="楷体" w:cs="楷体"/>
          <w:spacing w:val="-1"/>
          <w:sz w:val="32"/>
          <w:szCs w:val="32"/>
          <w:lang w:eastAsia="zh-CN"/>
        </w:rPr>
        <w:t>况</w:t>
      </w:r>
    </w:p>
    <w:p w14:paraId="60E6D5F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left="0" w:leftChars="0" w:right="0" w:rightChars="0" w:firstLine="556" w:firstLineChars="200"/>
        <w:textAlignment w:val="baseline"/>
        <w:rPr>
          <w:rFonts w:hint="eastAsia" w:ascii="宋体" w:hAnsi="宋体" w:eastAsia="宋体" w:cs="宋体"/>
          <w:spacing w:val="-1"/>
          <w:sz w:val="28"/>
          <w:szCs w:val="28"/>
          <w:lang w:eastAsia="zh-CN"/>
        </w:rPr>
      </w:pPr>
      <w:r>
        <w:rPr>
          <w:rFonts w:hint="eastAsia" w:ascii="宋体" w:hAnsi="宋体" w:eastAsia="宋体" w:cs="宋体"/>
          <w:spacing w:val="-1"/>
          <w:sz w:val="28"/>
          <w:szCs w:val="28"/>
          <w:lang w:eastAsia="zh-CN"/>
        </w:rPr>
        <w:t>无三公经费</w:t>
      </w:r>
    </w:p>
    <w:p w14:paraId="4CCD8FB7">
      <w:pPr>
        <w:numPr>
          <w:ilvl w:val="0"/>
          <w:numId w:val="3"/>
        </w:numPr>
        <w:spacing w:before="73" w:line="222" w:lineRule="auto"/>
        <w:ind w:left="554"/>
        <w:outlineLvl w:val="0"/>
        <w:rPr>
          <w:rFonts w:ascii="黑体" w:hAnsi="黑体" w:eastAsia="黑体" w:cs="黑体"/>
          <w:b/>
          <w:bCs/>
          <w:spacing w:val="-14"/>
          <w:sz w:val="32"/>
          <w:szCs w:val="32"/>
        </w:rPr>
      </w:pPr>
      <w:r>
        <w:rPr>
          <w:rFonts w:ascii="黑体" w:hAnsi="黑体" w:eastAsia="黑体" w:cs="黑体"/>
          <w:b/>
          <w:bCs/>
          <w:spacing w:val="-14"/>
          <w:sz w:val="32"/>
          <w:szCs w:val="32"/>
        </w:rPr>
        <w:t>政府性基金预算支出情况</w:t>
      </w:r>
    </w:p>
    <w:p w14:paraId="5056385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73" w:line="224" w:lineRule="auto"/>
        <w:ind w:firstLine="504" w:firstLineChars="200"/>
        <w:textAlignment w:val="baseline"/>
        <w:outlineLvl w:val="0"/>
        <w:rPr>
          <w:rFonts w:hint="eastAsia" w:ascii="宋体" w:hAnsi="宋体" w:eastAsia="宋体" w:cs="宋体"/>
          <w:b w:val="0"/>
          <w:bCs w:val="0"/>
          <w:spacing w:val="-14"/>
          <w:sz w:val="28"/>
          <w:szCs w:val="28"/>
          <w:lang w:eastAsia="zh-CN"/>
        </w:rPr>
      </w:pPr>
      <w:r>
        <w:rPr>
          <w:rFonts w:hint="eastAsia" w:ascii="宋体" w:hAnsi="宋体" w:eastAsia="宋体" w:cs="宋体"/>
          <w:b w:val="0"/>
          <w:bCs w:val="0"/>
          <w:spacing w:val="-14"/>
          <w:sz w:val="28"/>
          <w:szCs w:val="28"/>
          <w:lang w:eastAsia="zh-CN"/>
        </w:rPr>
        <w:t>无政府性基金预算</w:t>
      </w:r>
    </w:p>
    <w:p w14:paraId="38D51C0A">
      <w:pPr>
        <w:numPr>
          <w:ilvl w:val="0"/>
          <w:numId w:val="3"/>
        </w:numPr>
        <w:spacing w:before="245" w:line="222" w:lineRule="auto"/>
        <w:ind w:left="554" w:leftChars="0" w:firstLine="0" w:firstLineChars="0"/>
        <w:outlineLvl w:val="0"/>
        <w:rPr>
          <w:rFonts w:ascii="黑体" w:hAnsi="黑体" w:eastAsia="黑体" w:cs="黑体"/>
          <w:b/>
          <w:bCs/>
          <w:spacing w:val="-12"/>
          <w:sz w:val="32"/>
          <w:szCs w:val="32"/>
        </w:rPr>
      </w:pPr>
      <w:r>
        <w:rPr>
          <w:rFonts w:ascii="黑体" w:hAnsi="黑体" w:eastAsia="黑体" w:cs="黑体"/>
          <w:b/>
          <w:bCs/>
          <w:spacing w:val="-12"/>
          <w:sz w:val="32"/>
          <w:szCs w:val="32"/>
        </w:rPr>
        <w:t>国有资本经营预算支出情况</w:t>
      </w:r>
    </w:p>
    <w:p w14:paraId="2E7C8D20">
      <w:pPr>
        <w:numPr>
          <w:ilvl w:val="0"/>
          <w:numId w:val="0"/>
        </w:numPr>
        <w:spacing w:before="245" w:line="222" w:lineRule="auto"/>
        <w:ind w:left="554" w:leftChars="0"/>
        <w:outlineLvl w:val="0"/>
        <w:rPr>
          <w:rFonts w:hint="eastAsia" w:asciiTheme="minorEastAsia" w:hAnsiTheme="minorEastAsia" w:eastAsiaTheme="minorEastAsia" w:cstheme="minorEastAsia"/>
          <w:b w:val="0"/>
          <w:bCs w:val="0"/>
          <w:spacing w:val="-12"/>
          <w:sz w:val="28"/>
          <w:szCs w:val="28"/>
          <w:lang w:eastAsia="zh-CN"/>
        </w:rPr>
      </w:pPr>
      <w:r>
        <w:rPr>
          <w:rFonts w:hint="eastAsia" w:asciiTheme="minorEastAsia" w:hAnsiTheme="minorEastAsia" w:eastAsiaTheme="minorEastAsia" w:cstheme="minorEastAsia"/>
          <w:b w:val="0"/>
          <w:bCs w:val="0"/>
          <w:spacing w:val="-12"/>
          <w:sz w:val="28"/>
          <w:szCs w:val="28"/>
          <w:lang w:eastAsia="zh-CN"/>
        </w:rPr>
        <w:t>无</w:t>
      </w:r>
      <w:r>
        <w:rPr>
          <w:rFonts w:hint="eastAsia" w:asciiTheme="minorEastAsia" w:hAnsiTheme="minorEastAsia" w:eastAsiaTheme="minorEastAsia" w:cstheme="minorEastAsia"/>
          <w:b w:val="0"/>
          <w:bCs w:val="0"/>
          <w:spacing w:val="-12"/>
          <w:sz w:val="28"/>
          <w:szCs w:val="28"/>
        </w:rPr>
        <w:t>国有资本经营预算</w:t>
      </w:r>
    </w:p>
    <w:p w14:paraId="70D43097">
      <w:pPr>
        <w:numPr>
          <w:ilvl w:val="0"/>
          <w:numId w:val="3"/>
        </w:numPr>
        <w:spacing w:before="235" w:line="222" w:lineRule="auto"/>
        <w:ind w:left="554" w:leftChars="0" w:firstLine="0" w:firstLineChars="0"/>
        <w:outlineLvl w:val="0"/>
        <w:rPr>
          <w:rFonts w:ascii="黑体" w:hAnsi="黑体" w:eastAsia="黑体" w:cs="黑体"/>
          <w:b/>
          <w:bCs/>
          <w:spacing w:val="-21"/>
          <w:sz w:val="32"/>
          <w:szCs w:val="32"/>
        </w:rPr>
      </w:pPr>
      <w:r>
        <w:rPr>
          <w:rFonts w:ascii="黑体" w:hAnsi="黑体" w:eastAsia="黑体" w:cs="黑体"/>
          <w:b/>
          <w:bCs/>
          <w:spacing w:val="-21"/>
          <w:sz w:val="32"/>
          <w:szCs w:val="32"/>
        </w:rPr>
        <w:t>社会保险基金预算支出情况</w:t>
      </w:r>
    </w:p>
    <w:p w14:paraId="76CA618F">
      <w:pPr>
        <w:numPr>
          <w:ilvl w:val="0"/>
          <w:numId w:val="0"/>
        </w:numPr>
        <w:spacing w:before="235" w:line="222" w:lineRule="auto"/>
        <w:ind w:left="554" w:leftChars="0"/>
        <w:outlineLvl w:val="0"/>
        <w:rPr>
          <w:rFonts w:hint="eastAsia" w:ascii="宋体" w:hAnsi="宋体" w:eastAsia="宋体" w:cs="宋体"/>
          <w:b w:val="0"/>
          <w:bCs w:val="0"/>
          <w:spacing w:val="-21"/>
          <w:sz w:val="28"/>
          <w:szCs w:val="28"/>
          <w:lang w:val="en-US" w:eastAsia="zh-CN"/>
        </w:rPr>
      </w:pPr>
      <w:r>
        <w:rPr>
          <w:rFonts w:hint="eastAsia" w:ascii="宋体" w:hAnsi="宋体" w:eastAsia="宋体" w:cs="宋体"/>
          <w:b w:val="0"/>
          <w:bCs w:val="0"/>
          <w:spacing w:val="-21"/>
          <w:sz w:val="28"/>
          <w:szCs w:val="28"/>
        </w:rPr>
        <w:t>社会保险基金预算支出</w:t>
      </w:r>
      <w:r>
        <w:rPr>
          <w:rFonts w:hint="eastAsia" w:ascii="宋体" w:hAnsi="宋体" w:eastAsia="宋体" w:cs="宋体"/>
          <w:b w:val="0"/>
          <w:bCs w:val="0"/>
          <w:spacing w:val="-21"/>
          <w:sz w:val="28"/>
          <w:szCs w:val="28"/>
          <w:lang w:val="en-US" w:eastAsia="zh-CN"/>
        </w:rPr>
        <w:t>25.31万元，用于缴纳社会保险</w:t>
      </w:r>
    </w:p>
    <w:p w14:paraId="7880E2FF">
      <w:pPr>
        <w:spacing w:before="225" w:line="221" w:lineRule="auto"/>
        <w:ind w:left="554"/>
        <w:outlineLvl w:val="0"/>
        <w:rPr>
          <w:rFonts w:ascii="黑体" w:hAnsi="黑体" w:eastAsia="黑体" w:cs="黑体"/>
          <w:sz w:val="32"/>
          <w:szCs w:val="32"/>
        </w:rPr>
      </w:pPr>
      <w:r>
        <w:rPr>
          <w:rFonts w:ascii="黑体" w:hAnsi="黑体" w:eastAsia="黑体" w:cs="黑体"/>
          <w:b/>
          <w:bCs/>
          <w:spacing w:val="-12"/>
          <w:sz w:val="32"/>
          <w:szCs w:val="32"/>
        </w:rPr>
        <w:t>六、部门整体支出绩效情况</w:t>
      </w:r>
      <w:bookmarkStart w:id="0" w:name="_GoBack"/>
      <w:bookmarkEnd w:id="0"/>
    </w:p>
    <w:p w14:paraId="3A13F4BB">
      <w:pPr>
        <w:widowControl/>
        <w:spacing w:line="600" w:lineRule="exact"/>
        <w:ind w:firstLine="560" w:firstLineChars="200"/>
        <w:jc w:val="left"/>
        <w:rPr>
          <w:rFonts w:ascii="宋体" w:hAnsi="宋体"/>
          <w:sz w:val="28"/>
          <w:szCs w:val="28"/>
        </w:rPr>
      </w:pPr>
      <w:r>
        <w:rPr>
          <w:rFonts w:hint="eastAsia" w:ascii="宋体" w:hAnsi="宋体"/>
          <w:sz w:val="28"/>
          <w:szCs w:val="28"/>
        </w:rPr>
        <w:t>我单位积极履职，强化管理，较好地完成了年度工作目标。通过加强预算收支管理，不断建立健全内部管理制度，梳理内部管理流程，部门整体支出管理水平得到提升。</w:t>
      </w:r>
    </w:p>
    <w:p w14:paraId="47227A5D">
      <w:pPr>
        <w:spacing w:before="25" w:line="222" w:lineRule="auto"/>
        <w:ind w:left="604"/>
        <w:outlineLvl w:val="0"/>
        <w:rPr>
          <w:rFonts w:ascii="黑体" w:hAnsi="黑体" w:eastAsia="黑体" w:cs="黑体"/>
          <w:sz w:val="32"/>
          <w:szCs w:val="32"/>
        </w:rPr>
      </w:pPr>
      <w:r>
        <w:rPr>
          <w:rFonts w:ascii="黑体" w:hAnsi="黑体" w:eastAsia="黑体" w:cs="黑体"/>
          <w:b/>
          <w:bCs/>
          <w:spacing w:val="-10"/>
          <w:sz w:val="32"/>
          <w:szCs w:val="32"/>
        </w:rPr>
        <w:t>七、存在的问题及原因分析</w:t>
      </w:r>
    </w:p>
    <w:p w14:paraId="78572967">
      <w:pPr>
        <w:widowControl/>
        <w:spacing w:line="600" w:lineRule="exact"/>
        <w:ind w:firstLine="560" w:firstLineChars="200"/>
        <w:jc w:val="left"/>
        <w:rPr>
          <w:rFonts w:ascii="宋体" w:hAnsi="宋体"/>
          <w:sz w:val="28"/>
          <w:szCs w:val="28"/>
        </w:rPr>
      </w:pPr>
      <w:r>
        <w:rPr>
          <w:rFonts w:hint="eastAsia" w:ascii="宋体" w:hAnsi="宋体"/>
          <w:color w:val="333333"/>
          <w:sz w:val="28"/>
          <w:szCs w:val="28"/>
        </w:rPr>
        <w:t>财政预算与学校实际开支存在偏差，如年终各部门要求学校必须订阅报刊杂志，需购买的一些保险险种等均不在预算内。加上现代化设备的使用率提高，致使水电费的支出成倍增长，</w:t>
      </w:r>
      <w:r>
        <w:rPr>
          <w:rFonts w:hint="eastAsia" w:ascii="宋体" w:hAnsi="宋体"/>
          <w:color w:val="000000"/>
          <w:spacing w:val="-2"/>
          <w:sz w:val="28"/>
          <w:szCs w:val="28"/>
        </w:rPr>
        <w:t>每年的公用经费根据单位上年底的在职在编人数和经费标准核定金额，不包括当年正式招聘入职但未进编的人数，公用经费存在缺口，</w:t>
      </w:r>
      <w:r>
        <w:rPr>
          <w:rFonts w:hint="eastAsia" w:ascii="宋体" w:hAnsi="宋体"/>
          <w:color w:val="333333"/>
          <w:sz w:val="28"/>
          <w:szCs w:val="28"/>
        </w:rPr>
        <w:t>以致经费比较紧张。另外财政预算资金到位比较迟缓，各项目经费支付较滞后。</w:t>
      </w:r>
      <w:r>
        <w:rPr>
          <w:rFonts w:hint="eastAsia" w:ascii="宋体" w:hAnsi="宋体"/>
          <w:color w:val="000000"/>
          <w:sz w:val="28"/>
          <w:szCs w:val="28"/>
        </w:rPr>
        <w:t>学校没有专门的财务人员，都是由本校教师兼职，没有专业的财务知识，但现在对财务工作要求越来越规范，导致我校的财务管理工作开展起来有一定的难度。</w:t>
      </w:r>
    </w:p>
    <w:p w14:paraId="64E4F2B7">
      <w:pPr>
        <w:numPr>
          <w:ilvl w:val="0"/>
          <w:numId w:val="4"/>
        </w:numPr>
        <w:spacing w:before="24" w:line="222" w:lineRule="auto"/>
        <w:ind w:left="599"/>
        <w:rPr>
          <w:rFonts w:ascii="黑体" w:hAnsi="黑体" w:eastAsia="黑体" w:cs="黑体"/>
          <w:spacing w:val="-13"/>
          <w:sz w:val="32"/>
          <w:szCs w:val="32"/>
        </w:rPr>
      </w:pPr>
      <w:r>
        <w:drawing>
          <wp:anchor distT="0" distB="0" distL="0" distR="0" simplePos="0" relativeHeight="251659264" behindDoc="0" locked="0" layoutInCell="1" allowOverlap="1">
            <wp:simplePos x="0" y="0"/>
            <wp:positionH relativeFrom="column">
              <wp:posOffset>755015</wp:posOffset>
            </wp:positionH>
            <wp:positionV relativeFrom="paragraph">
              <wp:posOffset>45720</wp:posOffset>
            </wp:positionV>
            <wp:extent cx="203200"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203194" cy="6350"/>
                    </a:xfrm>
                    <a:prstGeom prst="rect">
                      <a:avLst/>
                    </a:prstGeom>
                  </pic:spPr>
                </pic:pic>
              </a:graphicData>
            </a:graphic>
          </wp:anchor>
        </w:drawing>
      </w:r>
      <w:r>
        <w:rPr>
          <w:rFonts w:ascii="黑体" w:hAnsi="黑体" w:eastAsia="黑体" w:cs="黑体"/>
          <w:spacing w:val="-13"/>
          <w:sz w:val="32"/>
          <w:szCs w:val="32"/>
        </w:rPr>
        <w:t>下一步改进措施</w:t>
      </w:r>
    </w:p>
    <w:p w14:paraId="4DC2010F">
      <w:pPr>
        <w:pStyle w:val="4"/>
        <w:spacing w:before="0" w:beforeAutospacing="0" w:after="0" w:afterAutospacing="0" w:line="570" w:lineRule="atLeast"/>
        <w:ind w:firstLine="640"/>
        <w:rPr>
          <w:rFonts w:hint="eastAsia" w:ascii="黑体" w:hAnsi="黑体" w:eastAsia="宋体" w:cs="黑体"/>
          <w:spacing w:val="-13"/>
          <w:sz w:val="32"/>
          <w:szCs w:val="32"/>
          <w:lang w:val="en-US" w:eastAsia="zh-CN"/>
        </w:rPr>
      </w:pPr>
      <w:r>
        <w:rPr>
          <w:rFonts w:hint="eastAsia"/>
          <w:color w:val="333333"/>
          <w:sz w:val="28"/>
          <w:szCs w:val="28"/>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r>
        <w:rPr>
          <w:rFonts w:hint="eastAsia" w:eastAsia="宋体"/>
          <w:color w:val="333333"/>
          <w:sz w:val="28"/>
          <w:szCs w:val="28"/>
          <w:lang w:eastAsia="zh-CN"/>
        </w:rPr>
        <w:t>。</w:t>
      </w:r>
    </w:p>
    <w:p w14:paraId="47E00422">
      <w:pPr>
        <w:spacing w:before="244" w:line="221" w:lineRule="auto"/>
        <w:ind w:left="599"/>
        <w:rPr>
          <w:rFonts w:ascii="黑体" w:hAnsi="黑体" w:eastAsia="黑体" w:cs="黑体"/>
          <w:sz w:val="32"/>
          <w:szCs w:val="32"/>
        </w:rPr>
      </w:pPr>
      <w:r>
        <w:rPr>
          <w:rFonts w:ascii="黑体" w:hAnsi="黑体" w:eastAsia="黑体" w:cs="黑体"/>
          <w:spacing w:val="-14"/>
          <w:sz w:val="32"/>
          <w:szCs w:val="32"/>
        </w:rPr>
        <w:t>九、其他需要说明的情况</w:t>
      </w:r>
    </w:p>
    <w:p w14:paraId="40C8A20F">
      <w:pPr>
        <w:keepNext w:val="0"/>
        <w:keepLines w:val="0"/>
        <w:pageBreakBefore w:val="0"/>
        <w:widowControl/>
        <w:kinsoku w:val="0"/>
        <w:wordWrap/>
        <w:overflowPunct/>
        <w:topLinePunct w:val="0"/>
        <w:autoSpaceDE w:val="0"/>
        <w:autoSpaceDN w:val="0"/>
        <w:bidi w:val="0"/>
        <w:adjustRightInd w:val="0"/>
        <w:snapToGrid w:val="0"/>
        <w:spacing w:line="520" w:lineRule="exact"/>
        <w:ind w:firstLine="560" w:firstLineChars="200"/>
        <w:textAlignment w:val="baseline"/>
        <w:rPr>
          <w:rFonts w:hint="eastAsia" w:ascii="Arial" w:eastAsia="宋体"/>
          <w:sz w:val="21"/>
          <w:lang w:eastAsia="zh-CN"/>
        </w:rPr>
      </w:pPr>
      <w:r>
        <w:rPr>
          <w:rFonts w:hint="eastAsia" w:eastAsia="宋体"/>
          <w:sz w:val="28"/>
          <w:szCs w:val="28"/>
          <w:lang w:eastAsia="zh-CN"/>
        </w:rPr>
        <w:t>无</w:t>
      </w:r>
    </w:p>
    <w:p w14:paraId="12848696">
      <w:pPr>
        <w:spacing w:before="72" w:line="219" w:lineRule="auto"/>
        <w:rPr>
          <w:rFonts w:ascii="宋体" w:hAnsi="宋体" w:eastAsia="宋体" w:cs="宋体"/>
          <w:sz w:val="22"/>
          <w:szCs w:val="22"/>
        </w:rPr>
      </w:pPr>
    </w:p>
    <w:p w14:paraId="3A82D093">
      <w:pPr>
        <w:spacing w:before="267" w:line="222" w:lineRule="auto"/>
        <w:ind w:left="570"/>
        <w:rPr>
          <w:rFonts w:ascii="黑体" w:hAnsi="黑体" w:eastAsia="黑体" w:cs="黑体"/>
          <w:sz w:val="31"/>
          <w:szCs w:val="31"/>
        </w:rPr>
      </w:pP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A1B24">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6C7E9">
    <w:pPr>
      <w:spacing w:line="174" w:lineRule="auto"/>
      <w:ind w:left="4370"/>
      <w:rPr>
        <w:rFonts w:ascii="Times New Roman" w:hAnsi="Times New Roman" w:eastAsia="Times New Roman" w:cs="Times New Roman"/>
        <w:sz w:val="15"/>
        <w:szCs w:val="15"/>
      </w:rPr>
    </w:pPr>
    <w:r>
      <w:rPr>
        <w:rFonts w:ascii="Times New Roman" w:hAnsi="Times New Roman" w:eastAsia="Times New Roman" w:cs="Times New Roman"/>
        <w:sz w:val="15"/>
        <w:szCs w:val="15"/>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5D660"/>
    <w:multiLevelType w:val="singleLevel"/>
    <w:tmpl w:val="98F5D660"/>
    <w:lvl w:ilvl="0" w:tentative="0">
      <w:start w:val="3"/>
      <w:numFmt w:val="chineseCounting"/>
      <w:suff w:val="nothing"/>
      <w:lvlText w:val="%1、"/>
      <w:lvlJc w:val="left"/>
      <w:rPr>
        <w:rFonts w:hint="eastAsia"/>
      </w:rPr>
    </w:lvl>
  </w:abstractNum>
  <w:abstractNum w:abstractNumId="1">
    <w:nsid w:val="B2835BA9"/>
    <w:multiLevelType w:val="singleLevel"/>
    <w:tmpl w:val="B2835BA9"/>
    <w:lvl w:ilvl="0" w:tentative="0">
      <w:start w:val="8"/>
      <w:numFmt w:val="chineseCounting"/>
      <w:suff w:val="nothing"/>
      <w:lvlText w:val="%1、"/>
      <w:lvlJc w:val="left"/>
      <w:rPr>
        <w:rFonts w:hint="eastAsia"/>
      </w:rPr>
    </w:lvl>
  </w:abstractNum>
  <w:abstractNum w:abstractNumId="2">
    <w:nsid w:val="E69E3FC3"/>
    <w:multiLevelType w:val="singleLevel"/>
    <w:tmpl w:val="E69E3FC3"/>
    <w:lvl w:ilvl="0" w:tentative="0">
      <w:start w:val="2"/>
      <w:numFmt w:val="decimal"/>
      <w:lvlText w:val="%1."/>
      <w:lvlJc w:val="left"/>
      <w:pPr>
        <w:tabs>
          <w:tab w:val="left" w:pos="312"/>
        </w:tabs>
      </w:pPr>
    </w:lvl>
  </w:abstractNum>
  <w:abstractNum w:abstractNumId="3">
    <w:nsid w:val="0E5BADAB"/>
    <w:multiLevelType w:val="singleLevel"/>
    <w:tmpl w:val="0E5BADAB"/>
    <w:lvl w:ilvl="0" w:tentative="0">
      <w:start w:val="2"/>
      <w:numFmt w:val="chineseCounting"/>
      <w:lvlText w:val="(%1)"/>
      <w:lvlJc w:val="left"/>
      <w:pPr>
        <w:tabs>
          <w:tab w:val="left" w:pos="312"/>
        </w:tabs>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F1376"/>
    <w:rsid w:val="5E9F1376"/>
    <w:rsid w:val="75273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1168</Words>
  <Characters>1205</Characters>
  <Lines>0</Lines>
  <Paragraphs>0</Paragraphs>
  <TotalTime>11</TotalTime>
  <ScaleCrop>false</ScaleCrop>
  <LinksUpToDate>false</LinksUpToDate>
  <CharactersWithSpaces>1227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2025-04-23T07:40:00Z</dcterms:created>
  <dc:creator> QXY</dc:creator>
  <cp:lastModifiedBy> QXY</cp:lastModifiedBy>
  <dcterms:modified xsi:type="dcterms:W3CDTF">2025-04-24T03:09:19Z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0B0D83A2A3C546459E6F79FD9A5B12AB_11</vt:lpwstr>
  </property>
  <property fmtid="{D5CDD505-2E9C-101B-9397-08002B2CF9AE}" pid="4" name="KSOTemplateDocerSaveRecord">
    <vt:lpwstr>eyJoZGlkIjoiMTI2N2I4NDVmNWIzNGUzOGM4ZDgyZTVkNTQ3NGMyMDQiLCJ1c2VySWQiOiIzNjQ3MjI5NzgifQ==</vt:lpwstr>
  </property>
</Properties>
</file>