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B507B31">
      <w:pPr>
        <w:pStyle w:val="3"/>
        <w:keepNext w:val="0"/>
        <w:keepLines w:val="0"/>
        <w:pageBreakBefore w:val="0"/>
        <w:wordWrap/>
        <w:topLinePunct w:val="0"/>
        <w:autoSpaceDE w:val="0"/>
        <w:autoSpaceDN w:val="0"/>
        <w:bidi w:val="0"/>
        <w:adjustRightInd w:val="0"/>
        <w:snapToGrid w:val="0"/>
        <w:spacing w:line="240" w:lineRule="auto"/>
        <w:textAlignment w:val="baseline"/>
        <w:rPr>
          <w:spacing w:val="11"/>
        </w:rPr>
      </w:pPr>
      <w:r>
        <w:rPr>
          <w:spacing w:val="11"/>
        </w:rPr>
        <w:t>附件2</w:t>
      </w:r>
    </w:p>
    <w:p w14:paraId="2C1B7939">
      <w:pPr>
        <w:keepNext w:val="0"/>
        <w:keepLines w:val="0"/>
        <w:pageBreakBefore w:val="0"/>
        <w:wordWrap/>
        <w:topLinePunct w:val="0"/>
        <w:autoSpaceDE w:val="0"/>
        <w:autoSpaceDN w:val="0"/>
        <w:bidi w:val="0"/>
        <w:adjustRightInd w:val="0"/>
        <w:snapToGrid w:val="0"/>
        <w:spacing w:line="240" w:lineRule="auto"/>
        <w:textAlignment w:val="baseline"/>
        <w:rPr>
          <w:rFonts w:ascii="Arial"/>
          <w:sz w:val="21"/>
        </w:rPr>
      </w:pPr>
    </w:p>
    <w:p w14:paraId="6270D81F">
      <w:pPr>
        <w:keepNext w:val="0"/>
        <w:keepLines w:val="0"/>
        <w:pageBreakBefore w:val="0"/>
        <w:wordWrap/>
        <w:topLinePunct w:val="0"/>
        <w:autoSpaceDE w:val="0"/>
        <w:autoSpaceDN w:val="0"/>
        <w:bidi w:val="0"/>
        <w:adjustRightInd w:val="0"/>
        <w:snapToGrid w:val="0"/>
        <w:spacing w:line="240" w:lineRule="auto"/>
        <w:textAlignment w:val="baseline"/>
        <w:rPr>
          <w:rFonts w:ascii="Arial"/>
          <w:sz w:val="21"/>
        </w:rPr>
      </w:pPr>
    </w:p>
    <w:p w14:paraId="5BC4D4CA">
      <w:pPr>
        <w:keepNext w:val="0"/>
        <w:keepLines w:val="0"/>
        <w:pageBreakBefore w:val="0"/>
        <w:wordWrap/>
        <w:topLinePunct w:val="0"/>
        <w:autoSpaceDE w:val="0"/>
        <w:autoSpaceDN w:val="0"/>
        <w:bidi w:val="0"/>
        <w:adjustRightInd w:val="0"/>
        <w:snapToGrid w:val="0"/>
        <w:spacing w:line="240" w:lineRule="auto"/>
        <w:ind w:right="1893"/>
        <w:jc w:val="center"/>
        <w:textAlignment w:val="baseline"/>
        <w:rPr>
          <w:rFonts w:hint="eastAsia" w:ascii="宋体" w:hAnsi="宋体" w:eastAsia="宋体" w:cs="宋体"/>
          <w:b/>
          <w:bCs/>
          <w:sz w:val="48"/>
          <w:szCs w:val="4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48"/>
          <w:szCs w:val="48"/>
          <w:lang w:val="en-US" w:eastAsia="zh-CN"/>
        </w:rPr>
        <w:t xml:space="preserve">    </w:t>
      </w:r>
    </w:p>
    <w:p w14:paraId="4A51CF8C">
      <w:pPr>
        <w:keepNext w:val="0"/>
        <w:keepLines w:val="0"/>
        <w:pageBreakBefore w:val="0"/>
        <w:wordWrap/>
        <w:topLinePunct w:val="0"/>
        <w:autoSpaceDE w:val="0"/>
        <w:autoSpaceDN w:val="0"/>
        <w:bidi w:val="0"/>
        <w:adjustRightInd w:val="0"/>
        <w:snapToGrid w:val="0"/>
        <w:spacing w:line="240" w:lineRule="auto"/>
        <w:ind w:right="2" w:rightChars="0"/>
        <w:jc w:val="center"/>
        <w:textAlignment w:val="baseline"/>
        <w:rPr>
          <w:rFonts w:ascii="宋体" w:hAnsi="宋体" w:eastAsia="宋体" w:cs="宋体"/>
          <w:b/>
          <w:bCs/>
          <w:sz w:val="52"/>
          <w:szCs w:val="52"/>
        </w:rPr>
      </w:pPr>
      <w:r>
        <w:rPr>
          <w:rFonts w:ascii="宋体" w:hAnsi="宋体" w:eastAsia="宋体" w:cs="宋体"/>
          <w:b/>
          <w:bCs/>
          <w:sz w:val="52"/>
          <w:szCs w:val="52"/>
        </w:rPr>
        <w:t>202</w:t>
      </w:r>
      <w:r>
        <w:rPr>
          <w:rFonts w:hint="eastAsia" w:ascii="宋体" w:hAnsi="宋体" w:eastAsia="宋体" w:cs="宋体"/>
          <w:b/>
          <w:bCs/>
          <w:sz w:val="52"/>
          <w:szCs w:val="52"/>
          <w:lang w:val="en-US" w:eastAsia="zh-CN"/>
        </w:rPr>
        <w:t>4</w:t>
      </w:r>
      <w:r>
        <w:rPr>
          <w:rFonts w:ascii="宋体" w:hAnsi="宋体" w:eastAsia="宋体" w:cs="宋体"/>
          <w:b/>
          <w:bCs/>
          <w:sz w:val="52"/>
          <w:szCs w:val="52"/>
        </w:rPr>
        <w:t>年度</w:t>
      </w:r>
      <w:r>
        <w:rPr>
          <w:rFonts w:hint="eastAsia" w:ascii="宋体" w:hAnsi="宋体" w:eastAsia="宋体" w:cs="宋体"/>
          <w:b/>
          <w:bCs/>
          <w:sz w:val="52"/>
          <w:szCs w:val="52"/>
          <w:lang w:eastAsia="zh-CN"/>
        </w:rPr>
        <w:t>怀化市欧城小学整体</w:t>
      </w:r>
      <w:r>
        <w:rPr>
          <w:rFonts w:ascii="宋体" w:hAnsi="宋体" w:eastAsia="宋体" w:cs="宋体"/>
          <w:b/>
          <w:bCs/>
          <w:sz w:val="52"/>
          <w:szCs w:val="52"/>
        </w:rPr>
        <w:t>支出</w:t>
      </w:r>
    </w:p>
    <w:p w14:paraId="423F9B41">
      <w:pPr>
        <w:keepNext w:val="0"/>
        <w:keepLines w:val="0"/>
        <w:pageBreakBefore w:val="0"/>
        <w:wordWrap/>
        <w:topLinePunct w:val="0"/>
        <w:autoSpaceDE w:val="0"/>
        <w:autoSpaceDN w:val="0"/>
        <w:bidi w:val="0"/>
        <w:adjustRightInd w:val="0"/>
        <w:snapToGrid w:val="0"/>
        <w:spacing w:line="240" w:lineRule="auto"/>
        <w:ind w:right="1893" w:firstLine="3012" w:firstLineChars="600"/>
        <w:textAlignment w:val="baseline"/>
        <w:rPr>
          <w:rFonts w:hint="default" w:ascii="宋体" w:hAnsi="宋体" w:eastAsia="宋体" w:cs="宋体"/>
          <w:sz w:val="52"/>
          <w:szCs w:val="52"/>
          <w:lang w:val="en-US" w:eastAsia="zh-CN"/>
        </w:rPr>
      </w:pPr>
      <w:r>
        <w:rPr>
          <w:rFonts w:ascii="宋体" w:hAnsi="宋体" w:eastAsia="宋体" w:cs="宋体"/>
          <w:b/>
          <w:bCs/>
          <w:spacing w:val="-10"/>
          <w:sz w:val="52"/>
          <w:szCs w:val="52"/>
        </w:rPr>
        <w:t>绩效自评报告</w:t>
      </w:r>
      <w:r>
        <w:rPr>
          <w:rFonts w:hint="eastAsia" w:ascii="宋体" w:hAnsi="宋体" w:eastAsia="宋体" w:cs="宋体"/>
          <w:b/>
          <w:bCs/>
          <w:spacing w:val="-10"/>
          <w:sz w:val="52"/>
          <w:szCs w:val="52"/>
          <w:lang w:val="en-US" w:eastAsia="zh-CN"/>
        </w:rPr>
        <w:t xml:space="preserve">  </w:t>
      </w:r>
    </w:p>
    <w:p w14:paraId="51CE11E1">
      <w:pPr>
        <w:keepNext w:val="0"/>
        <w:keepLines w:val="0"/>
        <w:pageBreakBefore w:val="0"/>
        <w:wordWrap/>
        <w:topLinePunct w:val="0"/>
        <w:autoSpaceDE w:val="0"/>
        <w:autoSpaceDN w:val="0"/>
        <w:bidi w:val="0"/>
        <w:adjustRightInd w:val="0"/>
        <w:snapToGrid w:val="0"/>
        <w:spacing w:line="240" w:lineRule="auto"/>
        <w:textAlignment w:val="baseline"/>
        <w:rPr>
          <w:rFonts w:ascii="Arial"/>
          <w:sz w:val="21"/>
        </w:rPr>
      </w:pPr>
    </w:p>
    <w:p w14:paraId="5333C896">
      <w:pPr>
        <w:keepNext w:val="0"/>
        <w:keepLines w:val="0"/>
        <w:pageBreakBefore w:val="0"/>
        <w:wordWrap/>
        <w:topLinePunct w:val="0"/>
        <w:autoSpaceDE w:val="0"/>
        <w:autoSpaceDN w:val="0"/>
        <w:bidi w:val="0"/>
        <w:adjustRightInd w:val="0"/>
        <w:snapToGrid w:val="0"/>
        <w:spacing w:line="240" w:lineRule="auto"/>
        <w:textAlignment w:val="baseline"/>
        <w:rPr>
          <w:rFonts w:ascii="Arial"/>
          <w:sz w:val="21"/>
        </w:rPr>
      </w:pPr>
    </w:p>
    <w:p w14:paraId="5C45BD0F">
      <w:pPr>
        <w:keepNext w:val="0"/>
        <w:keepLines w:val="0"/>
        <w:pageBreakBefore w:val="0"/>
        <w:wordWrap/>
        <w:topLinePunct w:val="0"/>
        <w:autoSpaceDE w:val="0"/>
        <w:autoSpaceDN w:val="0"/>
        <w:bidi w:val="0"/>
        <w:adjustRightInd w:val="0"/>
        <w:snapToGrid w:val="0"/>
        <w:spacing w:line="240" w:lineRule="auto"/>
        <w:textAlignment w:val="baseline"/>
        <w:rPr>
          <w:rFonts w:ascii="Arial"/>
          <w:sz w:val="21"/>
        </w:rPr>
      </w:pPr>
    </w:p>
    <w:p w14:paraId="754F53B4">
      <w:pPr>
        <w:keepNext w:val="0"/>
        <w:keepLines w:val="0"/>
        <w:pageBreakBefore w:val="0"/>
        <w:wordWrap/>
        <w:topLinePunct w:val="0"/>
        <w:autoSpaceDE w:val="0"/>
        <w:autoSpaceDN w:val="0"/>
        <w:bidi w:val="0"/>
        <w:adjustRightInd w:val="0"/>
        <w:snapToGrid w:val="0"/>
        <w:spacing w:line="240" w:lineRule="auto"/>
        <w:textAlignment w:val="baseline"/>
        <w:rPr>
          <w:rFonts w:ascii="Arial"/>
          <w:sz w:val="21"/>
        </w:rPr>
      </w:pPr>
    </w:p>
    <w:p w14:paraId="38FBE7BE">
      <w:pPr>
        <w:keepNext w:val="0"/>
        <w:keepLines w:val="0"/>
        <w:pageBreakBefore w:val="0"/>
        <w:wordWrap/>
        <w:topLinePunct w:val="0"/>
        <w:autoSpaceDE w:val="0"/>
        <w:autoSpaceDN w:val="0"/>
        <w:bidi w:val="0"/>
        <w:adjustRightInd w:val="0"/>
        <w:snapToGrid w:val="0"/>
        <w:spacing w:line="240" w:lineRule="auto"/>
        <w:textAlignment w:val="baseline"/>
        <w:rPr>
          <w:rFonts w:ascii="Arial"/>
          <w:sz w:val="21"/>
        </w:rPr>
      </w:pPr>
    </w:p>
    <w:p w14:paraId="2C34ED4A">
      <w:pPr>
        <w:keepNext w:val="0"/>
        <w:keepLines w:val="0"/>
        <w:pageBreakBefore w:val="0"/>
        <w:wordWrap/>
        <w:topLinePunct w:val="0"/>
        <w:autoSpaceDE w:val="0"/>
        <w:autoSpaceDN w:val="0"/>
        <w:bidi w:val="0"/>
        <w:adjustRightInd w:val="0"/>
        <w:snapToGrid w:val="0"/>
        <w:spacing w:line="240" w:lineRule="auto"/>
        <w:textAlignment w:val="baseline"/>
        <w:rPr>
          <w:rFonts w:ascii="Arial"/>
          <w:sz w:val="21"/>
        </w:rPr>
      </w:pPr>
    </w:p>
    <w:p w14:paraId="378ECA05">
      <w:pPr>
        <w:keepNext w:val="0"/>
        <w:keepLines w:val="0"/>
        <w:pageBreakBefore w:val="0"/>
        <w:wordWrap/>
        <w:topLinePunct w:val="0"/>
        <w:autoSpaceDE w:val="0"/>
        <w:autoSpaceDN w:val="0"/>
        <w:bidi w:val="0"/>
        <w:adjustRightInd w:val="0"/>
        <w:snapToGrid w:val="0"/>
        <w:spacing w:line="240" w:lineRule="auto"/>
        <w:textAlignment w:val="baseline"/>
        <w:rPr>
          <w:rFonts w:ascii="Arial"/>
          <w:sz w:val="21"/>
        </w:rPr>
      </w:pPr>
    </w:p>
    <w:p w14:paraId="1B3937C2">
      <w:pPr>
        <w:keepNext w:val="0"/>
        <w:keepLines w:val="0"/>
        <w:pageBreakBefore w:val="0"/>
        <w:wordWrap/>
        <w:topLinePunct w:val="0"/>
        <w:autoSpaceDE w:val="0"/>
        <w:autoSpaceDN w:val="0"/>
        <w:bidi w:val="0"/>
        <w:adjustRightInd w:val="0"/>
        <w:snapToGrid w:val="0"/>
        <w:spacing w:line="240" w:lineRule="auto"/>
        <w:textAlignment w:val="baseline"/>
        <w:rPr>
          <w:rFonts w:ascii="Arial"/>
          <w:sz w:val="21"/>
        </w:rPr>
      </w:pPr>
    </w:p>
    <w:p w14:paraId="07A21114">
      <w:pPr>
        <w:keepNext w:val="0"/>
        <w:keepLines w:val="0"/>
        <w:pageBreakBefore w:val="0"/>
        <w:wordWrap/>
        <w:topLinePunct w:val="0"/>
        <w:autoSpaceDE w:val="0"/>
        <w:autoSpaceDN w:val="0"/>
        <w:bidi w:val="0"/>
        <w:adjustRightInd w:val="0"/>
        <w:snapToGrid w:val="0"/>
        <w:spacing w:line="240" w:lineRule="auto"/>
        <w:textAlignment w:val="baseline"/>
        <w:rPr>
          <w:rFonts w:ascii="Arial"/>
          <w:sz w:val="21"/>
        </w:rPr>
      </w:pPr>
    </w:p>
    <w:p w14:paraId="7FBF5336">
      <w:pPr>
        <w:keepNext w:val="0"/>
        <w:keepLines w:val="0"/>
        <w:pageBreakBefore w:val="0"/>
        <w:wordWrap/>
        <w:topLinePunct w:val="0"/>
        <w:autoSpaceDE w:val="0"/>
        <w:autoSpaceDN w:val="0"/>
        <w:bidi w:val="0"/>
        <w:adjustRightInd w:val="0"/>
        <w:snapToGrid w:val="0"/>
        <w:spacing w:line="240" w:lineRule="auto"/>
        <w:textAlignment w:val="baseline"/>
        <w:rPr>
          <w:rFonts w:ascii="Arial"/>
          <w:sz w:val="21"/>
        </w:rPr>
      </w:pPr>
    </w:p>
    <w:p w14:paraId="542E9EE7">
      <w:pPr>
        <w:keepNext w:val="0"/>
        <w:keepLines w:val="0"/>
        <w:pageBreakBefore w:val="0"/>
        <w:wordWrap/>
        <w:topLinePunct w:val="0"/>
        <w:autoSpaceDE w:val="0"/>
        <w:autoSpaceDN w:val="0"/>
        <w:bidi w:val="0"/>
        <w:adjustRightInd w:val="0"/>
        <w:snapToGrid w:val="0"/>
        <w:spacing w:line="240" w:lineRule="auto"/>
        <w:textAlignment w:val="baseline"/>
        <w:rPr>
          <w:rFonts w:ascii="Arial"/>
          <w:sz w:val="21"/>
        </w:rPr>
      </w:pPr>
    </w:p>
    <w:p w14:paraId="0B93521E">
      <w:pPr>
        <w:keepNext w:val="0"/>
        <w:keepLines w:val="0"/>
        <w:pageBreakBefore w:val="0"/>
        <w:wordWrap/>
        <w:topLinePunct w:val="0"/>
        <w:autoSpaceDE w:val="0"/>
        <w:autoSpaceDN w:val="0"/>
        <w:bidi w:val="0"/>
        <w:adjustRightInd w:val="0"/>
        <w:snapToGrid w:val="0"/>
        <w:spacing w:line="240" w:lineRule="auto"/>
        <w:textAlignment w:val="baseline"/>
        <w:rPr>
          <w:rFonts w:ascii="Arial"/>
          <w:sz w:val="21"/>
        </w:rPr>
      </w:pPr>
    </w:p>
    <w:p w14:paraId="73BB6CF3">
      <w:pPr>
        <w:keepNext w:val="0"/>
        <w:keepLines w:val="0"/>
        <w:pageBreakBefore w:val="0"/>
        <w:wordWrap/>
        <w:topLinePunct w:val="0"/>
        <w:autoSpaceDE w:val="0"/>
        <w:autoSpaceDN w:val="0"/>
        <w:bidi w:val="0"/>
        <w:adjustRightInd w:val="0"/>
        <w:snapToGrid w:val="0"/>
        <w:spacing w:line="240" w:lineRule="auto"/>
        <w:textAlignment w:val="baseline"/>
        <w:rPr>
          <w:rFonts w:ascii="Arial"/>
          <w:sz w:val="21"/>
        </w:rPr>
      </w:pPr>
    </w:p>
    <w:p w14:paraId="527D127B">
      <w:pPr>
        <w:keepNext w:val="0"/>
        <w:keepLines w:val="0"/>
        <w:pageBreakBefore w:val="0"/>
        <w:wordWrap/>
        <w:topLinePunct w:val="0"/>
        <w:autoSpaceDE w:val="0"/>
        <w:autoSpaceDN w:val="0"/>
        <w:bidi w:val="0"/>
        <w:adjustRightInd w:val="0"/>
        <w:snapToGrid w:val="0"/>
        <w:spacing w:line="240" w:lineRule="auto"/>
        <w:textAlignment w:val="baseline"/>
        <w:rPr>
          <w:rFonts w:ascii="Arial"/>
          <w:sz w:val="21"/>
        </w:rPr>
      </w:pPr>
    </w:p>
    <w:p w14:paraId="5B998579">
      <w:pPr>
        <w:keepNext w:val="0"/>
        <w:keepLines w:val="0"/>
        <w:pageBreakBefore w:val="0"/>
        <w:wordWrap/>
        <w:topLinePunct w:val="0"/>
        <w:autoSpaceDE w:val="0"/>
        <w:autoSpaceDN w:val="0"/>
        <w:bidi w:val="0"/>
        <w:adjustRightInd w:val="0"/>
        <w:snapToGrid w:val="0"/>
        <w:spacing w:line="240" w:lineRule="auto"/>
        <w:textAlignment w:val="baseline"/>
        <w:rPr>
          <w:rFonts w:ascii="Arial"/>
          <w:sz w:val="21"/>
        </w:rPr>
      </w:pPr>
    </w:p>
    <w:p w14:paraId="267409BC">
      <w:pPr>
        <w:keepNext w:val="0"/>
        <w:keepLines w:val="0"/>
        <w:pageBreakBefore w:val="0"/>
        <w:wordWrap/>
        <w:topLinePunct w:val="0"/>
        <w:autoSpaceDE w:val="0"/>
        <w:autoSpaceDN w:val="0"/>
        <w:bidi w:val="0"/>
        <w:adjustRightInd w:val="0"/>
        <w:snapToGrid w:val="0"/>
        <w:spacing w:line="240" w:lineRule="auto"/>
        <w:textAlignment w:val="baseline"/>
        <w:rPr>
          <w:rFonts w:ascii="Arial"/>
          <w:sz w:val="21"/>
        </w:rPr>
      </w:pPr>
    </w:p>
    <w:p w14:paraId="316E168D">
      <w:pPr>
        <w:keepNext w:val="0"/>
        <w:keepLines w:val="0"/>
        <w:pageBreakBefore w:val="0"/>
        <w:wordWrap/>
        <w:topLinePunct w:val="0"/>
        <w:autoSpaceDE w:val="0"/>
        <w:autoSpaceDN w:val="0"/>
        <w:bidi w:val="0"/>
        <w:adjustRightInd w:val="0"/>
        <w:snapToGrid w:val="0"/>
        <w:spacing w:line="240" w:lineRule="auto"/>
        <w:textAlignment w:val="baseline"/>
        <w:rPr>
          <w:rFonts w:ascii="Arial"/>
          <w:sz w:val="21"/>
        </w:rPr>
      </w:pPr>
    </w:p>
    <w:p w14:paraId="5CE62803">
      <w:pPr>
        <w:keepNext w:val="0"/>
        <w:keepLines w:val="0"/>
        <w:pageBreakBefore w:val="0"/>
        <w:wordWrap/>
        <w:topLinePunct w:val="0"/>
        <w:autoSpaceDE w:val="0"/>
        <w:autoSpaceDN w:val="0"/>
        <w:bidi w:val="0"/>
        <w:adjustRightInd w:val="0"/>
        <w:snapToGrid w:val="0"/>
        <w:spacing w:line="240" w:lineRule="auto"/>
        <w:textAlignment w:val="baseline"/>
        <w:rPr>
          <w:rFonts w:ascii="Arial"/>
          <w:sz w:val="21"/>
        </w:rPr>
      </w:pPr>
    </w:p>
    <w:p w14:paraId="4099FBC6">
      <w:pPr>
        <w:keepNext w:val="0"/>
        <w:keepLines w:val="0"/>
        <w:pageBreakBefore w:val="0"/>
        <w:wordWrap/>
        <w:topLinePunct w:val="0"/>
        <w:autoSpaceDE w:val="0"/>
        <w:autoSpaceDN w:val="0"/>
        <w:bidi w:val="0"/>
        <w:adjustRightInd w:val="0"/>
        <w:snapToGrid w:val="0"/>
        <w:spacing w:line="240" w:lineRule="auto"/>
        <w:textAlignment w:val="baseline"/>
        <w:rPr>
          <w:rFonts w:ascii="Arial"/>
          <w:sz w:val="21"/>
        </w:rPr>
      </w:pPr>
    </w:p>
    <w:p w14:paraId="79071790">
      <w:pPr>
        <w:keepNext w:val="0"/>
        <w:keepLines w:val="0"/>
        <w:pageBreakBefore w:val="0"/>
        <w:wordWrap/>
        <w:topLinePunct w:val="0"/>
        <w:autoSpaceDE w:val="0"/>
        <w:autoSpaceDN w:val="0"/>
        <w:bidi w:val="0"/>
        <w:adjustRightInd w:val="0"/>
        <w:snapToGrid w:val="0"/>
        <w:spacing w:line="240" w:lineRule="auto"/>
        <w:textAlignment w:val="baseline"/>
        <w:rPr>
          <w:rFonts w:ascii="Arial"/>
          <w:sz w:val="21"/>
        </w:rPr>
      </w:pPr>
    </w:p>
    <w:p w14:paraId="603553F4">
      <w:pPr>
        <w:keepNext w:val="0"/>
        <w:keepLines w:val="0"/>
        <w:pageBreakBefore w:val="0"/>
        <w:wordWrap/>
        <w:topLinePunct w:val="0"/>
        <w:autoSpaceDE w:val="0"/>
        <w:autoSpaceDN w:val="0"/>
        <w:bidi w:val="0"/>
        <w:adjustRightInd w:val="0"/>
        <w:snapToGrid w:val="0"/>
        <w:spacing w:line="240" w:lineRule="auto"/>
        <w:textAlignment w:val="baseline"/>
        <w:rPr>
          <w:rFonts w:ascii="Arial"/>
          <w:sz w:val="21"/>
        </w:rPr>
      </w:pPr>
    </w:p>
    <w:p w14:paraId="7215BB24">
      <w:pPr>
        <w:keepNext w:val="0"/>
        <w:keepLines w:val="0"/>
        <w:pageBreakBefore w:val="0"/>
        <w:wordWrap/>
        <w:topLinePunct w:val="0"/>
        <w:autoSpaceDE w:val="0"/>
        <w:autoSpaceDN w:val="0"/>
        <w:bidi w:val="0"/>
        <w:adjustRightInd w:val="0"/>
        <w:snapToGrid w:val="0"/>
        <w:spacing w:line="240" w:lineRule="auto"/>
        <w:textAlignment w:val="baseline"/>
        <w:rPr>
          <w:rFonts w:ascii="Arial"/>
          <w:sz w:val="21"/>
        </w:rPr>
      </w:pPr>
    </w:p>
    <w:p w14:paraId="4B8AE0A3">
      <w:pPr>
        <w:keepNext w:val="0"/>
        <w:keepLines w:val="0"/>
        <w:pageBreakBefore w:val="0"/>
        <w:wordWrap/>
        <w:topLinePunct w:val="0"/>
        <w:autoSpaceDE w:val="0"/>
        <w:autoSpaceDN w:val="0"/>
        <w:bidi w:val="0"/>
        <w:adjustRightInd w:val="0"/>
        <w:snapToGrid w:val="0"/>
        <w:spacing w:line="240" w:lineRule="auto"/>
        <w:textAlignment w:val="baseline"/>
        <w:rPr>
          <w:rFonts w:ascii="Arial"/>
          <w:sz w:val="21"/>
        </w:rPr>
      </w:pPr>
    </w:p>
    <w:p w14:paraId="6BC9FF9E">
      <w:pPr>
        <w:keepNext w:val="0"/>
        <w:keepLines w:val="0"/>
        <w:pageBreakBefore w:val="0"/>
        <w:wordWrap/>
        <w:topLinePunct w:val="0"/>
        <w:autoSpaceDE w:val="0"/>
        <w:autoSpaceDN w:val="0"/>
        <w:bidi w:val="0"/>
        <w:adjustRightInd w:val="0"/>
        <w:snapToGrid w:val="0"/>
        <w:spacing w:line="240" w:lineRule="auto"/>
        <w:textAlignment w:val="baseline"/>
        <w:rPr>
          <w:rFonts w:ascii="Arial"/>
          <w:sz w:val="21"/>
        </w:rPr>
      </w:pPr>
    </w:p>
    <w:p w14:paraId="03747CA6">
      <w:pPr>
        <w:keepNext w:val="0"/>
        <w:keepLines w:val="0"/>
        <w:pageBreakBefore w:val="0"/>
        <w:wordWrap/>
        <w:topLinePunct w:val="0"/>
        <w:autoSpaceDE w:val="0"/>
        <w:autoSpaceDN w:val="0"/>
        <w:bidi w:val="0"/>
        <w:adjustRightInd w:val="0"/>
        <w:snapToGrid w:val="0"/>
        <w:spacing w:line="240" w:lineRule="auto"/>
        <w:textAlignment w:val="baseline"/>
        <w:rPr>
          <w:rFonts w:ascii="Arial"/>
          <w:sz w:val="21"/>
        </w:rPr>
      </w:pPr>
    </w:p>
    <w:p w14:paraId="6E00FE37">
      <w:pPr>
        <w:keepNext w:val="0"/>
        <w:keepLines w:val="0"/>
        <w:pageBreakBefore w:val="0"/>
        <w:wordWrap/>
        <w:topLinePunct w:val="0"/>
        <w:autoSpaceDE w:val="0"/>
        <w:autoSpaceDN w:val="0"/>
        <w:bidi w:val="0"/>
        <w:adjustRightInd w:val="0"/>
        <w:snapToGrid w:val="0"/>
        <w:spacing w:line="240" w:lineRule="auto"/>
        <w:textAlignment w:val="baseline"/>
        <w:rPr>
          <w:rFonts w:ascii="Arial"/>
          <w:sz w:val="21"/>
        </w:rPr>
      </w:pPr>
    </w:p>
    <w:p w14:paraId="599B99DE">
      <w:pPr>
        <w:keepNext w:val="0"/>
        <w:keepLines w:val="0"/>
        <w:pageBreakBefore w:val="0"/>
        <w:wordWrap/>
        <w:topLinePunct w:val="0"/>
        <w:autoSpaceDE w:val="0"/>
        <w:autoSpaceDN w:val="0"/>
        <w:bidi w:val="0"/>
        <w:adjustRightInd w:val="0"/>
        <w:snapToGrid w:val="0"/>
        <w:spacing w:line="240" w:lineRule="auto"/>
        <w:textAlignment w:val="baseline"/>
        <w:rPr>
          <w:rFonts w:ascii="Arial"/>
          <w:sz w:val="21"/>
        </w:rPr>
      </w:pPr>
    </w:p>
    <w:p w14:paraId="7822F51D">
      <w:pPr>
        <w:keepNext w:val="0"/>
        <w:keepLines w:val="0"/>
        <w:pageBreakBefore w:val="0"/>
        <w:wordWrap/>
        <w:topLinePunct w:val="0"/>
        <w:autoSpaceDE w:val="0"/>
        <w:autoSpaceDN w:val="0"/>
        <w:bidi w:val="0"/>
        <w:adjustRightInd w:val="0"/>
        <w:snapToGrid w:val="0"/>
        <w:spacing w:line="240" w:lineRule="auto"/>
        <w:textAlignment w:val="baseline"/>
        <w:rPr>
          <w:rFonts w:ascii="Arial"/>
          <w:sz w:val="21"/>
        </w:rPr>
      </w:pPr>
    </w:p>
    <w:p w14:paraId="17A539B5">
      <w:pPr>
        <w:keepNext w:val="0"/>
        <w:keepLines w:val="0"/>
        <w:pageBreakBefore w:val="0"/>
        <w:wordWrap/>
        <w:topLinePunct w:val="0"/>
        <w:autoSpaceDE w:val="0"/>
        <w:autoSpaceDN w:val="0"/>
        <w:bidi w:val="0"/>
        <w:adjustRightInd w:val="0"/>
        <w:snapToGrid w:val="0"/>
        <w:spacing w:line="240" w:lineRule="auto"/>
        <w:textAlignment w:val="baseline"/>
        <w:rPr>
          <w:rFonts w:ascii="Arial"/>
          <w:sz w:val="21"/>
        </w:rPr>
      </w:pPr>
    </w:p>
    <w:p w14:paraId="45BC6B06">
      <w:pPr>
        <w:keepNext w:val="0"/>
        <w:keepLines w:val="0"/>
        <w:pageBreakBefore w:val="0"/>
        <w:wordWrap/>
        <w:topLinePunct w:val="0"/>
        <w:autoSpaceDE w:val="0"/>
        <w:autoSpaceDN w:val="0"/>
        <w:bidi w:val="0"/>
        <w:adjustRightInd w:val="0"/>
        <w:snapToGrid w:val="0"/>
        <w:spacing w:line="240" w:lineRule="auto"/>
        <w:textAlignment w:val="baseline"/>
        <w:rPr>
          <w:rFonts w:ascii="Arial"/>
          <w:sz w:val="21"/>
        </w:rPr>
      </w:pPr>
    </w:p>
    <w:p w14:paraId="52D06C0C">
      <w:pPr>
        <w:keepNext w:val="0"/>
        <w:keepLines w:val="0"/>
        <w:pageBreakBefore w:val="0"/>
        <w:wordWrap/>
        <w:topLinePunct w:val="0"/>
        <w:autoSpaceDE w:val="0"/>
        <w:autoSpaceDN w:val="0"/>
        <w:bidi w:val="0"/>
        <w:adjustRightInd w:val="0"/>
        <w:snapToGrid w:val="0"/>
        <w:spacing w:line="240" w:lineRule="auto"/>
        <w:textAlignment w:val="baseline"/>
        <w:rPr>
          <w:rFonts w:ascii="Arial"/>
          <w:sz w:val="21"/>
        </w:rPr>
      </w:pPr>
    </w:p>
    <w:p w14:paraId="5BD36C99">
      <w:pPr>
        <w:keepNext w:val="0"/>
        <w:keepLines w:val="0"/>
        <w:pageBreakBefore w:val="0"/>
        <w:wordWrap/>
        <w:topLinePunct w:val="0"/>
        <w:autoSpaceDE w:val="0"/>
        <w:autoSpaceDN w:val="0"/>
        <w:bidi w:val="0"/>
        <w:adjustRightInd w:val="0"/>
        <w:snapToGrid w:val="0"/>
        <w:spacing w:line="240" w:lineRule="auto"/>
        <w:textAlignment w:val="baseline"/>
        <w:rPr>
          <w:rFonts w:ascii="Arial"/>
          <w:sz w:val="21"/>
        </w:rPr>
      </w:pPr>
    </w:p>
    <w:p w14:paraId="13122A2F">
      <w:pPr>
        <w:keepNext w:val="0"/>
        <w:keepLines w:val="0"/>
        <w:pageBreakBefore w:val="0"/>
        <w:wordWrap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1795"/>
        <w:textAlignment w:val="baseline"/>
        <w:rPr>
          <w:rFonts w:ascii="楷体" w:hAnsi="楷体" w:eastAsia="楷体" w:cs="楷体"/>
          <w:spacing w:val="-36"/>
          <w:w w:val="99"/>
          <w:sz w:val="34"/>
          <w:szCs w:val="34"/>
        </w:rPr>
      </w:pPr>
    </w:p>
    <w:p w14:paraId="3161EC18">
      <w:pPr>
        <w:keepNext w:val="0"/>
        <w:keepLines w:val="0"/>
        <w:pageBreakBefore w:val="0"/>
        <w:wordWrap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1795"/>
        <w:textAlignment w:val="baseline"/>
        <w:rPr>
          <w:rFonts w:ascii="楷体" w:hAnsi="楷体" w:eastAsia="楷体" w:cs="楷体"/>
          <w:spacing w:val="-36"/>
          <w:w w:val="99"/>
          <w:sz w:val="34"/>
          <w:szCs w:val="34"/>
        </w:rPr>
      </w:pPr>
    </w:p>
    <w:p w14:paraId="53C534AD">
      <w:pPr>
        <w:keepNext w:val="0"/>
        <w:keepLines w:val="0"/>
        <w:pageBreakBefore w:val="0"/>
        <w:wordWrap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1795"/>
        <w:textAlignment w:val="baseline"/>
        <w:rPr>
          <w:rFonts w:ascii="楷体" w:hAnsi="楷体" w:eastAsia="楷体" w:cs="楷体"/>
          <w:sz w:val="34"/>
          <w:szCs w:val="34"/>
        </w:rPr>
      </w:pPr>
      <w:r>
        <w:rPr>
          <w:rFonts w:ascii="楷体" w:hAnsi="楷体" w:eastAsia="楷体" w:cs="楷体"/>
          <w:spacing w:val="-36"/>
          <w:w w:val="99"/>
          <w:sz w:val="34"/>
          <w:szCs w:val="34"/>
        </w:rPr>
        <w:t>实施单位：</w:t>
      </w:r>
      <w:r>
        <w:rPr>
          <w:rFonts w:ascii="楷体" w:hAnsi="楷体" w:eastAsia="楷体" w:cs="楷体"/>
          <w:spacing w:val="-79"/>
          <w:sz w:val="34"/>
          <w:szCs w:val="34"/>
          <w:u w:val="single" w:color="auto"/>
        </w:rPr>
        <w:t xml:space="preserve"> </w:t>
      </w:r>
      <w:r>
        <w:rPr>
          <w:rFonts w:ascii="楷体" w:hAnsi="楷体" w:eastAsia="楷体" w:cs="楷体"/>
          <w:spacing w:val="-36"/>
          <w:w w:val="99"/>
          <w:sz w:val="34"/>
          <w:szCs w:val="34"/>
          <w:u w:val="single" w:color="auto"/>
        </w:rPr>
        <w:t>(</w:t>
      </w:r>
      <w:r>
        <w:rPr>
          <w:rFonts w:ascii="楷体" w:hAnsi="楷体" w:eastAsia="楷体" w:cs="楷体"/>
          <w:spacing w:val="27"/>
          <w:sz w:val="34"/>
          <w:szCs w:val="34"/>
          <w:u w:val="single" w:color="auto"/>
        </w:rPr>
        <w:t xml:space="preserve"> </w:t>
      </w:r>
      <w:r>
        <w:rPr>
          <w:rFonts w:ascii="楷体" w:hAnsi="楷体" w:eastAsia="楷体" w:cs="楷体"/>
          <w:spacing w:val="-36"/>
          <w:w w:val="99"/>
          <w:sz w:val="34"/>
          <w:szCs w:val="34"/>
          <w:u w:val="single" w:color="auto"/>
        </w:rPr>
        <w:t>盖</w:t>
      </w:r>
      <w:r>
        <w:rPr>
          <w:rFonts w:ascii="楷体" w:hAnsi="楷体" w:eastAsia="楷体" w:cs="楷体"/>
          <w:spacing w:val="32"/>
          <w:sz w:val="34"/>
          <w:szCs w:val="34"/>
          <w:u w:val="single" w:color="auto"/>
        </w:rPr>
        <w:t xml:space="preserve"> </w:t>
      </w:r>
      <w:r>
        <w:rPr>
          <w:rFonts w:ascii="楷体" w:hAnsi="楷体" w:eastAsia="楷体" w:cs="楷体"/>
          <w:spacing w:val="-36"/>
          <w:w w:val="99"/>
          <w:sz w:val="34"/>
          <w:szCs w:val="34"/>
          <w:u w:val="single" w:color="auto"/>
        </w:rPr>
        <w:t>章</w:t>
      </w:r>
      <w:r>
        <w:rPr>
          <w:rFonts w:ascii="楷体" w:hAnsi="楷体" w:eastAsia="楷体" w:cs="楷体"/>
          <w:spacing w:val="26"/>
          <w:sz w:val="34"/>
          <w:szCs w:val="34"/>
          <w:u w:val="single" w:color="auto"/>
        </w:rPr>
        <w:t xml:space="preserve"> </w:t>
      </w:r>
      <w:r>
        <w:rPr>
          <w:rFonts w:ascii="楷体" w:hAnsi="楷体" w:eastAsia="楷体" w:cs="楷体"/>
          <w:spacing w:val="-36"/>
          <w:w w:val="99"/>
          <w:sz w:val="34"/>
          <w:szCs w:val="34"/>
          <w:u w:val="single" w:color="auto"/>
        </w:rPr>
        <w:t>)</w:t>
      </w:r>
      <w:r>
        <w:rPr>
          <w:rFonts w:ascii="楷体" w:hAnsi="楷体" w:eastAsia="楷体" w:cs="楷体"/>
          <w:sz w:val="34"/>
          <w:szCs w:val="34"/>
          <w:u w:val="single" w:color="auto"/>
        </w:rPr>
        <w:t xml:space="preserve">       </w:t>
      </w:r>
    </w:p>
    <w:p w14:paraId="26FBC2C9">
      <w:pPr>
        <w:keepNext w:val="0"/>
        <w:keepLines w:val="0"/>
        <w:pageBreakBefore w:val="0"/>
        <w:wordWrap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3046"/>
        <w:textAlignment w:val="baseline"/>
        <w:rPr>
          <w:rFonts w:ascii="楷体" w:hAnsi="楷体" w:eastAsia="楷体" w:cs="楷体"/>
          <w:spacing w:val="-11"/>
          <w:sz w:val="25"/>
          <w:szCs w:val="25"/>
        </w:rPr>
      </w:pPr>
    </w:p>
    <w:p w14:paraId="525815B1">
      <w:pPr>
        <w:keepNext w:val="0"/>
        <w:keepLines w:val="0"/>
        <w:pageBreakBefore w:val="0"/>
        <w:wordWrap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3046"/>
        <w:textAlignment w:val="baseline"/>
        <w:rPr>
          <w:rFonts w:ascii="楷体" w:hAnsi="楷体" w:eastAsia="楷体" w:cs="楷体"/>
          <w:sz w:val="25"/>
          <w:szCs w:val="25"/>
        </w:rPr>
      </w:pPr>
      <w:r>
        <w:rPr>
          <w:rFonts w:hint="eastAsia" w:ascii="楷体" w:hAnsi="楷体" w:eastAsia="楷体" w:cs="楷体"/>
          <w:spacing w:val="-11"/>
          <w:sz w:val="25"/>
          <w:szCs w:val="25"/>
          <w:lang w:val="en-US" w:eastAsia="zh-CN"/>
        </w:rPr>
        <w:t>2025</w:t>
      </w:r>
      <w:r>
        <w:rPr>
          <w:rFonts w:ascii="楷体" w:hAnsi="楷体" w:eastAsia="楷体" w:cs="楷体"/>
          <w:spacing w:val="-11"/>
          <w:sz w:val="25"/>
          <w:szCs w:val="25"/>
        </w:rPr>
        <w:t>年</w:t>
      </w:r>
      <w:r>
        <w:rPr>
          <w:rFonts w:hint="eastAsia" w:ascii="楷体" w:hAnsi="楷体" w:eastAsia="楷体" w:cs="楷体"/>
          <w:spacing w:val="11"/>
          <w:sz w:val="25"/>
          <w:szCs w:val="25"/>
          <w:lang w:val="en-US" w:eastAsia="zh-CN"/>
        </w:rPr>
        <w:t>4</w:t>
      </w:r>
      <w:r>
        <w:rPr>
          <w:rFonts w:ascii="楷体" w:hAnsi="楷体" w:eastAsia="楷体" w:cs="楷体"/>
          <w:spacing w:val="-11"/>
          <w:sz w:val="25"/>
          <w:szCs w:val="25"/>
        </w:rPr>
        <w:t>月</w:t>
      </w:r>
      <w:r>
        <w:rPr>
          <w:rFonts w:hint="eastAsia" w:ascii="楷体" w:hAnsi="楷体" w:eastAsia="楷体" w:cs="楷体"/>
          <w:spacing w:val="26"/>
          <w:sz w:val="25"/>
          <w:szCs w:val="25"/>
          <w:lang w:val="en-US" w:eastAsia="zh-CN"/>
        </w:rPr>
        <w:t>21</w:t>
      </w:r>
      <w:r>
        <w:rPr>
          <w:rFonts w:ascii="楷体" w:hAnsi="楷体" w:eastAsia="楷体" w:cs="楷体"/>
          <w:spacing w:val="26"/>
          <w:sz w:val="25"/>
          <w:szCs w:val="25"/>
        </w:rPr>
        <w:t xml:space="preserve"> </w:t>
      </w:r>
      <w:r>
        <w:rPr>
          <w:rFonts w:ascii="楷体" w:hAnsi="楷体" w:eastAsia="楷体" w:cs="楷体"/>
          <w:spacing w:val="-11"/>
          <w:sz w:val="25"/>
          <w:szCs w:val="25"/>
        </w:rPr>
        <w:t>日</w:t>
      </w:r>
    </w:p>
    <w:p w14:paraId="11B2A640">
      <w:pPr>
        <w:keepNext w:val="0"/>
        <w:keepLines w:val="0"/>
        <w:pageBreakBefore w:val="0"/>
        <w:wordWrap/>
        <w:topLinePunct w:val="0"/>
        <w:autoSpaceDE w:val="0"/>
        <w:autoSpaceDN w:val="0"/>
        <w:bidi w:val="0"/>
        <w:adjustRightInd w:val="0"/>
        <w:snapToGrid w:val="0"/>
        <w:spacing w:line="240" w:lineRule="auto"/>
        <w:textAlignment w:val="baseline"/>
        <w:rPr>
          <w:rFonts w:ascii="楷体" w:hAnsi="楷体" w:eastAsia="楷体" w:cs="楷体"/>
          <w:sz w:val="25"/>
          <w:szCs w:val="25"/>
        </w:rPr>
        <w:sectPr>
          <w:pgSz w:w="11900" w:h="16830"/>
          <w:pgMar w:top="1088" w:right="1429" w:bottom="1020" w:left="1429" w:header="0" w:footer="939" w:gutter="0"/>
          <w:pgNumType w:fmt="decimal"/>
          <w:cols w:space="720" w:num="1"/>
        </w:sectPr>
      </w:pPr>
      <w:bookmarkStart w:id="0" w:name="_GoBack"/>
      <w:bookmarkEnd w:id="0"/>
    </w:p>
    <w:p w14:paraId="2196A495">
      <w:pPr>
        <w:keepNext w:val="0"/>
        <w:keepLines w:val="0"/>
        <w:pageBreakBefore w:val="0"/>
        <w:wordWrap/>
        <w:topLinePunct w:val="0"/>
        <w:autoSpaceDE w:val="0"/>
        <w:autoSpaceDN w:val="0"/>
        <w:bidi w:val="0"/>
        <w:adjustRightInd w:val="0"/>
        <w:snapToGrid w:val="0"/>
        <w:spacing w:line="240" w:lineRule="auto"/>
        <w:textAlignment w:val="baseline"/>
        <w:rPr>
          <w:rFonts w:ascii="Arial"/>
          <w:sz w:val="21"/>
        </w:rPr>
      </w:pPr>
    </w:p>
    <w:p w14:paraId="2DC94EA2">
      <w:pPr>
        <w:keepNext w:val="0"/>
        <w:keepLines w:val="0"/>
        <w:pageBreakBefore w:val="0"/>
        <w:wordWrap/>
        <w:topLinePunct w:val="0"/>
        <w:autoSpaceDE w:val="0"/>
        <w:autoSpaceDN w:val="0"/>
        <w:bidi w:val="0"/>
        <w:adjustRightInd w:val="0"/>
        <w:snapToGrid w:val="0"/>
        <w:spacing w:line="240" w:lineRule="auto"/>
        <w:textAlignment w:val="baseline"/>
        <w:rPr>
          <w:rFonts w:ascii="Arial"/>
          <w:sz w:val="21"/>
        </w:rPr>
      </w:pPr>
    </w:p>
    <w:p w14:paraId="6E7D73B0">
      <w:pPr>
        <w:keepNext w:val="0"/>
        <w:keepLines w:val="0"/>
        <w:pageBreakBefore w:val="0"/>
        <w:wordWrap/>
        <w:topLinePunct w:val="0"/>
        <w:autoSpaceDE w:val="0"/>
        <w:autoSpaceDN w:val="0"/>
        <w:bidi w:val="0"/>
        <w:adjustRightInd w:val="0"/>
        <w:snapToGrid w:val="0"/>
        <w:spacing w:line="240" w:lineRule="auto"/>
        <w:jc w:val="center"/>
        <w:textAlignment w:val="baseline"/>
        <w:rPr>
          <w:rFonts w:ascii="宋体" w:hAnsi="宋体" w:eastAsia="宋体" w:cs="宋体"/>
          <w:sz w:val="43"/>
          <w:szCs w:val="43"/>
        </w:rPr>
      </w:pPr>
      <w:r>
        <w:rPr>
          <w:rFonts w:ascii="宋体" w:hAnsi="宋体" w:eastAsia="宋体" w:cs="宋体"/>
          <w:b/>
          <w:bCs/>
          <w:spacing w:val="-7"/>
          <w:sz w:val="43"/>
          <w:szCs w:val="43"/>
        </w:rPr>
        <w:t>20</w:t>
      </w:r>
      <w:r>
        <w:rPr>
          <w:rFonts w:hint="eastAsia" w:ascii="宋体" w:hAnsi="宋体" w:eastAsia="宋体" w:cs="宋体"/>
          <w:b/>
          <w:bCs/>
          <w:spacing w:val="-7"/>
          <w:sz w:val="43"/>
          <w:szCs w:val="43"/>
          <w:lang w:val="en-US" w:eastAsia="zh-CN"/>
        </w:rPr>
        <w:t>24</w:t>
      </w:r>
      <w:r>
        <w:rPr>
          <w:rFonts w:ascii="宋体" w:hAnsi="宋体" w:eastAsia="宋体" w:cs="宋体"/>
          <w:b/>
          <w:bCs/>
          <w:spacing w:val="-7"/>
          <w:sz w:val="43"/>
          <w:szCs w:val="43"/>
        </w:rPr>
        <w:t>年度</w:t>
      </w:r>
      <w:r>
        <w:rPr>
          <w:rFonts w:hint="eastAsia" w:ascii="Times New Roman" w:hAnsi="Times New Roman" w:eastAsia="宋体" w:cs="Times New Roman"/>
          <w:b/>
          <w:bCs/>
          <w:spacing w:val="-7"/>
          <w:sz w:val="43"/>
          <w:szCs w:val="43"/>
          <w:lang w:val="en-US" w:eastAsia="zh-CN"/>
        </w:rPr>
        <w:t>怀化市欧城小学</w:t>
      </w:r>
      <w:r>
        <w:rPr>
          <w:rFonts w:ascii="宋体" w:hAnsi="宋体" w:eastAsia="宋体" w:cs="宋体"/>
          <w:b/>
          <w:bCs/>
          <w:spacing w:val="-7"/>
          <w:sz w:val="43"/>
          <w:szCs w:val="43"/>
        </w:rPr>
        <w:t>整体支出绩效自评报告</w:t>
      </w:r>
    </w:p>
    <w:p w14:paraId="20A5B621">
      <w:pPr>
        <w:keepNext w:val="0"/>
        <w:keepLines w:val="0"/>
        <w:pageBreakBefore w:val="0"/>
        <w:wordWrap/>
        <w:topLinePunct w:val="0"/>
        <w:autoSpaceDE w:val="0"/>
        <w:autoSpaceDN w:val="0"/>
        <w:bidi w:val="0"/>
        <w:adjustRightInd w:val="0"/>
        <w:snapToGrid w:val="0"/>
        <w:spacing w:line="240" w:lineRule="auto"/>
        <w:textAlignment w:val="baseline"/>
        <w:rPr>
          <w:rFonts w:ascii="Arial"/>
          <w:sz w:val="21"/>
        </w:rPr>
      </w:pPr>
    </w:p>
    <w:p w14:paraId="064F26D8">
      <w:pPr>
        <w:keepNext w:val="0"/>
        <w:keepLines w:val="0"/>
        <w:pageBreakBefore w:val="0"/>
        <w:wordWrap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2" w:firstLineChars="200"/>
        <w:jc w:val="left"/>
        <w:textAlignment w:val="baseline"/>
        <w:rPr>
          <w:rFonts w:hint="eastAsia" w:ascii="宋体" w:hAnsi="宋体" w:eastAsia="宋体" w:cs="宋体"/>
          <w:b/>
          <w:bCs/>
          <w:sz w:val="28"/>
          <w:szCs w:val="28"/>
          <w:lang w:val="en-US" w:eastAsia="en-US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en-US"/>
        </w:rPr>
        <w:t>一、部门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基本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en-US"/>
        </w:rPr>
        <w:t>概况</w:t>
      </w:r>
    </w:p>
    <w:p w14:paraId="6F923D9B">
      <w:pPr>
        <w:keepNext w:val="0"/>
        <w:keepLines w:val="0"/>
        <w:pageBreakBefore w:val="0"/>
        <w:wordWrap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jc w:val="left"/>
        <w:textAlignment w:val="baseline"/>
        <w:rPr>
          <w:rFonts w:hint="eastAsia" w:ascii="宋体" w:hAnsi="宋体" w:eastAsia="宋体" w:cs="宋体"/>
          <w:sz w:val="28"/>
          <w:szCs w:val="28"/>
          <w:lang w:val="en-US" w:eastAsia="en-US"/>
        </w:rPr>
      </w:pPr>
      <w:r>
        <w:rPr>
          <w:rFonts w:hint="eastAsia" w:ascii="宋体" w:hAnsi="宋体" w:eastAsia="宋体" w:cs="宋体"/>
          <w:sz w:val="28"/>
          <w:szCs w:val="28"/>
          <w:lang w:val="en-US" w:eastAsia="en-US"/>
        </w:rPr>
        <w:t>(一)机构、人员构成</w:t>
      </w:r>
    </w:p>
    <w:p w14:paraId="5354BEA3">
      <w:pPr>
        <w:keepNext w:val="0"/>
        <w:keepLines w:val="0"/>
        <w:pageBreakBefore w:val="0"/>
        <w:wordWrap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jc w:val="left"/>
        <w:textAlignment w:val="baseline"/>
        <w:rPr>
          <w:rFonts w:hint="eastAsia" w:ascii="宋体" w:hAnsi="宋体" w:eastAsia="宋体" w:cs="宋体"/>
          <w:sz w:val="28"/>
          <w:szCs w:val="28"/>
          <w:lang w:val="en-US" w:eastAsia="en-US"/>
        </w:rPr>
      </w:pPr>
      <w:r>
        <w:rPr>
          <w:rFonts w:hint="eastAsia" w:ascii="宋体" w:hAnsi="宋体" w:eastAsia="宋体" w:cs="宋体"/>
          <w:sz w:val="28"/>
          <w:szCs w:val="28"/>
          <w:lang w:val="en-US" w:eastAsia="en-US"/>
        </w:rPr>
        <w:t>1、怀化市欧城小学是全额拨款的事业单位。内设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10</w:t>
      </w:r>
      <w:r>
        <w:rPr>
          <w:rFonts w:hint="eastAsia" w:ascii="宋体" w:hAnsi="宋体" w:eastAsia="宋体" w:cs="宋体"/>
          <w:sz w:val="28"/>
          <w:szCs w:val="28"/>
          <w:lang w:val="en-US" w:eastAsia="en-US"/>
        </w:rPr>
        <w:t>个职能处室：校长室、书记室、副校长室、教导处、教研室、总务处、办公室、工会、德育处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、校安办</w:t>
      </w:r>
      <w:r>
        <w:rPr>
          <w:rFonts w:hint="eastAsia" w:ascii="宋体" w:hAnsi="宋体" w:eastAsia="宋体" w:cs="宋体"/>
          <w:sz w:val="28"/>
          <w:szCs w:val="28"/>
          <w:lang w:val="en-US" w:eastAsia="en-US"/>
        </w:rPr>
        <w:t xml:space="preserve">。 </w:t>
      </w:r>
    </w:p>
    <w:p w14:paraId="1AE6EC12">
      <w:pPr>
        <w:keepNext w:val="0"/>
        <w:keepLines w:val="0"/>
        <w:pageBreakBefore w:val="0"/>
        <w:wordWrap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jc w:val="left"/>
        <w:textAlignment w:val="baseline"/>
        <w:rPr>
          <w:rFonts w:hint="eastAsia" w:ascii="宋体" w:hAnsi="宋体" w:eastAsia="宋体" w:cs="宋体"/>
          <w:sz w:val="28"/>
          <w:szCs w:val="28"/>
          <w:lang w:val="en-US" w:eastAsia="en-US"/>
        </w:rPr>
      </w:pPr>
      <w:r>
        <w:rPr>
          <w:rFonts w:hint="eastAsia" w:ascii="宋体" w:hAnsi="宋体" w:eastAsia="宋体" w:cs="宋体"/>
          <w:sz w:val="28"/>
          <w:szCs w:val="28"/>
          <w:lang w:val="en-US" w:eastAsia="en-US"/>
        </w:rPr>
        <w:t>2、主要工作职责：全面贯彻党的教育方针，落实九年义务教育各项政策，保障学生受教育的各项权利，维护教师职工各项权益。</w:t>
      </w:r>
    </w:p>
    <w:p w14:paraId="0029A999">
      <w:pPr>
        <w:keepNext w:val="0"/>
        <w:keepLines w:val="0"/>
        <w:pageBreakBefore w:val="0"/>
        <w:wordWrap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jc w:val="left"/>
        <w:textAlignment w:val="baseline"/>
        <w:rPr>
          <w:rFonts w:hint="eastAsia" w:ascii="宋体" w:hAnsi="宋体" w:eastAsia="宋体" w:cs="宋体"/>
          <w:sz w:val="28"/>
          <w:szCs w:val="28"/>
          <w:lang w:val="en-US" w:eastAsia="en-US"/>
        </w:rPr>
      </w:pPr>
      <w:r>
        <w:rPr>
          <w:rFonts w:hint="eastAsia" w:ascii="宋体" w:hAnsi="宋体" w:eastAsia="宋体" w:cs="宋体"/>
          <w:sz w:val="28"/>
          <w:szCs w:val="28"/>
          <w:lang w:val="en-US" w:eastAsia="en-US"/>
        </w:rPr>
        <w:t>3、编制人员情况:现实有在职人员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160</w:t>
      </w:r>
      <w:r>
        <w:rPr>
          <w:rFonts w:hint="eastAsia" w:ascii="宋体" w:hAnsi="宋体" w:eastAsia="宋体" w:cs="宋体"/>
          <w:sz w:val="28"/>
          <w:szCs w:val="28"/>
          <w:lang w:val="en-US" w:eastAsia="en-US"/>
        </w:rPr>
        <w:t>人（其中全额拨款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160</w:t>
      </w:r>
      <w:r>
        <w:rPr>
          <w:rFonts w:hint="eastAsia" w:ascii="宋体" w:hAnsi="宋体" w:eastAsia="宋体" w:cs="宋体"/>
          <w:sz w:val="28"/>
          <w:szCs w:val="28"/>
          <w:lang w:val="en-US" w:eastAsia="en-US"/>
        </w:rPr>
        <w:t>人，自收自支0人）。</w:t>
      </w:r>
    </w:p>
    <w:p w14:paraId="1705A025">
      <w:pPr>
        <w:keepNext w:val="0"/>
        <w:keepLines w:val="0"/>
        <w:pageBreakBefore w:val="0"/>
        <w:wordWrap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jc w:val="left"/>
        <w:textAlignment w:val="baseline"/>
        <w:rPr>
          <w:rFonts w:hint="eastAsia" w:ascii="宋体" w:hAnsi="宋体" w:eastAsia="宋体" w:cs="宋体"/>
          <w:sz w:val="28"/>
          <w:szCs w:val="28"/>
          <w:lang w:val="en-US" w:eastAsia="en-US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（二）</w:t>
      </w:r>
      <w:r>
        <w:rPr>
          <w:rFonts w:hint="eastAsia" w:ascii="宋体" w:hAnsi="宋体" w:eastAsia="宋体" w:cs="宋体"/>
          <w:sz w:val="28"/>
          <w:szCs w:val="28"/>
          <w:lang w:val="en-US" w:eastAsia="en-US"/>
        </w:rPr>
        <w:t>单位主要职责</w:t>
      </w:r>
    </w:p>
    <w:p w14:paraId="5A2422E4">
      <w:pPr>
        <w:keepNext w:val="0"/>
        <w:keepLines w:val="0"/>
        <w:pageBreakBefore w:val="0"/>
        <w:wordWrap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jc w:val="left"/>
        <w:textAlignment w:val="baseline"/>
        <w:rPr>
          <w:rFonts w:hint="eastAsia" w:ascii="宋体" w:hAnsi="宋体" w:eastAsia="宋体" w:cs="宋体"/>
          <w:sz w:val="28"/>
          <w:szCs w:val="28"/>
          <w:lang w:val="en-US" w:eastAsia="en-US"/>
        </w:rPr>
      </w:pPr>
      <w:r>
        <w:rPr>
          <w:rFonts w:hint="eastAsia" w:ascii="宋体" w:hAnsi="宋体" w:eastAsia="宋体" w:cs="宋体"/>
          <w:sz w:val="28"/>
          <w:szCs w:val="28"/>
          <w:lang w:val="en-US" w:eastAsia="en-US"/>
        </w:rPr>
        <w:t>全面贯彻党的教育方针，落实九年义务教育各项政策，保障学生受教育的各项权利，维护教师职工各项权益。</w:t>
      </w:r>
    </w:p>
    <w:p w14:paraId="3AB70C39">
      <w:pPr>
        <w:keepNext w:val="0"/>
        <w:keepLines w:val="0"/>
        <w:pageBreakBefore w:val="0"/>
        <w:wordWrap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2" w:firstLineChars="200"/>
        <w:jc w:val="left"/>
        <w:textAlignment w:val="baseline"/>
        <w:rPr>
          <w:rFonts w:hint="eastAsia" w:ascii="宋体" w:hAnsi="宋体" w:eastAsia="宋体" w:cs="宋体"/>
          <w:b/>
          <w:bCs/>
          <w:sz w:val="28"/>
          <w:szCs w:val="28"/>
          <w:lang w:val="en-US" w:eastAsia="en-US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en-US"/>
        </w:rPr>
        <w:t>二、部门财务情况</w:t>
      </w:r>
    </w:p>
    <w:p w14:paraId="73B8DADC">
      <w:pPr>
        <w:keepNext w:val="0"/>
        <w:keepLines w:val="0"/>
        <w:pageBreakBefore w:val="0"/>
        <w:wordWrap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jc w:val="left"/>
        <w:textAlignment w:val="baseline"/>
        <w:rPr>
          <w:rFonts w:hint="eastAsia" w:ascii="宋体" w:hAnsi="宋体" w:eastAsia="宋体" w:cs="宋体"/>
          <w:sz w:val="28"/>
          <w:szCs w:val="28"/>
          <w:lang w:val="en-US" w:eastAsia="en-US"/>
        </w:rPr>
      </w:pPr>
      <w:r>
        <w:rPr>
          <w:rFonts w:hint="eastAsia" w:ascii="宋体" w:hAnsi="宋体" w:eastAsia="宋体" w:cs="宋体"/>
          <w:sz w:val="28"/>
          <w:szCs w:val="28"/>
          <w:lang w:val="en-US" w:eastAsia="en-US"/>
        </w:rPr>
        <w:t>(一)部门整体支出情况</w:t>
      </w:r>
    </w:p>
    <w:p w14:paraId="75352414">
      <w:pPr>
        <w:keepNext w:val="0"/>
        <w:keepLines w:val="0"/>
        <w:pageBreakBefore w:val="0"/>
        <w:wordWrap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jc w:val="left"/>
        <w:textAlignment w:val="baseline"/>
        <w:rPr>
          <w:rFonts w:hint="eastAsia" w:ascii="宋体" w:hAnsi="宋体" w:eastAsia="宋体" w:cs="宋体"/>
          <w:sz w:val="28"/>
          <w:szCs w:val="28"/>
          <w:lang w:val="en-US" w:eastAsia="en-US"/>
        </w:rPr>
      </w:pPr>
      <w:r>
        <w:rPr>
          <w:rFonts w:hint="eastAsia" w:ascii="宋体" w:hAnsi="宋体" w:eastAsia="宋体" w:cs="宋体"/>
          <w:sz w:val="28"/>
          <w:szCs w:val="28"/>
          <w:lang w:val="en-US" w:eastAsia="en-US"/>
        </w:rPr>
        <w:t>202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4</w:t>
      </w:r>
      <w:r>
        <w:rPr>
          <w:rFonts w:hint="eastAsia" w:ascii="宋体" w:hAnsi="宋体" w:eastAsia="宋体" w:cs="宋体"/>
          <w:sz w:val="28"/>
          <w:szCs w:val="28"/>
          <w:lang w:val="en-US" w:eastAsia="en-US"/>
        </w:rPr>
        <w:t>年我校高度重视预算管理工作，严格遵循相关财务制度和法规，以保障学校各项工作的顺利开展和资金的合理使用。</w:t>
      </w:r>
    </w:p>
    <w:p w14:paraId="29D30C20">
      <w:pPr>
        <w:keepNext w:val="0"/>
        <w:keepLines w:val="0"/>
        <w:pageBreakBefore w:val="0"/>
        <w:wordWrap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jc w:val="left"/>
        <w:textAlignment w:val="baseline"/>
        <w:rPr>
          <w:rFonts w:hint="eastAsia" w:ascii="宋体" w:hAnsi="宋体" w:eastAsia="宋体" w:cs="宋体"/>
          <w:sz w:val="28"/>
          <w:szCs w:val="28"/>
          <w:lang w:val="en-US" w:eastAsia="en-US"/>
        </w:rPr>
      </w:pPr>
      <w:r>
        <w:rPr>
          <w:rFonts w:hint="eastAsia" w:ascii="宋体" w:hAnsi="宋体" w:eastAsia="宋体" w:cs="宋体"/>
          <w:sz w:val="28"/>
          <w:szCs w:val="28"/>
          <w:lang w:val="en-US" w:eastAsia="en-US"/>
        </w:rPr>
        <w:t>在预算执行方面，通过定期监控，对预算执行情况进行分析和总结,及时发现并纠正存在的问题。各部门密切配合，按照预算安排有序推进各项工作，确保预算执行的进度和准确性。</w:t>
      </w:r>
    </w:p>
    <w:p w14:paraId="78A363C0">
      <w:pPr>
        <w:keepNext w:val="0"/>
        <w:keepLines w:val="0"/>
        <w:pageBreakBefore w:val="0"/>
        <w:wordWrap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jc w:val="left"/>
        <w:textAlignment w:val="baseline"/>
        <w:rPr>
          <w:rFonts w:hint="eastAsia" w:ascii="宋体" w:hAnsi="宋体" w:eastAsia="宋体" w:cs="宋体"/>
          <w:sz w:val="28"/>
          <w:szCs w:val="28"/>
          <w:lang w:val="en-US" w:eastAsia="en-US"/>
        </w:rPr>
      </w:pPr>
      <w:r>
        <w:rPr>
          <w:rFonts w:hint="eastAsia" w:ascii="宋体" w:hAnsi="宋体" w:eastAsia="宋体" w:cs="宋体"/>
          <w:sz w:val="28"/>
          <w:szCs w:val="28"/>
          <w:lang w:val="en-US" w:eastAsia="en-US"/>
        </w:rPr>
        <w:t>在资金使用方面，坚持专款专用、合理分配的原则。优先保障教育教学的正常开展，如水电维修、办公用品采购等。同时，合理安排资金用于学校的教师培训、校园文化活动等方面，以提升学校的综合实力和办学水平。</w:t>
      </w:r>
    </w:p>
    <w:p w14:paraId="052E4487">
      <w:pPr>
        <w:keepNext w:val="0"/>
        <w:keepLines w:val="0"/>
        <w:pageBreakBefore w:val="0"/>
        <w:wordWrap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jc w:val="left"/>
        <w:textAlignment w:val="baseline"/>
        <w:rPr>
          <w:rFonts w:hint="eastAsia" w:ascii="宋体" w:hAnsi="宋体" w:eastAsia="宋体" w:cs="宋体"/>
          <w:sz w:val="28"/>
          <w:szCs w:val="28"/>
          <w:lang w:val="en-US" w:eastAsia="en-US"/>
        </w:rPr>
      </w:pPr>
      <w:r>
        <w:rPr>
          <w:rFonts w:hint="eastAsia" w:ascii="宋体" w:hAnsi="宋体" w:eastAsia="宋体" w:cs="宋体"/>
          <w:sz w:val="28"/>
          <w:szCs w:val="28"/>
          <w:lang w:val="en-US" w:eastAsia="en-US"/>
        </w:rPr>
        <w:t>在预算管理方面，加强预算编制的科学性和合理性，充分考虑学校的发展规划和实际需求。严格执行预算审批程序，确保每一笔资金的使用都经过层层审核和把关，保障资金使用的安全和效益。</w:t>
      </w:r>
    </w:p>
    <w:p w14:paraId="6E6AD01B">
      <w:pPr>
        <w:keepNext w:val="0"/>
        <w:keepLines w:val="0"/>
        <w:pageBreakBefore w:val="0"/>
        <w:wordWrap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jc w:val="left"/>
        <w:textAlignment w:val="baseline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en-US"/>
        </w:rPr>
        <w:t>我校202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4</w:t>
      </w:r>
      <w:r>
        <w:rPr>
          <w:rFonts w:hint="eastAsia" w:ascii="宋体" w:hAnsi="宋体" w:eastAsia="宋体" w:cs="宋体"/>
          <w:sz w:val="28"/>
          <w:szCs w:val="28"/>
          <w:lang w:val="en-US" w:eastAsia="en-US"/>
        </w:rPr>
        <w:t>年总支出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2773.39</w:t>
      </w:r>
      <w:r>
        <w:rPr>
          <w:rFonts w:hint="eastAsia" w:ascii="宋体" w:hAnsi="宋体" w:eastAsia="宋体" w:cs="宋体"/>
          <w:sz w:val="28"/>
          <w:szCs w:val="28"/>
          <w:lang w:val="en-US" w:eastAsia="en-US"/>
        </w:rPr>
        <w:t>万元，其中基本支出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2290.9</w:t>
      </w:r>
      <w:r>
        <w:rPr>
          <w:rFonts w:hint="eastAsia" w:ascii="宋体" w:hAnsi="宋体" w:eastAsia="宋体" w:cs="宋体"/>
          <w:sz w:val="28"/>
          <w:szCs w:val="28"/>
          <w:lang w:val="en-US" w:eastAsia="en-US"/>
        </w:rPr>
        <w:t>万元，项目支出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482.49</w:t>
      </w:r>
      <w:r>
        <w:rPr>
          <w:rFonts w:hint="eastAsia" w:ascii="宋体" w:hAnsi="宋体" w:eastAsia="宋体" w:cs="宋体"/>
          <w:sz w:val="28"/>
          <w:szCs w:val="28"/>
          <w:lang w:val="en-US" w:eastAsia="en-US"/>
        </w:rPr>
        <w:t>万元。</w:t>
      </w:r>
    </w:p>
    <w:p w14:paraId="74AA18BD">
      <w:pPr>
        <w:keepNext w:val="0"/>
        <w:keepLines w:val="0"/>
        <w:pageBreakBefore w:val="0"/>
        <w:wordWrap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jc w:val="left"/>
        <w:textAlignment w:val="baseline"/>
        <w:rPr>
          <w:rFonts w:hint="eastAsia" w:ascii="宋体" w:hAnsi="宋体" w:eastAsia="宋体" w:cs="宋体"/>
          <w:sz w:val="28"/>
          <w:szCs w:val="28"/>
          <w:lang w:val="en-US" w:eastAsia="en-US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（二）</w:t>
      </w:r>
      <w:r>
        <w:rPr>
          <w:rFonts w:hint="eastAsia" w:ascii="宋体" w:hAnsi="宋体" w:eastAsia="宋体" w:cs="宋体"/>
          <w:sz w:val="28"/>
          <w:szCs w:val="28"/>
          <w:lang w:val="en-US" w:eastAsia="en-US"/>
        </w:rPr>
        <w:t>部门预算收支决算情况</w:t>
      </w:r>
    </w:p>
    <w:p w14:paraId="17BBBDF1">
      <w:pPr>
        <w:keepNext w:val="0"/>
        <w:keepLines w:val="0"/>
        <w:pageBreakBefore w:val="0"/>
        <w:wordWrap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jc w:val="left"/>
        <w:textAlignment w:val="baseline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1.基本支出情况</w:t>
      </w:r>
    </w:p>
    <w:p w14:paraId="77AE16F3">
      <w:pPr>
        <w:keepNext w:val="0"/>
        <w:keepLines w:val="0"/>
        <w:pageBreakBefore w:val="0"/>
        <w:wordWrap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jc w:val="left"/>
        <w:textAlignment w:val="baseline"/>
        <w:rPr>
          <w:rFonts w:hint="eastAsia" w:ascii="宋体" w:hAnsi="宋体" w:eastAsia="宋体" w:cs="宋体"/>
          <w:sz w:val="28"/>
          <w:szCs w:val="28"/>
          <w:lang w:val="en-US" w:eastAsia="en-US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基本支出指保障单位正常运转，完成日常工作任务而发生的支出。2024</w:t>
      </w:r>
      <w:r>
        <w:rPr>
          <w:rFonts w:hint="eastAsia" w:ascii="宋体" w:hAnsi="宋体" w:eastAsia="宋体" w:cs="宋体"/>
          <w:sz w:val="28"/>
          <w:szCs w:val="28"/>
          <w:lang w:val="en-US" w:eastAsia="en-US"/>
        </w:rPr>
        <w:t>年预算数为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2290.9</w:t>
      </w:r>
      <w:r>
        <w:rPr>
          <w:rFonts w:hint="eastAsia" w:ascii="宋体" w:hAnsi="宋体" w:eastAsia="宋体" w:cs="宋体"/>
          <w:sz w:val="28"/>
          <w:szCs w:val="28"/>
          <w:lang w:val="en-US" w:eastAsia="en-US"/>
        </w:rPr>
        <w:t>万元，其中人员经费支出为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2070.97</w:t>
      </w:r>
      <w:r>
        <w:rPr>
          <w:rFonts w:hint="eastAsia" w:ascii="宋体" w:hAnsi="宋体" w:eastAsia="宋体" w:cs="宋体"/>
          <w:sz w:val="28"/>
          <w:szCs w:val="28"/>
          <w:lang w:val="en-US" w:eastAsia="en-US"/>
        </w:rPr>
        <w:t>万元，公用支出为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221.93</w:t>
      </w:r>
      <w:r>
        <w:rPr>
          <w:rFonts w:hint="eastAsia" w:ascii="宋体" w:hAnsi="宋体" w:eastAsia="宋体" w:cs="宋体"/>
          <w:sz w:val="28"/>
          <w:szCs w:val="28"/>
          <w:lang w:val="en-US" w:eastAsia="en-US"/>
        </w:rPr>
        <w:t>万元，这些经费是为保障单位机构正常运转、完成日常工作任务而发生的各项支出，包括用于基本工资、津贴补贴等人员经费以及办公费、印刷费、水电费、物业管理费等日常公用经费；</w:t>
      </w:r>
    </w:p>
    <w:p w14:paraId="054302DE">
      <w:pPr>
        <w:keepNext w:val="0"/>
        <w:keepLines w:val="0"/>
        <w:pageBreakBefore w:val="0"/>
        <w:wordWrap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jc w:val="left"/>
        <w:textAlignment w:val="baseline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项目支出情况</w:t>
      </w:r>
    </w:p>
    <w:p w14:paraId="0CE93B83">
      <w:pPr>
        <w:keepNext w:val="0"/>
        <w:keepLines w:val="0"/>
        <w:pageBreakBefore w:val="0"/>
        <w:wordWrap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jc w:val="left"/>
        <w:textAlignment w:val="baseline"/>
        <w:rPr>
          <w:rFonts w:hint="eastAsia" w:ascii="宋体" w:hAnsi="宋体" w:eastAsia="宋体" w:cs="宋体"/>
          <w:sz w:val="28"/>
          <w:szCs w:val="28"/>
          <w:lang w:val="en-US" w:eastAsia="en-US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2024</w:t>
      </w:r>
      <w:r>
        <w:rPr>
          <w:rFonts w:hint="eastAsia" w:ascii="宋体" w:hAnsi="宋体" w:eastAsia="宋体" w:cs="宋体"/>
          <w:sz w:val="28"/>
          <w:szCs w:val="28"/>
          <w:lang w:val="en-US" w:eastAsia="en-US"/>
        </w:rPr>
        <w:t>年年初预算数为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484.49</w:t>
      </w:r>
      <w:r>
        <w:rPr>
          <w:rFonts w:hint="eastAsia" w:ascii="宋体" w:hAnsi="宋体" w:eastAsia="宋体" w:cs="宋体"/>
          <w:sz w:val="28"/>
          <w:szCs w:val="28"/>
          <w:lang w:val="en-US" w:eastAsia="en-US"/>
        </w:rPr>
        <w:t>万元，是为完成特定工作任务或事业发展目标而发生的支出，包括有产业发展引导类、专项业务费用类、基本建设类、对个人和家庭补助类等。其中：对个人和家庭补助类0万元，具体有学生营养餐及食堂工作人员经费0万元、临聘教师工资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196万元，</w:t>
      </w:r>
      <w:r>
        <w:rPr>
          <w:rFonts w:hint="eastAsia" w:ascii="宋体" w:hAnsi="宋体" w:eastAsia="宋体" w:cs="宋体"/>
          <w:sz w:val="28"/>
          <w:szCs w:val="28"/>
          <w:lang w:val="en-US" w:eastAsia="en-US"/>
        </w:rPr>
        <w:t>运转项目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288.49</w:t>
      </w:r>
      <w:r>
        <w:rPr>
          <w:rFonts w:hint="eastAsia" w:ascii="宋体" w:hAnsi="宋体" w:eastAsia="宋体" w:cs="宋体"/>
          <w:sz w:val="28"/>
          <w:szCs w:val="28"/>
          <w:lang w:val="en-US" w:eastAsia="en-US"/>
        </w:rPr>
        <w:t>万元。</w:t>
      </w:r>
    </w:p>
    <w:p w14:paraId="48A4FEF6">
      <w:pPr>
        <w:keepNext w:val="0"/>
        <w:keepLines w:val="0"/>
        <w:pageBreakBefore w:val="0"/>
        <w:wordWrap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jc w:val="left"/>
        <w:textAlignment w:val="baseline"/>
        <w:rPr>
          <w:rFonts w:hint="eastAsia" w:ascii="宋体" w:hAnsi="宋体" w:eastAsia="宋体" w:cs="宋体"/>
          <w:sz w:val="28"/>
          <w:szCs w:val="28"/>
          <w:lang w:val="en-US" w:eastAsia="en-US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（三）</w:t>
      </w:r>
      <w:r>
        <w:rPr>
          <w:rFonts w:hint="eastAsia" w:ascii="宋体" w:hAnsi="宋体" w:eastAsia="宋体" w:cs="宋体"/>
          <w:sz w:val="28"/>
          <w:szCs w:val="28"/>
          <w:lang w:val="en-US" w:eastAsia="en-US"/>
        </w:rPr>
        <w:t>“三公经费”支出使用和管理情况</w:t>
      </w:r>
    </w:p>
    <w:p w14:paraId="1B80473B">
      <w:pPr>
        <w:keepNext w:val="0"/>
        <w:keepLines w:val="0"/>
        <w:pageBreakBefore w:val="0"/>
        <w:wordWrap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jc w:val="left"/>
        <w:textAlignment w:val="baseline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2024年“三公”经费预算0万元，实际支出0万元：</w:t>
      </w:r>
    </w:p>
    <w:p w14:paraId="05C0A8AD">
      <w:pPr>
        <w:keepNext w:val="0"/>
        <w:keepLines w:val="0"/>
        <w:pageBreakBefore w:val="0"/>
        <w:wordWrap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jc w:val="left"/>
        <w:textAlignment w:val="baseline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1.公务接待费用</w:t>
      </w:r>
    </w:p>
    <w:p w14:paraId="0993D5D3">
      <w:pPr>
        <w:keepNext w:val="0"/>
        <w:keepLines w:val="0"/>
        <w:pageBreakBefore w:val="0"/>
        <w:wordWrap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jc w:val="left"/>
        <w:textAlignment w:val="baseline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2024年学校未发生公务接待开支，此项费用不存在。</w:t>
      </w:r>
    </w:p>
    <w:p w14:paraId="21B9B1FD">
      <w:pPr>
        <w:keepNext w:val="0"/>
        <w:keepLines w:val="0"/>
        <w:pageBreakBefore w:val="0"/>
        <w:wordWrap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jc w:val="left"/>
        <w:textAlignment w:val="baseline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2.公款出国（境）费用</w:t>
      </w:r>
    </w:p>
    <w:p w14:paraId="7723CBDA">
      <w:pPr>
        <w:keepNext w:val="0"/>
        <w:keepLines w:val="0"/>
        <w:pageBreakBefore w:val="0"/>
        <w:wordWrap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jc w:val="left"/>
        <w:textAlignment w:val="baseline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2024年学校没有出国(境)事项发生，此项费用不存在。</w:t>
      </w:r>
    </w:p>
    <w:p w14:paraId="4A7FD815">
      <w:pPr>
        <w:keepNext w:val="0"/>
        <w:keepLines w:val="0"/>
        <w:pageBreakBefore w:val="0"/>
        <w:wordWrap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jc w:val="left"/>
        <w:textAlignment w:val="baseline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3.公车购置费用</w:t>
      </w:r>
    </w:p>
    <w:p w14:paraId="5E8A9BDE">
      <w:pPr>
        <w:keepNext w:val="0"/>
        <w:keepLines w:val="0"/>
        <w:pageBreakBefore w:val="0"/>
        <w:wordWrap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jc w:val="left"/>
        <w:textAlignment w:val="baseline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学校没有公车，不存在公车私用行为，此项费用不存在。</w:t>
      </w:r>
    </w:p>
    <w:p w14:paraId="210E19BE">
      <w:pPr>
        <w:keepNext w:val="0"/>
        <w:keepLines w:val="0"/>
        <w:pageBreakBefore w:val="0"/>
        <w:wordWrap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2" w:firstLineChars="200"/>
        <w:jc w:val="left"/>
        <w:textAlignment w:val="baseline"/>
        <w:rPr>
          <w:rFonts w:hint="eastAsia" w:ascii="宋体" w:hAnsi="宋体" w:eastAsia="宋体" w:cs="宋体"/>
          <w:sz w:val="28"/>
          <w:szCs w:val="28"/>
          <w:lang w:val="en-US" w:eastAsia="en-US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en-US"/>
        </w:rPr>
        <w:t>三、部门绩效目标</w:t>
      </w:r>
    </w:p>
    <w:p w14:paraId="48052E5E">
      <w:pPr>
        <w:keepNext w:val="0"/>
        <w:keepLines w:val="0"/>
        <w:pageBreakBefore w:val="0"/>
        <w:wordWrap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jc w:val="left"/>
        <w:textAlignment w:val="baseline"/>
        <w:rPr>
          <w:rFonts w:hint="eastAsia" w:ascii="宋体" w:hAnsi="宋体" w:eastAsia="宋体" w:cs="宋体"/>
          <w:sz w:val="28"/>
          <w:szCs w:val="28"/>
          <w:lang w:val="en-US" w:eastAsia="en-US"/>
        </w:rPr>
      </w:pPr>
      <w:r>
        <w:rPr>
          <w:rFonts w:hint="eastAsia" w:ascii="宋体" w:hAnsi="宋体" w:eastAsia="宋体" w:cs="宋体"/>
          <w:sz w:val="28"/>
          <w:szCs w:val="28"/>
          <w:lang w:val="en-US" w:eastAsia="en-US"/>
        </w:rPr>
        <w:t>(一)部门绩效总目标</w:t>
      </w:r>
    </w:p>
    <w:p w14:paraId="1DFDE46A">
      <w:pPr>
        <w:keepNext w:val="0"/>
        <w:keepLines w:val="0"/>
        <w:pageBreakBefore w:val="0"/>
        <w:wordWrap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jc w:val="left"/>
        <w:textAlignment w:val="baseline"/>
        <w:rPr>
          <w:rFonts w:hint="eastAsia" w:ascii="宋体" w:hAnsi="宋体" w:eastAsia="宋体" w:cs="宋体"/>
          <w:sz w:val="28"/>
          <w:szCs w:val="28"/>
          <w:lang w:val="en-US" w:eastAsia="en-US"/>
        </w:rPr>
      </w:pPr>
      <w:r>
        <w:rPr>
          <w:rFonts w:hint="eastAsia" w:ascii="宋体" w:hAnsi="宋体" w:eastAsia="宋体" w:cs="宋体"/>
          <w:sz w:val="28"/>
          <w:szCs w:val="28"/>
          <w:lang w:val="en-US" w:eastAsia="en-US"/>
        </w:rPr>
        <w:t>保障学校正常教学运行，提升教育教学质量，改善校园环境，促进教师专业成长，提高学生及家长满意度，推动学校教育事业持续发展。</w:t>
      </w:r>
    </w:p>
    <w:p w14:paraId="39B8CE44">
      <w:pPr>
        <w:keepNext w:val="0"/>
        <w:keepLines w:val="0"/>
        <w:pageBreakBefore w:val="0"/>
        <w:wordWrap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jc w:val="left"/>
        <w:textAlignment w:val="baseline"/>
        <w:rPr>
          <w:rFonts w:hint="eastAsia" w:ascii="宋体" w:hAnsi="宋体" w:eastAsia="宋体" w:cs="宋体"/>
          <w:sz w:val="28"/>
          <w:szCs w:val="28"/>
          <w:lang w:val="en-US" w:eastAsia="en-US"/>
        </w:rPr>
      </w:pPr>
      <w:r>
        <w:rPr>
          <w:rFonts w:hint="eastAsia" w:ascii="宋体" w:hAnsi="宋体" w:eastAsia="宋体" w:cs="宋体"/>
          <w:sz w:val="28"/>
          <w:szCs w:val="28"/>
          <w:lang w:val="en-US" w:eastAsia="en-US"/>
        </w:rPr>
        <w:t>(二)202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4</w:t>
      </w:r>
      <w:r>
        <w:rPr>
          <w:rFonts w:hint="eastAsia" w:ascii="宋体" w:hAnsi="宋体" w:eastAsia="宋体" w:cs="宋体"/>
          <w:sz w:val="28"/>
          <w:szCs w:val="28"/>
          <w:lang w:val="en-US" w:eastAsia="en-US"/>
        </w:rPr>
        <w:t>年度部门绩效目标</w:t>
      </w:r>
    </w:p>
    <w:p w14:paraId="746D38EF">
      <w:pPr>
        <w:keepNext w:val="0"/>
        <w:keepLines w:val="0"/>
        <w:pageBreakBefore w:val="0"/>
        <w:wordWrap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jc w:val="left"/>
        <w:textAlignment w:val="baseline"/>
        <w:rPr>
          <w:rFonts w:hint="eastAsia" w:ascii="宋体" w:hAnsi="宋体" w:eastAsia="宋体" w:cs="宋体"/>
          <w:sz w:val="28"/>
          <w:szCs w:val="28"/>
          <w:lang w:val="en-US" w:eastAsia="en-US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1.</w:t>
      </w:r>
      <w:r>
        <w:rPr>
          <w:rFonts w:hint="eastAsia" w:ascii="宋体" w:hAnsi="宋体" w:eastAsia="宋体" w:cs="宋体"/>
          <w:sz w:val="28"/>
          <w:szCs w:val="28"/>
          <w:lang w:val="en-US" w:eastAsia="en-US"/>
        </w:rPr>
        <w:t>保障学校正常教学运行，确保学生人数达标率 100%，按教学计划开足开齐课程，完成教师年度培训 10 次，控制公用经费在预算范围内。</w:t>
      </w:r>
    </w:p>
    <w:p w14:paraId="04778A34">
      <w:pPr>
        <w:keepNext w:val="0"/>
        <w:keepLines w:val="0"/>
        <w:pageBreakBefore w:val="0"/>
        <w:wordWrap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jc w:val="left"/>
        <w:textAlignment w:val="baseline"/>
        <w:rPr>
          <w:rFonts w:hint="eastAsia" w:ascii="宋体" w:hAnsi="宋体" w:eastAsia="宋体" w:cs="宋体"/>
          <w:sz w:val="28"/>
          <w:szCs w:val="28"/>
          <w:lang w:val="en-US" w:eastAsia="en-US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2.</w:t>
      </w:r>
      <w:r>
        <w:rPr>
          <w:rFonts w:hint="eastAsia" w:ascii="宋体" w:hAnsi="宋体" w:eastAsia="宋体" w:cs="宋体"/>
          <w:sz w:val="28"/>
          <w:szCs w:val="28"/>
          <w:lang w:val="en-US" w:eastAsia="en-US"/>
        </w:rPr>
        <w:t>提升教育教学质量，确保教学成果达标率不低于 85%，设备完好率不低于 90%，及时完成教学任务及项目资金支付。</w:t>
      </w:r>
    </w:p>
    <w:p w14:paraId="0C26AD5A">
      <w:pPr>
        <w:keepNext w:val="0"/>
        <w:keepLines w:val="0"/>
        <w:pageBreakBefore w:val="0"/>
        <w:wordWrap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jc w:val="left"/>
        <w:textAlignment w:val="baseline"/>
        <w:rPr>
          <w:rFonts w:hint="eastAsia" w:ascii="宋体" w:hAnsi="宋体" w:eastAsia="宋体" w:cs="宋体"/>
          <w:sz w:val="28"/>
          <w:szCs w:val="28"/>
          <w:lang w:val="en-US" w:eastAsia="en-US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3.</w:t>
      </w:r>
      <w:r>
        <w:rPr>
          <w:rFonts w:hint="eastAsia" w:ascii="宋体" w:hAnsi="宋体" w:eastAsia="宋体" w:cs="宋体"/>
          <w:sz w:val="28"/>
          <w:szCs w:val="28"/>
          <w:lang w:val="en-US" w:eastAsia="en-US"/>
        </w:rPr>
        <w:t>改善校园环境，保持校园绿化、卫生达标率 90% 以上，保障教职员工基本生活水平，提高教育质量及就学率、成材率。</w:t>
      </w:r>
    </w:p>
    <w:p w14:paraId="7CB1EC0A">
      <w:pPr>
        <w:keepNext w:val="0"/>
        <w:keepLines w:val="0"/>
        <w:pageBreakBefore w:val="0"/>
        <w:wordWrap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jc w:val="left"/>
        <w:textAlignment w:val="baseline"/>
        <w:rPr>
          <w:rFonts w:hint="eastAsia" w:ascii="宋体" w:hAnsi="宋体" w:eastAsia="宋体" w:cs="宋体"/>
          <w:sz w:val="28"/>
          <w:szCs w:val="28"/>
          <w:lang w:val="en-US" w:eastAsia="en-US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4.</w:t>
      </w:r>
      <w:r>
        <w:rPr>
          <w:rFonts w:hint="eastAsia" w:ascii="宋体" w:hAnsi="宋体" w:eastAsia="宋体" w:cs="宋体"/>
          <w:sz w:val="28"/>
          <w:szCs w:val="28"/>
          <w:lang w:val="en-US" w:eastAsia="en-US"/>
        </w:rPr>
        <w:t>促进教师专业成长，提升学生及家长满意度至 90% 以上。</w:t>
      </w:r>
    </w:p>
    <w:p w14:paraId="6242F1C2">
      <w:pPr>
        <w:keepNext w:val="0"/>
        <w:keepLines w:val="0"/>
        <w:pageBreakBefore w:val="0"/>
        <w:wordWrap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2" w:firstLineChars="200"/>
        <w:jc w:val="left"/>
        <w:textAlignment w:val="baseline"/>
        <w:rPr>
          <w:rFonts w:hint="eastAsia" w:ascii="宋体" w:hAnsi="宋体" w:eastAsia="宋体" w:cs="宋体"/>
          <w:b/>
          <w:bCs/>
          <w:sz w:val="28"/>
          <w:szCs w:val="28"/>
          <w:lang w:val="en-US" w:eastAsia="en-US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四、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en-US"/>
        </w:rPr>
        <w:t>绩效评价工作情况</w:t>
      </w:r>
    </w:p>
    <w:p w14:paraId="3530D542">
      <w:pPr>
        <w:keepNext w:val="0"/>
        <w:keepLines w:val="0"/>
        <w:pageBreakBefore w:val="0"/>
        <w:wordWrap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jc w:val="left"/>
        <w:textAlignment w:val="baseline"/>
        <w:rPr>
          <w:rFonts w:hint="eastAsia" w:ascii="宋体" w:hAnsi="宋体" w:eastAsia="宋体" w:cs="宋体"/>
          <w:sz w:val="28"/>
          <w:szCs w:val="28"/>
          <w:lang w:val="en-US" w:eastAsia="en-US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（</w:t>
      </w:r>
      <w:r>
        <w:rPr>
          <w:rFonts w:hint="eastAsia" w:ascii="宋体" w:hAnsi="宋体" w:eastAsia="宋体" w:cs="宋体"/>
          <w:sz w:val="28"/>
          <w:szCs w:val="28"/>
          <w:lang w:val="en-US" w:eastAsia="en-US"/>
        </w:rPr>
        <w:t>一）评价目的</w:t>
      </w:r>
    </w:p>
    <w:p w14:paraId="0F1730E1">
      <w:pPr>
        <w:keepNext w:val="0"/>
        <w:keepLines w:val="0"/>
        <w:pageBreakBefore w:val="0"/>
        <w:wordWrap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jc w:val="left"/>
        <w:textAlignment w:val="baseline"/>
        <w:rPr>
          <w:rFonts w:hint="eastAsia" w:ascii="宋体" w:hAnsi="宋体" w:eastAsia="宋体" w:cs="宋体"/>
          <w:sz w:val="28"/>
          <w:szCs w:val="28"/>
          <w:lang w:val="en-US" w:eastAsia="en-US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通过对 2024 年度部门整体支出进行绩效评价，全面了解资金使用效率、目标完成情况及存在问题，为优化预算管理、提升教育教学质量提供依据。</w:t>
      </w:r>
    </w:p>
    <w:p w14:paraId="132968AF">
      <w:pPr>
        <w:keepNext w:val="0"/>
        <w:keepLines w:val="0"/>
        <w:pageBreakBefore w:val="0"/>
        <w:wordWrap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jc w:val="left"/>
        <w:textAlignment w:val="baseline"/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en-US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en-US"/>
        </w:rPr>
        <w:t>（二）评价方法</w:t>
      </w:r>
    </w:p>
    <w:p w14:paraId="7278FF4C">
      <w:pPr>
        <w:keepNext w:val="0"/>
        <w:keepLines w:val="0"/>
        <w:pageBreakBefore w:val="0"/>
        <w:wordWrap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jc w:val="left"/>
        <w:textAlignment w:val="baseline"/>
        <w:rPr>
          <w:rFonts w:hint="eastAsia" w:ascii="宋体" w:hAnsi="宋体" w:eastAsia="宋体" w:cs="宋体"/>
          <w:sz w:val="28"/>
          <w:szCs w:val="28"/>
          <w:lang w:val="en-US" w:eastAsia="en-US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采用定量与定性相结合的方法，对照《2024 年度部门整体支出绩效自评表》中的指标体系，从产出、效益、满意度三个维度进行综合评价。定量指标依据实际完成数据计算得分，定性指标通过资料分析、现场调研等方式综合评估。</w:t>
      </w:r>
    </w:p>
    <w:p w14:paraId="633BFF5C">
      <w:pPr>
        <w:keepNext w:val="0"/>
        <w:keepLines w:val="0"/>
        <w:pageBreakBefore w:val="0"/>
        <w:wordWrap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jc w:val="left"/>
        <w:textAlignment w:val="baseline"/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en-US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en-US"/>
        </w:rPr>
        <w:t>（三）指标体系</w:t>
      </w:r>
    </w:p>
    <w:p w14:paraId="4F636408">
      <w:pPr>
        <w:keepNext w:val="0"/>
        <w:keepLines w:val="0"/>
        <w:pageBreakBefore w:val="0"/>
        <w:wordWrap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jc w:val="left"/>
        <w:textAlignment w:val="baseline"/>
        <w:rPr>
          <w:rFonts w:hint="eastAsia" w:ascii="宋体" w:hAnsi="宋体" w:eastAsia="宋体" w:cs="宋体"/>
          <w:sz w:val="28"/>
          <w:szCs w:val="28"/>
          <w:lang w:val="en-US" w:eastAsia="en-US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绩效评价指标体系总分 100 分，其中：</w:t>
      </w:r>
    </w:p>
    <w:p w14:paraId="4A23F833">
      <w:pPr>
        <w:keepNext w:val="0"/>
        <w:keepLines w:val="0"/>
        <w:pageBreakBefore w:val="0"/>
        <w:wordWrap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jc w:val="left"/>
        <w:textAlignment w:val="baseline"/>
        <w:rPr>
          <w:rFonts w:hint="eastAsia" w:ascii="宋体" w:hAnsi="宋体" w:eastAsia="宋体" w:cs="宋体"/>
          <w:sz w:val="28"/>
          <w:szCs w:val="28"/>
          <w:lang w:val="en-US" w:eastAsia="en-US"/>
        </w:rPr>
      </w:pPr>
      <w:r>
        <w:rPr>
          <w:rFonts w:hint="eastAsia" w:ascii="宋体" w:hAnsi="宋体" w:eastAsia="宋体" w:cs="宋体"/>
          <w:sz w:val="28"/>
          <w:szCs w:val="28"/>
          <w:lang w:val="en-US" w:eastAsia="en-US"/>
        </w:rPr>
        <w:t>产出指标（50 分）：包括数量指标（学生人数达标率、课程开设完成率、教师培训次数）、质量指标（教学成果达标率、设备完好率）、时效指标（教学任务完成及时性、项目资金支付及时性）、成本指标（公用经费控制率）。</w:t>
      </w:r>
    </w:p>
    <w:p w14:paraId="211ACFC4">
      <w:pPr>
        <w:keepNext w:val="0"/>
        <w:keepLines w:val="0"/>
        <w:pageBreakBefore w:val="0"/>
        <w:wordWrap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jc w:val="left"/>
        <w:textAlignment w:val="baseline"/>
        <w:rPr>
          <w:rFonts w:hint="eastAsia" w:ascii="宋体" w:hAnsi="宋体" w:eastAsia="宋体" w:cs="宋体"/>
          <w:sz w:val="28"/>
          <w:szCs w:val="28"/>
          <w:lang w:val="en-US" w:eastAsia="en-US"/>
        </w:rPr>
      </w:pPr>
      <w:r>
        <w:rPr>
          <w:rFonts w:hint="eastAsia" w:ascii="宋体" w:hAnsi="宋体" w:eastAsia="宋体" w:cs="宋体"/>
          <w:sz w:val="28"/>
          <w:szCs w:val="28"/>
          <w:lang w:val="en-US" w:eastAsia="en-US"/>
        </w:rPr>
        <w:t>效益指标（30 分）：涵盖经济效益指标（保障教职员工基本生活水平）、社会效益指标（提高教育质量、就学率和成材率）、生态效益指标（校园绿化、卫生达标率）、可持续影响指标（教师专业成长）。</w:t>
      </w:r>
    </w:p>
    <w:p w14:paraId="7F00F52F">
      <w:pPr>
        <w:keepNext w:val="0"/>
        <w:keepLines w:val="0"/>
        <w:pageBreakBefore w:val="0"/>
        <w:wordWrap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jc w:val="left"/>
        <w:textAlignment w:val="baseline"/>
        <w:rPr>
          <w:rFonts w:hint="eastAsia" w:ascii="宋体" w:hAnsi="宋体" w:eastAsia="宋体" w:cs="宋体"/>
          <w:sz w:val="28"/>
          <w:szCs w:val="28"/>
          <w:lang w:val="en-US" w:eastAsia="en-US"/>
        </w:rPr>
      </w:pPr>
      <w:r>
        <w:rPr>
          <w:rFonts w:hint="eastAsia" w:ascii="宋体" w:hAnsi="宋体" w:eastAsia="宋体" w:cs="宋体"/>
          <w:sz w:val="28"/>
          <w:szCs w:val="28"/>
          <w:lang w:val="en-US" w:eastAsia="en-US"/>
        </w:rPr>
        <w:t>满意度指标（10 分）：学生满意度和家长满意度。</w:t>
      </w:r>
    </w:p>
    <w:p w14:paraId="0BEF0586">
      <w:pPr>
        <w:keepNext w:val="0"/>
        <w:keepLines w:val="0"/>
        <w:pageBreakBefore w:val="0"/>
        <w:wordWrap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2" w:firstLineChars="200"/>
        <w:jc w:val="left"/>
        <w:textAlignment w:val="baseline"/>
        <w:rPr>
          <w:rFonts w:hint="eastAsia" w:ascii="宋体" w:hAnsi="宋体" w:eastAsia="宋体" w:cs="宋体"/>
          <w:b/>
          <w:bCs/>
          <w:sz w:val="28"/>
          <w:szCs w:val="28"/>
          <w:lang w:val="en-US" w:eastAsia="en-US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en-US"/>
        </w:rPr>
        <w:t>（四）评价过程</w:t>
      </w:r>
    </w:p>
    <w:p w14:paraId="7513414E">
      <w:pPr>
        <w:keepNext w:val="0"/>
        <w:keepLines w:val="0"/>
        <w:pageBreakBefore w:val="0"/>
        <w:wordWrap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jc w:val="left"/>
        <w:textAlignment w:val="baseline"/>
        <w:rPr>
          <w:rFonts w:hint="eastAsia" w:ascii="宋体" w:hAnsi="宋体" w:eastAsia="宋体" w:cs="宋体"/>
          <w:sz w:val="28"/>
          <w:szCs w:val="28"/>
          <w:lang w:val="en-US" w:eastAsia="en-US"/>
        </w:rPr>
      </w:pPr>
      <w:r>
        <w:rPr>
          <w:rFonts w:hint="eastAsia" w:ascii="宋体" w:hAnsi="宋体" w:eastAsia="宋体" w:cs="宋体"/>
          <w:sz w:val="28"/>
          <w:szCs w:val="28"/>
          <w:lang w:val="en-US" w:eastAsia="en-US"/>
        </w:rPr>
        <w:t>成立绩效评价工作小组，明确职责分工，制定评价方案。</w:t>
      </w:r>
    </w:p>
    <w:p w14:paraId="5F908423">
      <w:pPr>
        <w:keepNext w:val="0"/>
        <w:keepLines w:val="0"/>
        <w:pageBreakBefore w:val="0"/>
        <w:wordWrap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jc w:val="left"/>
        <w:textAlignment w:val="baseline"/>
        <w:rPr>
          <w:rFonts w:hint="eastAsia" w:ascii="宋体" w:hAnsi="宋体" w:eastAsia="宋体" w:cs="宋体"/>
          <w:sz w:val="28"/>
          <w:szCs w:val="28"/>
          <w:lang w:val="en-US" w:eastAsia="en-US"/>
        </w:rPr>
      </w:pPr>
      <w:r>
        <w:rPr>
          <w:rFonts w:hint="eastAsia" w:ascii="宋体" w:hAnsi="宋体" w:eastAsia="宋体" w:cs="宋体"/>
          <w:sz w:val="28"/>
          <w:szCs w:val="28"/>
          <w:lang w:val="en-US" w:eastAsia="en-US"/>
        </w:rPr>
        <w:t>收集整理预算、财务、业务等相关资料，核实资金使用和目标完成情况。</w:t>
      </w:r>
    </w:p>
    <w:p w14:paraId="23B805B2">
      <w:pPr>
        <w:keepNext w:val="0"/>
        <w:keepLines w:val="0"/>
        <w:pageBreakBefore w:val="0"/>
        <w:wordWrap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jc w:val="left"/>
        <w:textAlignment w:val="baseline"/>
        <w:rPr>
          <w:rFonts w:hint="eastAsia" w:ascii="宋体" w:hAnsi="宋体" w:eastAsia="宋体" w:cs="宋体"/>
          <w:sz w:val="28"/>
          <w:szCs w:val="28"/>
          <w:lang w:val="en-US" w:eastAsia="en-US"/>
        </w:rPr>
      </w:pPr>
      <w:r>
        <w:rPr>
          <w:rFonts w:hint="eastAsia" w:ascii="宋体" w:hAnsi="宋体" w:eastAsia="宋体" w:cs="宋体"/>
          <w:sz w:val="28"/>
          <w:szCs w:val="28"/>
          <w:lang w:val="en-US" w:eastAsia="en-US"/>
        </w:rPr>
        <w:t>对照评价指标逐项打分，分析偏差原因，提出改进措施。</w:t>
      </w:r>
    </w:p>
    <w:p w14:paraId="268ECEBE">
      <w:pPr>
        <w:keepNext w:val="0"/>
        <w:keepLines w:val="0"/>
        <w:pageBreakBefore w:val="0"/>
        <w:wordWrap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jc w:val="left"/>
        <w:textAlignment w:val="baseline"/>
        <w:rPr>
          <w:rFonts w:hint="eastAsia" w:ascii="宋体" w:hAnsi="宋体" w:eastAsia="宋体" w:cs="宋体"/>
          <w:sz w:val="28"/>
          <w:szCs w:val="28"/>
          <w:lang w:val="en-US" w:eastAsia="en-US"/>
        </w:rPr>
      </w:pPr>
      <w:r>
        <w:rPr>
          <w:rFonts w:hint="eastAsia" w:ascii="宋体" w:hAnsi="宋体" w:eastAsia="宋体" w:cs="宋体"/>
          <w:sz w:val="28"/>
          <w:szCs w:val="28"/>
          <w:lang w:val="en-US" w:eastAsia="en-US"/>
        </w:rPr>
        <w:t>形成绩效自评报告，总结经验，反馈问题。</w:t>
      </w:r>
    </w:p>
    <w:p w14:paraId="58B4D33E">
      <w:pPr>
        <w:keepNext w:val="0"/>
        <w:keepLines w:val="0"/>
        <w:pageBreakBefore w:val="0"/>
        <w:wordWrap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2" w:firstLineChars="200"/>
        <w:jc w:val="left"/>
        <w:textAlignment w:val="baseline"/>
        <w:rPr>
          <w:rFonts w:hint="eastAsia" w:ascii="宋体" w:hAnsi="宋体" w:eastAsia="宋体" w:cs="宋体"/>
          <w:b/>
          <w:bCs/>
          <w:sz w:val="28"/>
          <w:szCs w:val="28"/>
          <w:lang w:val="en-US" w:eastAsia="en-US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五、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en-US"/>
        </w:rPr>
        <w:t>综合评价结果</w:t>
      </w:r>
    </w:p>
    <w:p w14:paraId="37FA8250">
      <w:pPr>
        <w:keepNext w:val="0"/>
        <w:keepLines w:val="0"/>
        <w:pageBreakBefore w:val="0"/>
        <w:wordWrap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jc w:val="left"/>
        <w:textAlignment w:val="baseline"/>
        <w:rPr>
          <w:rFonts w:hint="eastAsia" w:ascii="宋体" w:hAnsi="宋体" w:eastAsia="宋体" w:cs="宋体"/>
          <w:sz w:val="28"/>
          <w:szCs w:val="28"/>
          <w:lang w:val="en-US" w:eastAsia="en-US"/>
        </w:rPr>
      </w:pPr>
      <w:r>
        <w:rPr>
          <w:rFonts w:hint="eastAsia" w:ascii="宋体" w:hAnsi="宋体" w:eastAsia="宋体" w:cs="宋体"/>
          <w:sz w:val="28"/>
          <w:szCs w:val="28"/>
          <w:lang w:val="en-US" w:eastAsia="en-US"/>
        </w:rPr>
        <w:t>经综合评价，我校 2024 年度部门整体支出绩效自评得分 9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7.99</w:t>
      </w:r>
      <w:r>
        <w:rPr>
          <w:rFonts w:hint="eastAsia" w:ascii="宋体" w:hAnsi="宋体" w:eastAsia="宋体" w:cs="宋体"/>
          <w:sz w:val="28"/>
          <w:szCs w:val="28"/>
          <w:lang w:val="en-US" w:eastAsia="en-US"/>
        </w:rPr>
        <w:t xml:space="preserve"> 分，评价等级为 “优秀”。整体来看，预算执行率 100%，各项核心指标完成情况良好，资金使用效益显著，教育教学质量和校园环境得到有效提升，师生及家长满意度较高。</w:t>
      </w:r>
    </w:p>
    <w:p w14:paraId="01D05EFE">
      <w:pPr>
        <w:keepNext w:val="0"/>
        <w:keepLines w:val="0"/>
        <w:pageBreakBefore w:val="0"/>
        <w:wordWrap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2" w:firstLineChars="200"/>
        <w:jc w:val="left"/>
        <w:textAlignment w:val="baseline"/>
        <w:rPr>
          <w:rFonts w:hint="eastAsia" w:ascii="宋体" w:hAnsi="宋体" w:eastAsia="宋体" w:cs="宋体"/>
          <w:b/>
          <w:bCs/>
          <w:sz w:val="28"/>
          <w:szCs w:val="28"/>
          <w:lang w:val="en-US" w:eastAsia="en-US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六、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en-US"/>
        </w:rPr>
        <w:t>部门整体支出绩效情况</w:t>
      </w:r>
    </w:p>
    <w:p w14:paraId="5A4101C5">
      <w:pPr>
        <w:keepNext w:val="0"/>
        <w:keepLines w:val="0"/>
        <w:pageBreakBefore w:val="0"/>
        <w:wordWrap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jc w:val="left"/>
        <w:textAlignment w:val="baseline"/>
        <w:rPr>
          <w:rFonts w:hint="eastAsia" w:ascii="宋体" w:hAnsi="宋体" w:eastAsia="宋体" w:cs="宋体"/>
          <w:sz w:val="28"/>
          <w:szCs w:val="28"/>
          <w:lang w:val="en-US" w:eastAsia="en-US"/>
        </w:rPr>
      </w:pPr>
      <w:r>
        <w:rPr>
          <w:rFonts w:hint="eastAsia" w:ascii="宋体" w:hAnsi="宋体" w:eastAsia="宋体" w:cs="宋体"/>
          <w:sz w:val="28"/>
          <w:szCs w:val="28"/>
          <w:lang w:val="en-US" w:eastAsia="en-US"/>
        </w:rPr>
        <w:t>（一）产出指标完成情况</w:t>
      </w:r>
    </w:p>
    <w:p w14:paraId="7CD2C98B">
      <w:pPr>
        <w:keepNext w:val="0"/>
        <w:keepLines w:val="0"/>
        <w:pageBreakBefore w:val="0"/>
        <w:wordWrap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jc w:val="left"/>
        <w:textAlignment w:val="baseline"/>
        <w:rPr>
          <w:rFonts w:hint="eastAsia" w:ascii="宋体" w:hAnsi="宋体" w:eastAsia="宋体" w:cs="宋体"/>
          <w:sz w:val="28"/>
          <w:szCs w:val="28"/>
          <w:lang w:val="en-US" w:eastAsia="en-US"/>
        </w:rPr>
      </w:pPr>
      <w:r>
        <w:rPr>
          <w:rFonts w:hint="eastAsia" w:ascii="宋体" w:hAnsi="宋体" w:eastAsia="宋体" w:cs="宋体"/>
          <w:sz w:val="28"/>
          <w:szCs w:val="28"/>
          <w:lang w:val="en-US" w:eastAsia="en-US"/>
        </w:rPr>
        <w:t>数量指标：学生人数达标率 100%，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教师人数达标，</w:t>
      </w:r>
      <w:r>
        <w:rPr>
          <w:rFonts w:hint="eastAsia" w:ascii="宋体" w:hAnsi="宋体" w:eastAsia="宋体" w:cs="宋体"/>
          <w:sz w:val="28"/>
          <w:szCs w:val="28"/>
          <w:lang w:val="en-US" w:eastAsia="en-US"/>
        </w:rPr>
        <w:t>课程开设完成率 100%，均超额完成预期目标；</w:t>
      </w:r>
    </w:p>
    <w:p w14:paraId="12F2123A">
      <w:pPr>
        <w:keepNext w:val="0"/>
        <w:keepLines w:val="0"/>
        <w:pageBreakBefore w:val="0"/>
        <w:wordWrap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jc w:val="left"/>
        <w:textAlignment w:val="baseline"/>
        <w:rPr>
          <w:rFonts w:hint="eastAsia" w:ascii="宋体" w:hAnsi="宋体" w:eastAsia="宋体" w:cs="宋体"/>
          <w:sz w:val="28"/>
          <w:szCs w:val="28"/>
          <w:lang w:val="en-US" w:eastAsia="en-US"/>
        </w:rPr>
      </w:pPr>
      <w:r>
        <w:rPr>
          <w:rFonts w:hint="eastAsia" w:ascii="宋体" w:hAnsi="宋体" w:eastAsia="宋体" w:cs="宋体"/>
          <w:sz w:val="28"/>
          <w:szCs w:val="28"/>
          <w:lang w:val="en-US" w:eastAsia="en-US"/>
        </w:rPr>
        <w:t>质量指标：教学成果达标率 95%，高于预期目标（85%），但部分学生因特殊情况影响成绩，需加强个性化辅导；设备完好率 9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5</w:t>
      </w:r>
      <w:r>
        <w:rPr>
          <w:rFonts w:hint="eastAsia" w:ascii="宋体" w:hAnsi="宋体" w:eastAsia="宋体" w:cs="宋体"/>
          <w:sz w:val="28"/>
          <w:szCs w:val="28"/>
          <w:lang w:val="en-US" w:eastAsia="en-US"/>
        </w:rPr>
        <w:t>%。</w:t>
      </w:r>
    </w:p>
    <w:p w14:paraId="0B6314A2">
      <w:pPr>
        <w:keepNext w:val="0"/>
        <w:keepLines w:val="0"/>
        <w:pageBreakBefore w:val="0"/>
        <w:wordWrap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jc w:val="left"/>
        <w:textAlignment w:val="baseline"/>
        <w:rPr>
          <w:rFonts w:hint="eastAsia" w:ascii="宋体" w:hAnsi="宋体" w:eastAsia="宋体" w:cs="宋体"/>
          <w:sz w:val="28"/>
          <w:szCs w:val="28"/>
          <w:lang w:val="en-US" w:eastAsia="en-US"/>
        </w:rPr>
      </w:pPr>
      <w:r>
        <w:rPr>
          <w:rFonts w:hint="eastAsia" w:ascii="宋体" w:hAnsi="宋体" w:eastAsia="宋体" w:cs="宋体"/>
          <w:sz w:val="28"/>
          <w:szCs w:val="28"/>
          <w:lang w:val="en-US" w:eastAsia="en-US"/>
        </w:rPr>
        <w:t>时效指标：教学任务完成及时性 100%，确保教学计划有序推进；项目资金支付及时性 95%，因部分项目验收流程延迟导致支付滞后，后续将优化验收流程。</w:t>
      </w:r>
    </w:p>
    <w:p w14:paraId="6C30EA28">
      <w:pPr>
        <w:keepNext w:val="0"/>
        <w:keepLines w:val="0"/>
        <w:pageBreakBefore w:val="0"/>
        <w:wordWrap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jc w:val="left"/>
        <w:textAlignment w:val="baseline"/>
        <w:rPr>
          <w:rFonts w:hint="eastAsia" w:ascii="宋体" w:hAnsi="宋体" w:eastAsia="宋体" w:cs="宋体"/>
          <w:sz w:val="28"/>
          <w:szCs w:val="28"/>
          <w:lang w:val="en-US" w:eastAsia="en-US"/>
        </w:rPr>
      </w:pPr>
      <w:r>
        <w:rPr>
          <w:rFonts w:hint="eastAsia" w:ascii="宋体" w:hAnsi="宋体" w:eastAsia="宋体" w:cs="宋体"/>
          <w:sz w:val="28"/>
          <w:szCs w:val="28"/>
          <w:lang w:val="en-US" w:eastAsia="en-US"/>
        </w:rPr>
        <w:t>成本指标：公用经费控制率 100%，严格控制在预算范围内，预算管理成效显著。</w:t>
      </w:r>
    </w:p>
    <w:p w14:paraId="09C58A74">
      <w:pPr>
        <w:keepNext w:val="0"/>
        <w:keepLines w:val="0"/>
        <w:pageBreakBefore w:val="0"/>
        <w:wordWrap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jc w:val="left"/>
        <w:textAlignment w:val="baseline"/>
        <w:rPr>
          <w:rFonts w:hint="eastAsia" w:ascii="宋体" w:hAnsi="宋体" w:eastAsia="宋体" w:cs="宋体"/>
          <w:sz w:val="28"/>
          <w:szCs w:val="28"/>
          <w:lang w:val="en-US" w:eastAsia="en-US"/>
        </w:rPr>
      </w:pPr>
      <w:r>
        <w:rPr>
          <w:rFonts w:hint="eastAsia" w:ascii="宋体" w:hAnsi="宋体" w:eastAsia="宋体" w:cs="宋体"/>
          <w:sz w:val="28"/>
          <w:szCs w:val="28"/>
          <w:lang w:val="en-US" w:eastAsia="en-US"/>
        </w:rPr>
        <w:t>（二）效益指标完成情况</w:t>
      </w:r>
    </w:p>
    <w:p w14:paraId="19E83A4D">
      <w:pPr>
        <w:keepNext w:val="0"/>
        <w:keepLines w:val="0"/>
        <w:pageBreakBefore w:val="0"/>
        <w:wordWrap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jc w:val="left"/>
        <w:textAlignment w:val="baseline"/>
        <w:rPr>
          <w:rFonts w:hint="eastAsia" w:ascii="宋体" w:hAnsi="宋体" w:eastAsia="宋体" w:cs="宋体"/>
          <w:sz w:val="28"/>
          <w:szCs w:val="28"/>
          <w:lang w:val="en-US" w:eastAsia="en-US"/>
        </w:rPr>
      </w:pPr>
      <w:r>
        <w:rPr>
          <w:rFonts w:hint="eastAsia" w:ascii="宋体" w:hAnsi="宋体" w:eastAsia="宋体" w:cs="宋体"/>
          <w:sz w:val="28"/>
          <w:szCs w:val="28"/>
          <w:lang w:val="en-US" w:eastAsia="en-US"/>
        </w:rPr>
        <w:t>经济效益指标：保障了教职员工基本生活水平，工资福利支出及时足额发放，教职工队伍稳定性得到提升，评分 10 分。</w:t>
      </w:r>
    </w:p>
    <w:p w14:paraId="1F28356D">
      <w:pPr>
        <w:keepNext w:val="0"/>
        <w:keepLines w:val="0"/>
        <w:pageBreakBefore w:val="0"/>
        <w:wordWrap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jc w:val="left"/>
        <w:textAlignment w:val="baseline"/>
        <w:rPr>
          <w:rFonts w:hint="eastAsia" w:ascii="宋体" w:hAnsi="宋体" w:eastAsia="宋体" w:cs="宋体"/>
          <w:sz w:val="28"/>
          <w:szCs w:val="28"/>
          <w:lang w:val="en-US" w:eastAsia="en-US"/>
        </w:rPr>
      </w:pPr>
      <w:r>
        <w:rPr>
          <w:rFonts w:hint="eastAsia" w:ascii="宋体" w:hAnsi="宋体" w:eastAsia="宋体" w:cs="宋体"/>
          <w:sz w:val="28"/>
          <w:szCs w:val="28"/>
          <w:lang w:val="en-US" w:eastAsia="en-US"/>
        </w:rPr>
        <w:t>社会效益指标：教育质量稳步提高，就学率和成材率效果明显，社会认可度逐步提升，评分 5 分。</w:t>
      </w:r>
    </w:p>
    <w:p w14:paraId="3F5FA1A8">
      <w:pPr>
        <w:keepNext w:val="0"/>
        <w:keepLines w:val="0"/>
        <w:pageBreakBefore w:val="0"/>
        <w:wordWrap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jc w:val="left"/>
        <w:textAlignment w:val="baseline"/>
        <w:rPr>
          <w:rFonts w:hint="eastAsia" w:ascii="宋体" w:hAnsi="宋体" w:eastAsia="宋体" w:cs="宋体"/>
          <w:sz w:val="28"/>
          <w:szCs w:val="28"/>
          <w:lang w:val="en-US" w:eastAsia="en-US"/>
        </w:rPr>
      </w:pPr>
      <w:r>
        <w:rPr>
          <w:rFonts w:hint="eastAsia" w:ascii="宋体" w:hAnsi="宋体" w:eastAsia="宋体" w:cs="宋体"/>
          <w:sz w:val="28"/>
          <w:szCs w:val="28"/>
          <w:lang w:val="en-US" w:eastAsia="en-US"/>
        </w:rPr>
        <w:t>生态效益指标：校园绿化、卫生达标率均为 9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5</w:t>
      </w:r>
      <w:r>
        <w:rPr>
          <w:rFonts w:hint="eastAsia" w:ascii="宋体" w:hAnsi="宋体" w:eastAsia="宋体" w:cs="宋体"/>
          <w:sz w:val="28"/>
          <w:szCs w:val="28"/>
          <w:lang w:val="en-US" w:eastAsia="en-US"/>
        </w:rPr>
        <w:t>%，达到预期目标，营造了整洁舒适的校园环境，各得 5 分。</w:t>
      </w:r>
    </w:p>
    <w:p w14:paraId="54E8FD53">
      <w:pPr>
        <w:keepNext w:val="0"/>
        <w:keepLines w:val="0"/>
        <w:pageBreakBefore w:val="0"/>
        <w:wordWrap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jc w:val="left"/>
        <w:textAlignment w:val="baseline"/>
        <w:rPr>
          <w:rFonts w:hint="eastAsia" w:ascii="宋体" w:hAnsi="宋体" w:eastAsia="宋体" w:cs="宋体"/>
          <w:sz w:val="28"/>
          <w:szCs w:val="28"/>
          <w:lang w:val="en-US" w:eastAsia="en-US"/>
        </w:rPr>
      </w:pPr>
      <w:r>
        <w:rPr>
          <w:rFonts w:hint="eastAsia" w:ascii="宋体" w:hAnsi="宋体" w:eastAsia="宋体" w:cs="宋体"/>
          <w:sz w:val="28"/>
          <w:szCs w:val="28"/>
          <w:lang w:val="en-US" w:eastAsia="en-US"/>
        </w:rPr>
        <w:t>可持续影响指标：教师专业成长成效显著，通过培训、教研活动等方式，教师教学能力和科研水平明显提升，评分 5 分。</w:t>
      </w:r>
    </w:p>
    <w:p w14:paraId="7BB7A55E">
      <w:pPr>
        <w:keepNext w:val="0"/>
        <w:keepLines w:val="0"/>
        <w:pageBreakBefore w:val="0"/>
        <w:wordWrap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jc w:val="left"/>
        <w:textAlignment w:val="baseline"/>
        <w:rPr>
          <w:rFonts w:hint="eastAsia" w:ascii="宋体" w:hAnsi="宋体" w:eastAsia="宋体" w:cs="宋体"/>
          <w:sz w:val="28"/>
          <w:szCs w:val="28"/>
          <w:lang w:val="en-US" w:eastAsia="en-US"/>
        </w:rPr>
      </w:pPr>
      <w:r>
        <w:rPr>
          <w:rFonts w:hint="eastAsia" w:ascii="宋体" w:hAnsi="宋体" w:eastAsia="宋体" w:cs="宋体"/>
          <w:sz w:val="28"/>
          <w:szCs w:val="28"/>
          <w:lang w:val="en-US" w:eastAsia="en-US"/>
        </w:rPr>
        <w:t>（三）满意度指标完成情况</w:t>
      </w:r>
    </w:p>
    <w:p w14:paraId="605DD341">
      <w:pPr>
        <w:keepNext w:val="0"/>
        <w:keepLines w:val="0"/>
        <w:pageBreakBefore w:val="0"/>
        <w:wordWrap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jc w:val="left"/>
        <w:textAlignment w:val="baseline"/>
        <w:rPr>
          <w:rFonts w:hint="eastAsia" w:ascii="宋体" w:hAnsi="宋体" w:eastAsia="宋体" w:cs="宋体"/>
          <w:sz w:val="28"/>
          <w:szCs w:val="28"/>
          <w:lang w:val="en-US" w:eastAsia="en-US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学生满意度和家长满意度均为 95%，高于预期目标（90%），但存在教学服务细节和家校沟通不足问题，后续将加强需求调研和沟通频次。</w:t>
      </w:r>
    </w:p>
    <w:p w14:paraId="3BD4E9FD">
      <w:pPr>
        <w:keepNext w:val="0"/>
        <w:keepLines w:val="0"/>
        <w:pageBreakBefore w:val="0"/>
        <w:wordWrap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2" w:firstLineChars="200"/>
        <w:jc w:val="left"/>
        <w:textAlignment w:val="baseline"/>
        <w:rPr>
          <w:rFonts w:hint="eastAsia" w:ascii="宋体" w:hAnsi="宋体" w:eastAsia="宋体" w:cs="宋体"/>
          <w:sz w:val="28"/>
          <w:szCs w:val="28"/>
          <w:lang w:val="en-US" w:eastAsia="en-US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七、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en-US"/>
        </w:rPr>
        <w:t>存在的主要问题及原因分析</w:t>
      </w:r>
    </w:p>
    <w:p w14:paraId="5B86F7E2">
      <w:pPr>
        <w:keepNext w:val="0"/>
        <w:keepLines w:val="0"/>
        <w:pageBreakBefore w:val="0"/>
        <w:wordWrap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jc w:val="left"/>
        <w:textAlignment w:val="baseline"/>
        <w:rPr>
          <w:rFonts w:hint="eastAsia" w:ascii="宋体" w:hAnsi="宋体" w:eastAsia="宋体" w:cs="宋体"/>
          <w:sz w:val="28"/>
          <w:szCs w:val="28"/>
          <w:lang w:val="en-US" w:eastAsia="en-US"/>
        </w:rPr>
      </w:pPr>
      <w:r>
        <w:rPr>
          <w:rFonts w:hint="eastAsia" w:ascii="宋体" w:hAnsi="宋体" w:eastAsia="宋体" w:cs="宋体"/>
          <w:sz w:val="28"/>
          <w:szCs w:val="28"/>
          <w:lang w:val="en-US" w:eastAsia="en-US"/>
        </w:rPr>
        <w:t>（一）教学成果达标率未达最优</w:t>
      </w:r>
    </w:p>
    <w:p w14:paraId="38E50791">
      <w:pPr>
        <w:keepNext w:val="0"/>
        <w:keepLines w:val="0"/>
        <w:pageBreakBefore w:val="0"/>
        <w:wordWrap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jc w:val="left"/>
        <w:textAlignment w:val="baseline"/>
        <w:rPr>
          <w:rFonts w:hint="eastAsia" w:ascii="宋体" w:hAnsi="宋体" w:eastAsia="宋体" w:cs="宋体"/>
          <w:sz w:val="28"/>
          <w:szCs w:val="28"/>
          <w:lang w:val="en-US" w:eastAsia="en-US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部分学生因特殊情况（如学习基础薄弱、身心发展差异等）导致成绩未达标，反映出个性化教学服务仍需加强，对特殊学生的关注和辅导不够精准。</w:t>
      </w:r>
    </w:p>
    <w:p w14:paraId="15BE6EFF">
      <w:pPr>
        <w:keepNext w:val="0"/>
        <w:keepLines w:val="0"/>
        <w:pageBreakBefore w:val="0"/>
        <w:wordWrap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jc w:val="left"/>
        <w:textAlignment w:val="baseline"/>
        <w:rPr>
          <w:rFonts w:hint="eastAsia" w:ascii="宋体" w:hAnsi="宋体" w:eastAsia="宋体" w:cs="宋体"/>
          <w:sz w:val="28"/>
          <w:szCs w:val="28"/>
          <w:lang w:val="en-US" w:eastAsia="en-US"/>
        </w:rPr>
      </w:pPr>
      <w:r>
        <w:rPr>
          <w:rFonts w:hint="eastAsia" w:ascii="宋体" w:hAnsi="宋体" w:eastAsia="宋体" w:cs="宋体"/>
          <w:sz w:val="28"/>
          <w:szCs w:val="28"/>
          <w:lang w:val="en-US" w:eastAsia="en-US"/>
        </w:rPr>
        <w:t>（二）设备完好率偏低</w:t>
      </w:r>
    </w:p>
    <w:p w14:paraId="5A42F273">
      <w:pPr>
        <w:keepNext w:val="0"/>
        <w:keepLines w:val="0"/>
        <w:pageBreakBefore w:val="0"/>
        <w:wordWrap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jc w:val="left"/>
        <w:textAlignment w:val="baseline"/>
        <w:rPr>
          <w:rFonts w:hint="eastAsia" w:ascii="宋体" w:hAnsi="宋体" w:eastAsia="宋体" w:cs="宋体"/>
          <w:sz w:val="28"/>
          <w:szCs w:val="28"/>
          <w:lang w:val="en-US" w:eastAsia="en-US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老旧设备长期使用导致故障频发，维修成本较高，而设备更新预算有限，未能及时替换老化设备，影响教学设施的正常使用。</w:t>
      </w:r>
    </w:p>
    <w:p w14:paraId="7D3066AF">
      <w:pPr>
        <w:keepNext w:val="0"/>
        <w:keepLines w:val="0"/>
        <w:pageBreakBefore w:val="0"/>
        <w:wordWrap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jc w:val="left"/>
        <w:textAlignment w:val="baseline"/>
        <w:rPr>
          <w:rFonts w:hint="eastAsia" w:ascii="宋体" w:hAnsi="宋体" w:eastAsia="宋体" w:cs="宋体"/>
          <w:sz w:val="28"/>
          <w:szCs w:val="28"/>
          <w:lang w:val="en-US" w:eastAsia="en-US"/>
        </w:rPr>
      </w:pPr>
      <w:r>
        <w:rPr>
          <w:rFonts w:hint="eastAsia" w:ascii="宋体" w:hAnsi="宋体" w:eastAsia="宋体" w:cs="宋体"/>
          <w:sz w:val="28"/>
          <w:szCs w:val="28"/>
          <w:lang w:val="en-US" w:eastAsia="en-US"/>
        </w:rPr>
        <w:t>（三）项目资金支付延迟</w:t>
      </w:r>
    </w:p>
    <w:p w14:paraId="70E49837">
      <w:pPr>
        <w:keepNext w:val="0"/>
        <w:keepLines w:val="0"/>
        <w:pageBreakBefore w:val="0"/>
        <w:wordWrap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jc w:val="left"/>
        <w:textAlignment w:val="baseline"/>
        <w:rPr>
          <w:rFonts w:hint="eastAsia" w:ascii="宋体" w:hAnsi="宋体" w:eastAsia="宋体" w:cs="宋体"/>
          <w:sz w:val="28"/>
          <w:szCs w:val="28"/>
          <w:lang w:val="en-US" w:eastAsia="en-US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部分项目验收流程繁琐，各环节时间节点不明确，导致资金支付滞后，反映出项目管理流程有待优化，部门间协调效率需提高。</w:t>
      </w:r>
    </w:p>
    <w:p w14:paraId="070587BB">
      <w:pPr>
        <w:keepNext w:val="0"/>
        <w:keepLines w:val="0"/>
        <w:pageBreakBefore w:val="0"/>
        <w:wordWrap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jc w:val="left"/>
        <w:textAlignment w:val="baseline"/>
        <w:rPr>
          <w:rFonts w:hint="eastAsia" w:ascii="宋体" w:hAnsi="宋体" w:eastAsia="宋体" w:cs="宋体"/>
          <w:sz w:val="28"/>
          <w:szCs w:val="28"/>
          <w:lang w:val="en-US" w:eastAsia="en-US"/>
        </w:rPr>
      </w:pPr>
      <w:r>
        <w:rPr>
          <w:rFonts w:hint="eastAsia" w:ascii="宋体" w:hAnsi="宋体" w:eastAsia="宋体" w:cs="宋体"/>
          <w:sz w:val="28"/>
          <w:szCs w:val="28"/>
          <w:lang w:val="en-US" w:eastAsia="en-US"/>
        </w:rPr>
        <w:t>（四）家校沟通细节不足</w:t>
      </w:r>
    </w:p>
    <w:p w14:paraId="1287BD3B">
      <w:pPr>
        <w:keepNext w:val="0"/>
        <w:keepLines w:val="0"/>
        <w:pageBreakBefore w:val="0"/>
        <w:wordWrap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jc w:val="left"/>
        <w:textAlignment w:val="baseline"/>
        <w:rPr>
          <w:rFonts w:hint="eastAsia" w:ascii="宋体" w:hAnsi="宋体" w:eastAsia="宋体" w:cs="宋体"/>
          <w:sz w:val="28"/>
          <w:szCs w:val="28"/>
          <w:lang w:val="en-US" w:eastAsia="en-US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尽管满意度较高，但仍有部分家长对教学服务细节提出建议，说明家校沟通的深度和频次仍需加强，未能充分满足家长对孩子在校情况的了解需求。</w:t>
      </w:r>
    </w:p>
    <w:p w14:paraId="76FDEC90">
      <w:pPr>
        <w:keepNext w:val="0"/>
        <w:keepLines w:val="0"/>
        <w:pageBreakBefore w:val="0"/>
        <w:wordWrap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jc w:val="left"/>
        <w:textAlignment w:val="baseline"/>
        <w:rPr>
          <w:rFonts w:hint="eastAsia" w:ascii="宋体" w:hAnsi="宋体" w:eastAsia="宋体" w:cs="宋体"/>
          <w:sz w:val="28"/>
          <w:szCs w:val="28"/>
          <w:lang w:val="en-US" w:eastAsia="en-US"/>
        </w:rPr>
      </w:pPr>
    </w:p>
    <w:p w14:paraId="55815FD2">
      <w:pPr>
        <w:keepNext w:val="0"/>
        <w:keepLines w:val="0"/>
        <w:pageBreakBefore w:val="0"/>
        <w:wordWrap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2" w:firstLineChars="200"/>
        <w:jc w:val="left"/>
        <w:textAlignment w:val="baseline"/>
        <w:rPr>
          <w:rFonts w:hint="eastAsia" w:ascii="宋体" w:hAnsi="宋体" w:eastAsia="宋体" w:cs="宋体"/>
          <w:b/>
          <w:bCs/>
          <w:sz w:val="28"/>
          <w:szCs w:val="28"/>
          <w:lang w:val="en-US" w:eastAsia="en-US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en-US"/>
        </w:rPr>
        <w:t>八、有关建议</w:t>
      </w:r>
    </w:p>
    <w:p w14:paraId="45105F68">
      <w:pPr>
        <w:keepNext w:val="0"/>
        <w:keepLines w:val="0"/>
        <w:pageBreakBefore w:val="0"/>
        <w:wordWrap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jc w:val="left"/>
        <w:textAlignment w:val="baseline"/>
        <w:rPr>
          <w:rFonts w:hint="eastAsia" w:ascii="宋体" w:hAnsi="宋体" w:eastAsia="宋体" w:cs="宋体"/>
          <w:sz w:val="28"/>
          <w:szCs w:val="28"/>
          <w:lang w:val="en-US" w:eastAsia="en-US"/>
        </w:rPr>
      </w:pPr>
      <w:r>
        <w:rPr>
          <w:rFonts w:hint="eastAsia" w:ascii="宋体" w:hAnsi="宋体" w:eastAsia="宋体" w:cs="宋体"/>
          <w:sz w:val="28"/>
          <w:szCs w:val="28"/>
          <w:lang w:val="en-US" w:eastAsia="en-US"/>
        </w:rPr>
        <w:t>（一）强化个性化教学</w:t>
      </w:r>
    </w:p>
    <w:p w14:paraId="7F0EA2C3">
      <w:pPr>
        <w:keepNext w:val="0"/>
        <w:keepLines w:val="0"/>
        <w:pageBreakBefore w:val="0"/>
        <w:wordWrap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jc w:val="left"/>
        <w:textAlignment w:val="baseline"/>
        <w:rPr>
          <w:rFonts w:hint="eastAsia" w:ascii="宋体" w:hAnsi="宋体" w:eastAsia="宋体" w:cs="宋体"/>
          <w:sz w:val="28"/>
          <w:szCs w:val="28"/>
          <w:lang w:val="en-US" w:eastAsia="en-US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针对特殊学生制定专项辅导计划，建立一对一帮扶机制，跟踪学习进度，提升教学成果达标率。</w:t>
      </w:r>
    </w:p>
    <w:p w14:paraId="7DAF8493">
      <w:pPr>
        <w:keepNext w:val="0"/>
        <w:keepLines w:val="0"/>
        <w:pageBreakBefore w:val="0"/>
        <w:wordWrap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jc w:val="left"/>
        <w:textAlignment w:val="baseline"/>
        <w:rPr>
          <w:rFonts w:hint="eastAsia" w:ascii="宋体" w:hAnsi="宋体" w:eastAsia="宋体" w:cs="宋体"/>
          <w:sz w:val="28"/>
          <w:szCs w:val="28"/>
          <w:lang w:val="en-US" w:eastAsia="en-US"/>
        </w:rPr>
      </w:pPr>
      <w:r>
        <w:rPr>
          <w:rFonts w:hint="eastAsia" w:ascii="宋体" w:hAnsi="宋体" w:eastAsia="宋体" w:cs="宋体"/>
          <w:sz w:val="28"/>
          <w:szCs w:val="28"/>
          <w:lang w:val="en-US" w:eastAsia="en-US"/>
        </w:rPr>
        <w:t>（二）加大设备维护更新力度</w:t>
      </w:r>
    </w:p>
    <w:p w14:paraId="4760E3F4">
      <w:pPr>
        <w:keepNext w:val="0"/>
        <w:keepLines w:val="0"/>
        <w:pageBreakBefore w:val="0"/>
        <w:wordWrap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jc w:val="left"/>
        <w:textAlignment w:val="baseline"/>
        <w:rPr>
          <w:rFonts w:hint="eastAsia" w:ascii="宋体" w:hAnsi="宋体" w:eastAsia="宋体" w:cs="宋体"/>
          <w:sz w:val="28"/>
          <w:szCs w:val="28"/>
          <w:lang w:val="en-US" w:eastAsia="en-US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增加设备维护预算，制定年度更新计划，逐步替换老旧设备，确保教学设备完好率稳定在 95% 以上。</w:t>
      </w:r>
    </w:p>
    <w:p w14:paraId="11E473F1">
      <w:pPr>
        <w:keepNext w:val="0"/>
        <w:keepLines w:val="0"/>
        <w:pageBreakBefore w:val="0"/>
        <w:wordWrap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jc w:val="left"/>
        <w:textAlignment w:val="baseline"/>
        <w:rPr>
          <w:rFonts w:hint="eastAsia" w:ascii="宋体" w:hAnsi="宋体" w:eastAsia="宋体" w:cs="宋体"/>
          <w:sz w:val="28"/>
          <w:szCs w:val="28"/>
          <w:lang w:val="en-US" w:eastAsia="en-US"/>
        </w:rPr>
      </w:pPr>
      <w:r>
        <w:rPr>
          <w:rFonts w:hint="eastAsia" w:ascii="宋体" w:hAnsi="宋体" w:eastAsia="宋体" w:cs="宋体"/>
          <w:sz w:val="28"/>
          <w:szCs w:val="28"/>
          <w:lang w:val="en-US" w:eastAsia="en-US"/>
        </w:rPr>
        <w:t>（三）优化项目管理流程</w:t>
      </w:r>
    </w:p>
    <w:p w14:paraId="581BE180">
      <w:pPr>
        <w:keepNext w:val="0"/>
        <w:keepLines w:val="0"/>
        <w:pageBreakBefore w:val="0"/>
        <w:wordWrap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jc w:val="left"/>
        <w:textAlignment w:val="baseline"/>
        <w:rPr>
          <w:rFonts w:hint="eastAsia" w:ascii="宋体" w:hAnsi="宋体" w:eastAsia="宋体" w:cs="宋体"/>
          <w:sz w:val="28"/>
          <w:szCs w:val="28"/>
          <w:lang w:val="en-US" w:eastAsia="en-US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明确项目验收各环节的责任人和时间节点，简化审批流程，提高部门间协作效率，确保项目资金及时支付。</w:t>
      </w:r>
    </w:p>
    <w:p w14:paraId="7F487BE0">
      <w:pPr>
        <w:keepNext w:val="0"/>
        <w:keepLines w:val="0"/>
        <w:pageBreakBefore w:val="0"/>
        <w:wordWrap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jc w:val="left"/>
        <w:textAlignment w:val="baseline"/>
        <w:rPr>
          <w:rFonts w:hint="eastAsia" w:ascii="宋体" w:hAnsi="宋体" w:eastAsia="宋体" w:cs="宋体"/>
          <w:sz w:val="28"/>
          <w:szCs w:val="28"/>
          <w:lang w:val="en-US" w:eastAsia="en-US"/>
        </w:rPr>
      </w:pPr>
      <w:r>
        <w:rPr>
          <w:rFonts w:hint="eastAsia" w:ascii="宋体" w:hAnsi="宋体" w:eastAsia="宋体" w:cs="宋体"/>
          <w:sz w:val="28"/>
          <w:szCs w:val="28"/>
          <w:lang w:val="en-US" w:eastAsia="en-US"/>
        </w:rPr>
        <w:t>（四）加强家校沟通机制</w:t>
      </w:r>
    </w:p>
    <w:p w14:paraId="695C1317">
      <w:pPr>
        <w:keepNext w:val="0"/>
        <w:keepLines w:val="0"/>
        <w:pageBreakBefore w:val="0"/>
        <w:wordWrap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jc w:val="left"/>
        <w:textAlignment w:val="baseline"/>
        <w:rPr>
          <w:rFonts w:hint="eastAsia" w:ascii="宋体" w:hAnsi="宋体" w:eastAsia="宋体" w:cs="宋体"/>
          <w:sz w:val="28"/>
          <w:szCs w:val="28"/>
          <w:lang w:val="en-US" w:eastAsia="en-US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定期开展家长满意度调查，针对反馈问题及时改进；增加家校互动活动频次，通过家长会、家访、线上沟通平台等渠道，及时、全面反馈学生情况，提升家长参与度和满意度。</w:t>
      </w:r>
    </w:p>
    <w:p w14:paraId="279FBA17">
      <w:pPr>
        <w:keepNext w:val="0"/>
        <w:keepLines w:val="0"/>
        <w:pageBreakBefore w:val="0"/>
        <w:wordWrap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jc w:val="left"/>
        <w:textAlignment w:val="baseline"/>
        <w:rPr>
          <w:rFonts w:hint="eastAsia" w:ascii="宋体" w:hAnsi="宋体" w:eastAsia="宋体" w:cs="宋体"/>
          <w:sz w:val="28"/>
          <w:szCs w:val="28"/>
          <w:lang w:val="en-US" w:eastAsia="en-US"/>
        </w:rPr>
      </w:pPr>
      <w:r>
        <w:rPr>
          <w:rFonts w:hint="eastAsia" w:ascii="宋体" w:hAnsi="宋体" w:eastAsia="宋体" w:cs="宋体"/>
          <w:sz w:val="28"/>
          <w:szCs w:val="28"/>
          <w:lang w:val="en-US" w:eastAsia="en-US"/>
        </w:rPr>
        <w:t>（五）持续提升预算管理水平</w:t>
      </w:r>
    </w:p>
    <w:p w14:paraId="7CF5B543">
      <w:pPr>
        <w:keepNext w:val="0"/>
        <w:keepLines w:val="0"/>
        <w:pageBreakBefore w:val="0"/>
        <w:wordWrap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jc w:val="left"/>
        <w:textAlignment w:val="baseline"/>
        <w:rPr>
          <w:rFonts w:hint="eastAsia" w:ascii="宋体" w:hAnsi="宋体" w:eastAsia="宋体" w:cs="宋体"/>
          <w:sz w:val="28"/>
          <w:szCs w:val="28"/>
        </w:rPr>
        <w:sectPr>
          <w:footerReference r:id="rId5" w:type="default"/>
          <w:pgSz w:w="11900" w:h="16830"/>
          <w:pgMar w:top="1430" w:right="1054" w:bottom="1094" w:left="1054" w:header="0" w:footer="959" w:gutter="0"/>
          <w:pgNumType w:fmt="decimal"/>
          <w:cols w:space="720" w:num="1"/>
        </w:sect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结合年度目标和实际需求，科学编制预算，加强预算执行监控，提高资金使用的精准性和效益性，为学校教育事业发展提供有力保障。</w:t>
      </w:r>
    </w:p>
    <w:p w14:paraId="707463FC">
      <w:pPr>
        <w:pStyle w:val="3"/>
        <w:keepNext w:val="0"/>
        <w:keepLines w:val="0"/>
        <w:pageBreakBefore w:val="0"/>
        <w:wordWrap/>
        <w:topLinePunct w:val="0"/>
        <w:autoSpaceDE w:val="0"/>
        <w:autoSpaceDN w:val="0"/>
        <w:bidi w:val="0"/>
        <w:adjustRightInd w:val="0"/>
        <w:snapToGrid w:val="0"/>
        <w:spacing w:line="240" w:lineRule="auto"/>
        <w:jc w:val="left"/>
        <w:textAlignment w:val="baseline"/>
        <w:rPr>
          <w:rFonts w:hint="eastAsia" w:ascii="宋体" w:hAnsi="宋体" w:eastAsia="宋体" w:cs="宋体"/>
          <w:spacing w:val="23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206F16D">
    <w:pPr>
      <w:spacing w:line="174" w:lineRule="auto"/>
      <w:ind w:left="4370"/>
      <w:rPr>
        <w:rFonts w:ascii="Times New Roman" w:hAnsi="Times New Roman" w:eastAsia="Times New Roman" w:cs="Times New Roman"/>
        <w:sz w:val="15"/>
        <w:szCs w:val="15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NiODcxYThiNDY1ZDQ1MjEzYjYzMWQ0Zjc2NGZiMjgifQ=="/>
  </w:docVars>
  <w:rsids>
    <w:rsidRoot w:val="47675ACA"/>
    <w:rsid w:val="113F44CD"/>
    <w:rsid w:val="3E6704A6"/>
    <w:rsid w:val="3EC079B0"/>
    <w:rsid w:val="42AF6C5E"/>
    <w:rsid w:val="47675ACA"/>
    <w:rsid w:val="4A5146B4"/>
    <w:rsid w:val="4E3C6CBA"/>
    <w:rsid w:val="568979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semiHidden/>
    <w:qFormat/>
    <w:uiPriority w:val="0"/>
    <w:rPr>
      <w:rFonts w:ascii="仿宋" w:hAnsi="仿宋" w:eastAsia="仿宋" w:cs="仿宋"/>
      <w:sz w:val="31"/>
      <w:szCs w:val="31"/>
      <w:lang w:val="en-US" w:eastAsia="en-US" w:bidi="ar-SA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6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9">
    <w:name w:val="Strong"/>
    <w:basedOn w:val="8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3120</Words>
  <Characters>3270</Characters>
  <Lines>0</Lines>
  <Paragraphs>0</Paragraphs>
  <TotalTime>8</TotalTime>
  <ScaleCrop>false</ScaleCrop>
  <LinksUpToDate>false</LinksUpToDate>
  <CharactersWithSpaces>3336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2025-04-14T02:54:00Z</dcterms:created>
  <dc:creator>朱衡  。</dc:creator>
  <cp:lastModifiedBy>欧小芳</cp:lastModifiedBy>
  <cp:lastPrinted>2025-04-25T04:46:30Z</cp:lastPrinted>
  <dcterms:modified xsi:type="dcterms:W3CDTF">2025-04-25T04:46:33Z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487B41ECFCDF4103A6D6915C00687C8C_11</vt:lpwstr>
  </property>
  <property fmtid="{D5CDD505-2E9C-101B-9397-08002B2CF9AE}" pid="4" name="KSOTemplateDocerSaveRecord">
    <vt:lpwstr>eyJoZGlkIjoiMzI4ZjIyNTczN2M2M2UxZDIwYmYxNWQ3NDMwMWU2ZjEiLCJ1c2VySWQiOiI0MDY1NTg5ODcifQ==</vt:lpwstr>
  </property>
</Properties>
</file>