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D02C83">
      <w:pPr>
        <w:pStyle w:val="2"/>
        <w:spacing w:before="101" w:line="222" w:lineRule="auto"/>
        <w:rPr>
          <w:spacing w:val="11"/>
        </w:rPr>
      </w:pPr>
      <w:r>
        <w:rPr>
          <w:spacing w:val="11"/>
        </w:rPr>
        <w:t>附件2</w:t>
      </w:r>
    </w:p>
    <w:p w14:paraId="797DC220">
      <w:pPr>
        <w:spacing w:line="249" w:lineRule="auto"/>
      </w:pPr>
    </w:p>
    <w:p w14:paraId="35D2EA86">
      <w:pPr>
        <w:spacing w:line="249" w:lineRule="auto"/>
      </w:pPr>
    </w:p>
    <w:p w14:paraId="2CF63D59">
      <w:pPr>
        <w:spacing w:before="156" w:line="336" w:lineRule="auto"/>
        <w:ind w:right="1893"/>
        <w:jc w:val="center"/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 xml:space="preserve">    </w:t>
      </w:r>
    </w:p>
    <w:p w14:paraId="2FCCEFF4">
      <w:pPr>
        <w:spacing w:before="156" w:line="336" w:lineRule="auto"/>
        <w:jc w:val="center"/>
        <w:rPr>
          <w:rFonts w:ascii="宋体" w:hAnsi="宋体" w:eastAsia="宋体" w:cs="宋体"/>
          <w:b/>
          <w:bCs/>
          <w:sz w:val="48"/>
          <w:szCs w:val="48"/>
        </w:rPr>
      </w:pP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 xml:space="preserve">  </w:t>
      </w:r>
      <w:r>
        <w:rPr>
          <w:rFonts w:ascii="宋体" w:hAnsi="宋体" w:eastAsia="宋体" w:cs="宋体"/>
          <w:b/>
          <w:bCs/>
          <w:sz w:val="48"/>
          <w:szCs w:val="48"/>
        </w:rPr>
        <w:t>202</w:t>
      </w: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4</w:t>
      </w:r>
      <w:r>
        <w:rPr>
          <w:rFonts w:ascii="宋体" w:hAnsi="宋体" w:eastAsia="宋体" w:cs="宋体"/>
          <w:b/>
          <w:bCs/>
          <w:sz w:val="48"/>
          <w:szCs w:val="48"/>
        </w:rPr>
        <w:t>年度</w:t>
      </w:r>
      <w:r>
        <w:rPr>
          <w:rFonts w:hint="eastAsia" w:ascii="宋体" w:hAnsi="宋体" w:eastAsia="宋体" w:cs="宋体"/>
          <w:b/>
          <w:bCs/>
          <w:sz w:val="48"/>
          <w:szCs w:val="48"/>
          <w:lang w:eastAsia="zh-CN"/>
        </w:rPr>
        <w:t>鹤城区委政法委整体</w:t>
      </w:r>
      <w:r>
        <w:rPr>
          <w:rFonts w:ascii="宋体" w:hAnsi="宋体" w:eastAsia="宋体" w:cs="宋体"/>
          <w:b/>
          <w:bCs/>
          <w:sz w:val="48"/>
          <w:szCs w:val="48"/>
        </w:rPr>
        <w:t>支出</w:t>
      </w:r>
    </w:p>
    <w:p w14:paraId="57EB14E6">
      <w:pPr>
        <w:spacing w:before="156" w:line="336" w:lineRule="auto"/>
        <w:ind w:right="1893" w:firstLine="3012" w:firstLineChars="600"/>
        <w:rPr>
          <w:rFonts w:ascii="宋体" w:hAnsi="宋体" w:eastAsia="宋体" w:cs="宋体"/>
          <w:sz w:val="52"/>
          <w:szCs w:val="52"/>
          <w:lang w:eastAsia="zh-CN"/>
        </w:rPr>
      </w:pPr>
      <w:r>
        <w:rPr>
          <w:rFonts w:ascii="宋体" w:hAnsi="宋体" w:eastAsia="宋体" w:cs="宋体"/>
          <w:b/>
          <w:bCs/>
          <w:spacing w:val="-10"/>
          <w:sz w:val="52"/>
          <w:szCs w:val="52"/>
        </w:rPr>
        <w:t>绩效自评报告</w:t>
      </w:r>
      <w:r>
        <w:rPr>
          <w:rFonts w:hint="eastAsia" w:ascii="宋体" w:hAnsi="宋体" w:eastAsia="宋体" w:cs="宋体"/>
          <w:b/>
          <w:bCs/>
          <w:spacing w:val="-10"/>
          <w:sz w:val="52"/>
          <w:szCs w:val="52"/>
          <w:lang w:eastAsia="zh-CN"/>
        </w:rPr>
        <w:t xml:space="preserve">  </w:t>
      </w:r>
    </w:p>
    <w:p w14:paraId="636AFD4E">
      <w:pPr>
        <w:spacing w:line="246" w:lineRule="auto"/>
      </w:pPr>
    </w:p>
    <w:p w14:paraId="2B3FFCAA">
      <w:pPr>
        <w:spacing w:line="246" w:lineRule="auto"/>
      </w:pPr>
    </w:p>
    <w:p w14:paraId="140AC47B">
      <w:pPr>
        <w:spacing w:line="247" w:lineRule="auto"/>
      </w:pPr>
    </w:p>
    <w:p w14:paraId="7AE77AD8">
      <w:pPr>
        <w:spacing w:line="247" w:lineRule="auto"/>
      </w:pPr>
    </w:p>
    <w:p w14:paraId="377C072C">
      <w:pPr>
        <w:spacing w:line="247" w:lineRule="auto"/>
      </w:pPr>
    </w:p>
    <w:p w14:paraId="52AC93B7">
      <w:pPr>
        <w:spacing w:line="247" w:lineRule="auto"/>
      </w:pPr>
    </w:p>
    <w:p w14:paraId="0FE6DA46">
      <w:pPr>
        <w:spacing w:line="247" w:lineRule="auto"/>
      </w:pPr>
    </w:p>
    <w:p w14:paraId="30712198">
      <w:pPr>
        <w:spacing w:line="247" w:lineRule="auto"/>
      </w:pPr>
    </w:p>
    <w:p w14:paraId="2A2B9F2A">
      <w:pPr>
        <w:spacing w:line="247" w:lineRule="auto"/>
      </w:pPr>
    </w:p>
    <w:p w14:paraId="63828104">
      <w:pPr>
        <w:spacing w:line="247" w:lineRule="auto"/>
      </w:pPr>
    </w:p>
    <w:p w14:paraId="4741D922">
      <w:pPr>
        <w:spacing w:line="247" w:lineRule="auto"/>
      </w:pPr>
    </w:p>
    <w:p w14:paraId="1E67DCE5">
      <w:pPr>
        <w:spacing w:line="247" w:lineRule="auto"/>
      </w:pPr>
    </w:p>
    <w:p w14:paraId="2AE1868D">
      <w:pPr>
        <w:spacing w:line="247" w:lineRule="auto"/>
      </w:pPr>
    </w:p>
    <w:p w14:paraId="21650BF8">
      <w:pPr>
        <w:spacing w:line="247" w:lineRule="auto"/>
      </w:pPr>
    </w:p>
    <w:p w14:paraId="64C18E01">
      <w:pPr>
        <w:spacing w:line="247" w:lineRule="auto"/>
      </w:pPr>
    </w:p>
    <w:p w14:paraId="11360042">
      <w:pPr>
        <w:spacing w:line="247" w:lineRule="auto"/>
      </w:pPr>
    </w:p>
    <w:p w14:paraId="3DB05FAB">
      <w:pPr>
        <w:spacing w:line="247" w:lineRule="auto"/>
      </w:pPr>
    </w:p>
    <w:p w14:paraId="035DA63B">
      <w:pPr>
        <w:spacing w:line="247" w:lineRule="auto"/>
      </w:pPr>
    </w:p>
    <w:p w14:paraId="389068A5">
      <w:pPr>
        <w:spacing w:line="247" w:lineRule="auto"/>
      </w:pPr>
    </w:p>
    <w:p w14:paraId="0AD8BB7F">
      <w:pPr>
        <w:spacing w:line="247" w:lineRule="auto"/>
      </w:pPr>
    </w:p>
    <w:p w14:paraId="72FC57F7">
      <w:pPr>
        <w:spacing w:line="247" w:lineRule="auto"/>
      </w:pPr>
    </w:p>
    <w:p w14:paraId="32C8EF5A">
      <w:pPr>
        <w:spacing w:line="247" w:lineRule="auto"/>
      </w:pPr>
    </w:p>
    <w:p w14:paraId="63ADE834">
      <w:pPr>
        <w:spacing w:before="110" w:line="225" w:lineRule="auto"/>
        <w:ind w:left="1795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0D5BE8DE">
      <w:pPr>
        <w:spacing w:before="110" w:line="225" w:lineRule="auto"/>
        <w:ind w:left="1795"/>
        <w:rPr>
          <w:rFonts w:ascii="楷体" w:hAnsi="楷体" w:eastAsia="楷体" w:cs="楷体"/>
          <w:spacing w:val="-36"/>
          <w:w w:val="99"/>
          <w:sz w:val="34"/>
          <w:szCs w:val="34"/>
        </w:rPr>
      </w:pPr>
    </w:p>
    <w:p w14:paraId="36A14BEE">
      <w:pPr>
        <w:spacing w:before="110" w:line="225" w:lineRule="auto"/>
        <w:ind w:left="1795"/>
        <w:rPr>
          <w:rFonts w:ascii="楷体" w:hAnsi="楷体" w:eastAsia="楷体" w:cs="楷体"/>
          <w:sz w:val="34"/>
          <w:szCs w:val="34"/>
        </w:rPr>
      </w:pPr>
      <w:r>
        <w:rPr>
          <w:rFonts w:ascii="楷体" w:hAnsi="楷体" w:eastAsia="楷体" w:cs="楷体"/>
          <w:spacing w:val="-36"/>
          <w:w w:val="99"/>
          <w:sz w:val="34"/>
          <w:szCs w:val="34"/>
        </w:rPr>
        <w:t>实施单位：</w:t>
      </w:r>
      <w:r>
        <w:rPr>
          <w:rFonts w:ascii="楷体" w:hAnsi="楷体" w:eastAsia="楷体" w:cs="楷体"/>
          <w:spacing w:val="-79"/>
          <w:sz w:val="34"/>
          <w:szCs w:val="34"/>
          <w:u w:val="single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/>
        </w:rPr>
        <w:t>(</w:t>
      </w:r>
      <w:r>
        <w:rPr>
          <w:rFonts w:ascii="楷体" w:hAnsi="楷体" w:eastAsia="楷体" w:cs="楷体"/>
          <w:spacing w:val="27"/>
          <w:sz w:val="34"/>
          <w:szCs w:val="34"/>
          <w:u w:val="single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/>
        </w:rPr>
        <w:t>盖</w:t>
      </w:r>
      <w:r>
        <w:rPr>
          <w:rFonts w:ascii="楷体" w:hAnsi="楷体" w:eastAsia="楷体" w:cs="楷体"/>
          <w:spacing w:val="32"/>
          <w:sz w:val="34"/>
          <w:szCs w:val="34"/>
          <w:u w:val="single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/>
        </w:rPr>
        <w:t>章</w:t>
      </w:r>
      <w:r>
        <w:rPr>
          <w:rFonts w:ascii="楷体" w:hAnsi="楷体" w:eastAsia="楷体" w:cs="楷体"/>
          <w:spacing w:val="26"/>
          <w:sz w:val="34"/>
          <w:szCs w:val="34"/>
          <w:u w:val="single"/>
        </w:rPr>
        <w:t xml:space="preserve"> </w:t>
      </w:r>
      <w:r>
        <w:rPr>
          <w:rFonts w:ascii="楷体" w:hAnsi="楷体" w:eastAsia="楷体" w:cs="楷体"/>
          <w:spacing w:val="-36"/>
          <w:w w:val="99"/>
          <w:sz w:val="34"/>
          <w:szCs w:val="34"/>
          <w:u w:val="single"/>
        </w:rPr>
        <w:t>)</w:t>
      </w:r>
      <w:r>
        <w:rPr>
          <w:rFonts w:ascii="楷体" w:hAnsi="楷体" w:eastAsia="楷体" w:cs="楷体"/>
          <w:sz w:val="34"/>
          <w:szCs w:val="34"/>
          <w:u w:val="single"/>
        </w:rPr>
        <w:t xml:space="preserve">       </w:t>
      </w:r>
    </w:p>
    <w:p w14:paraId="20B66FA1">
      <w:pPr>
        <w:spacing w:before="292" w:line="225" w:lineRule="auto"/>
        <w:ind w:left="3046"/>
        <w:rPr>
          <w:rFonts w:ascii="楷体" w:hAnsi="楷体" w:eastAsia="楷体" w:cs="楷体"/>
          <w:spacing w:val="-11"/>
          <w:sz w:val="25"/>
          <w:szCs w:val="25"/>
        </w:rPr>
      </w:pPr>
    </w:p>
    <w:p w14:paraId="4390DEFA">
      <w:pPr>
        <w:spacing w:before="292" w:line="225" w:lineRule="auto"/>
        <w:ind w:firstLine="3420" w:firstLineChars="1500"/>
        <w:rPr>
          <w:rFonts w:ascii="楷体" w:hAnsi="楷体" w:eastAsia="楷体" w:cs="楷体"/>
          <w:sz w:val="25"/>
          <w:szCs w:val="25"/>
        </w:rPr>
      </w:pPr>
      <w:r>
        <w:rPr>
          <w:rFonts w:hint="eastAsia" w:ascii="楷体" w:hAnsi="楷体" w:eastAsia="楷体" w:cs="楷体"/>
          <w:spacing w:val="-11"/>
          <w:sz w:val="25"/>
          <w:szCs w:val="25"/>
          <w:lang w:eastAsia="zh-CN"/>
        </w:rPr>
        <w:t xml:space="preserve">2025 </w:t>
      </w:r>
      <w:r>
        <w:rPr>
          <w:rFonts w:ascii="楷体" w:hAnsi="楷体" w:eastAsia="楷体" w:cs="楷体"/>
          <w:spacing w:val="-11"/>
          <w:sz w:val="25"/>
          <w:szCs w:val="25"/>
        </w:rPr>
        <w:t>年</w:t>
      </w:r>
      <w:r>
        <w:rPr>
          <w:rFonts w:hint="eastAsia" w:ascii="楷体" w:hAnsi="楷体" w:eastAsia="楷体" w:cs="楷体"/>
          <w:spacing w:val="-11"/>
          <w:sz w:val="25"/>
          <w:szCs w:val="25"/>
          <w:lang w:eastAsia="zh-CN"/>
        </w:rPr>
        <w:t xml:space="preserve"> </w:t>
      </w:r>
      <w:r>
        <w:rPr>
          <w:rFonts w:hint="eastAsia" w:ascii="楷体" w:hAnsi="楷体" w:eastAsia="楷体" w:cs="楷体"/>
          <w:spacing w:val="11"/>
          <w:sz w:val="25"/>
          <w:szCs w:val="25"/>
          <w:lang w:eastAsia="zh-CN"/>
        </w:rPr>
        <w:t>4</w:t>
      </w:r>
      <w:r>
        <w:rPr>
          <w:rFonts w:ascii="楷体" w:hAnsi="楷体" w:eastAsia="楷体" w:cs="楷体"/>
          <w:spacing w:val="-11"/>
          <w:sz w:val="25"/>
          <w:szCs w:val="25"/>
        </w:rPr>
        <w:t>月</w:t>
      </w:r>
      <w:r>
        <w:rPr>
          <w:rFonts w:hint="eastAsia" w:ascii="楷体" w:hAnsi="楷体" w:eastAsia="楷体" w:cs="楷体"/>
          <w:spacing w:val="-11"/>
          <w:sz w:val="25"/>
          <w:szCs w:val="25"/>
          <w:lang w:eastAsia="zh-CN"/>
        </w:rPr>
        <w:t xml:space="preserve"> </w:t>
      </w:r>
      <w:r>
        <w:rPr>
          <w:rFonts w:hint="eastAsia" w:ascii="楷体" w:hAnsi="楷体" w:eastAsia="楷体" w:cs="楷体"/>
          <w:spacing w:val="26"/>
          <w:sz w:val="25"/>
          <w:szCs w:val="25"/>
          <w:lang w:eastAsia="zh-CN"/>
        </w:rPr>
        <w:t>17</w:t>
      </w:r>
      <w:r>
        <w:rPr>
          <w:rFonts w:ascii="楷体" w:hAnsi="楷体" w:eastAsia="楷体" w:cs="楷体"/>
          <w:spacing w:val="-11"/>
          <w:sz w:val="25"/>
          <w:szCs w:val="25"/>
        </w:rPr>
        <w:t>日</w:t>
      </w:r>
    </w:p>
    <w:p w14:paraId="55BF6CAA">
      <w:pPr>
        <w:spacing w:line="225" w:lineRule="auto"/>
        <w:rPr>
          <w:rFonts w:ascii="楷体" w:hAnsi="楷体" w:eastAsia="楷体" w:cs="楷体"/>
          <w:sz w:val="25"/>
          <w:szCs w:val="25"/>
        </w:rPr>
        <w:sectPr>
          <w:footerReference r:id="rId3" w:type="default"/>
          <w:pgSz w:w="11900" w:h="16830"/>
          <w:pgMar w:top="1088" w:right="1429" w:bottom="1020" w:left="1429" w:header="0" w:footer="939" w:gutter="0"/>
          <w:cols w:space="720" w:num="1"/>
        </w:sectPr>
      </w:pPr>
    </w:p>
    <w:p w14:paraId="3E464CA3">
      <w:pPr>
        <w:spacing w:line="245" w:lineRule="auto"/>
      </w:pPr>
    </w:p>
    <w:p w14:paraId="22859FE6">
      <w:pPr>
        <w:spacing w:line="246" w:lineRule="auto"/>
      </w:pPr>
    </w:p>
    <w:p w14:paraId="1EDAC561">
      <w:pPr>
        <w:spacing w:before="140" w:line="218" w:lineRule="auto"/>
        <w:jc w:val="center"/>
        <w:rPr>
          <w:rFonts w:ascii="宋体" w:hAnsi="宋体" w:eastAsia="宋体" w:cs="宋体"/>
          <w:b/>
          <w:bCs/>
          <w:spacing w:val="-7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20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eastAsia="zh-CN"/>
        </w:rPr>
        <w:t>24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年度</w:t>
      </w:r>
      <w:r>
        <w:rPr>
          <w:rFonts w:hint="eastAsia" w:ascii="宋体" w:hAnsi="宋体" w:eastAsia="宋体" w:cs="宋体"/>
          <w:b/>
          <w:bCs/>
          <w:spacing w:val="-7"/>
          <w:sz w:val="43"/>
          <w:szCs w:val="43"/>
          <w:lang w:eastAsia="zh-CN"/>
        </w:rPr>
        <w:t>鹤城区委政法委</w:t>
      </w: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整体支出</w:t>
      </w:r>
    </w:p>
    <w:p w14:paraId="617DEAC7">
      <w:pPr>
        <w:spacing w:before="140" w:line="218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b/>
          <w:bCs/>
          <w:spacing w:val="-7"/>
          <w:sz w:val="43"/>
          <w:szCs w:val="43"/>
        </w:rPr>
        <w:t>绩效自评报告</w:t>
      </w:r>
    </w:p>
    <w:p w14:paraId="6201AF24">
      <w:pPr>
        <w:spacing w:line="242" w:lineRule="auto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t xml:space="preserve"> </w:t>
      </w:r>
    </w:p>
    <w:p w14:paraId="46490F98">
      <w:pPr>
        <w:spacing w:line="243" w:lineRule="auto"/>
      </w:pPr>
    </w:p>
    <w:p w14:paraId="370A7511">
      <w:pPr>
        <w:spacing w:line="243" w:lineRule="auto"/>
      </w:pPr>
    </w:p>
    <w:p w14:paraId="02D7A320">
      <w:pPr>
        <w:keepNext w:val="0"/>
        <w:keepLines w:val="0"/>
        <w:pageBreakBefore w:val="0"/>
        <w:wordWrap/>
        <w:topLinePunct w:val="0"/>
        <w:bidi w:val="0"/>
        <w:spacing w:before="101" w:line="520" w:lineRule="exact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一、部门</w:t>
      </w:r>
      <w:r>
        <w:rPr>
          <w:rFonts w:hint="eastAsia" w:ascii="黑体" w:hAnsi="黑体" w:eastAsia="黑体" w:cs="黑体"/>
          <w:b/>
          <w:bCs/>
          <w:spacing w:val="2"/>
          <w:sz w:val="31"/>
          <w:szCs w:val="31"/>
          <w:lang w:eastAsia="zh-CN"/>
        </w:rPr>
        <w:t>基本</w:t>
      </w: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概况</w:t>
      </w:r>
    </w:p>
    <w:p w14:paraId="5AE3DD95">
      <w:pPr>
        <w:pStyle w:val="2"/>
        <w:keepNext w:val="0"/>
        <w:keepLines w:val="0"/>
        <w:pageBreakBefore w:val="0"/>
        <w:wordWrap/>
        <w:topLinePunct w:val="0"/>
        <w:bidi w:val="0"/>
        <w:spacing w:before="274" w:line="520" w:lineRule="exact"/>
        <w:ind w:left="710"/>
        <w:rPr>
          <w:spacing w:val="23"/>
        </w:rPr>
      </w:pPr>
      <w:r>
        <w:rPr>
          <w:spacing w:val="23"/>
        </w:rPr>
        <w:t>(一)机构、人员构成</w:t>
      </w:r>
    </w:p>
    <w:p w14:paraId="376D3E8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pacing w:val="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区政法委属全额拨款的行政单位，设8个股室，分别为为：办公室、政工室、维护稳定指导办公室、社会治安综合治理督导办公室、反邪教协调办公室、执法监督办公室、铁路护路联防办公室、宣传教育办公室。</w:t>
      </w:r>
    </w:p>
    <w:p w14:paraId="09ECCF2D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spacing w:val="23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年本单位年未实有人数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人，共有行政编制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</w:t>
      </w: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个，全额事业编制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人员24</w:t>
      </w:r>
      <w:r>
        <w:rPr>
          <w:rFonts w:hint="eastAsia" w:ascii="仿宋_GB2312" w:hAnsi="仿宋_GB2312" w:eastAsia="仿宋_GB2312" w:cs="仿宋_GB2312"/>
          <w:sz w:val="32"/>
          <w:szCs w:val="32"/>
        </w:rPr>
        <w:t>个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，人员与</w:t>
      </w:r>
      <w:r>
        <w:rPr>
          <w:rFonts w:hint="eastAsia" w:ascii="仿宋_GB2312" w:hAnsi="仿宋_GB2312" w:eastAsia="仿宋_GB2312" w:cs="仿宋_GB2312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sz w:val="32"/>
          <w:szCs w:val="32"/>
          <w:lang w:val="zh-CN"/>
        </w:rPr>
        <w:t>持平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。</w:t>
      </w:r>
    </w:p>
    <w:p w14:paraId="6270501F">
      <w:pPr>
        <w:pStyle w:val="2"/>
        <w:keepNext w:val="0"/>
        <w:keepLines w:val="0"/>
        <w:pageBreakBefore w:val="0"/>
        <w:numPr>
          <w:ilvl w:val="0"/>
          <w:numId w:val="1"/>
        </w:numPr>
        <w:wordWrap/>
        <w:topLinePunct w:val="0"/>
        <w:bidi w:val="0"/>
        <w:spacing w:before="263" w:line="520" w:lineRule="exact"/>
        <w:ind w:left="710"/>
        <w:rPr>
          <w:spacing w:val="25"/>
        </w:rPr>
      </w:pPr>
      <w:r>
        <w:rPr>
          <w:spacing w:val="25"/>
        </w:rPr>
        <w:t>单位主要职责</w:t>
      </w:r>
    </w:p>
    <w:p w14:paraId="48E3B086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根据党的路线方针和中央、省、市委政法委以及区委、区政府对政法综治工作的部署，统一政法综治各部门的思想和行动；</w:t>
      </w:r>
    </w:p>
    <w:p w14:paraId="635C233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对一定时期内的全区政法综治工作做出全局性部署，并督促贯彻落实；</w:t>
      </w:r>
    </w:p>
    <w:p w14:paraId="285C594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组织协调、指导维护全区社会稳定的工作；</w:t>
      </w:r>
    </w:p>
    <w:p w14:paraId="49B3002F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检查政法各部门执行法律、法规和党的方针、政策的情况，结合实际，研究制定严格执法、落实党的方针和政策的具体措施；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 </w:t>
      </w:r>
    </w:p>
    <w:p w14:paraId="0ED0472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大力支持和严格监督政法各部门依法行使职权，指导和协调政法各部门在依法相互制约的同时密切配合，督促、推动大案要案的查处工作，研究、协调有争议的重大疑难案件；</w:t>
      </w:r>
    </w:p>
    <w:p w14:paraId="0B063DB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组织、协调社会治安综合治理工作，推动各项措施的落实；开展全区禁毒工作、国家安全、民调工作；</w:t>
      </w:r>
    </w:p>
    <w:p w14:paraId="619143D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组织推动政法综治方面的调研和宣传工作，探索政法综治工作改革，研究政法综治工作理论、政策及有关重大问题；</w:t>
      </w:r>
    </w:p>
    <w:p w14:paraId="5225423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研究加强政法队伍建设和领导班子建设的措施；协助区委及其组织部门考察、管理区政法部门的领导干部；协助纪检、监察部门查处涉及政法领导干部的案件，加强政法干部队伍执法监督工作；</w:t>
      </w:r>
    </w:p>
    <w:p w14:paraId="1A32523E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指导各街道乡镇社会治安综合治理办公室的工作；</w:t>
      </w:r>
    </w:p>
    <w:p w14:paraId="290C1B57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eastAsia="仿宋_GB2312"/>
          <w:spacing w:val="25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(10)办理区委、区政府和市委政法委、市综治办交办的其他事项。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</w:t>
      </w:r>
    </w:p>
    <w:p w14:paraId="578D67E6">
      <w:pPr>
        <w:keepNext w:val="0"/>
        <w:keepLines w:val="0"/>
        <w:pageBreakBefore w:val="0"/>
        <w:wordWrap/>
        <w:topLinePunct w:val="0"/>
        <w:bidi w:val="0"/>
        <w:spacing w:before="267" w:line="520" w:lineRule="exact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2"/>
          <w:sz w:val="31"/>
          <w:szCs w:val="31"/>
        </w:rPr>
        <w:t>二、部门财务情况</w:t>
      </w:r>
    </w:p>
    <w:p w14:paraId="324FD228">
      <w:pPr>
        <w:pStyle w:val="2"/>
        <w:keepNext w:val="0"/>
        <w:keepLines w:val="0"/>
        <w:pageBreakBefore w:val="0"/>
        <w:wordWrap/>
        <w:topLinePunct w:val="0"/>
        <w:bidi w:val="0"/>
        <w:spacing w:before="271" w:line="520" w:lineRule="exact"/>
        <w:ind w:left="710"/>
        <w:rPr>
          <w:spacing w:val="22"/>
        </w:rPr>
      </w:pPr>
      <w:r>
        <w:rPr>
          <w:spacing w:val="22"/>
        </w:rPr>
        <w:t>(一)部门整体支出情况</w:t>
      </w:r>
    </w:p>
    <w:p w14:paraId="2233BF33">
      <w:pPr>
        <w:pStyle w:val="2"/>
        <w:keepNext w:val="0"/>
        <w:keepLines w:val="0"/>
        <w:pageBreakBefore w:val="0"/>
        <w:wordWrap/>
        <w:topLinePunct w:val="0"/>
        <w:bidi w:val="0"/>
        <w:spacing w:before="271" w:line="520" w:lineRule="exact"/>
        <w:ind w:firstLine="708" w:firstLineChars="200"/>
        <w:rPr>
          <w:spacing w:val="22"/>
          <w:lang w:eastAsia="zh-CN"/>
        </w:rPr>
      </w:pPr>
      <w:r>
        <w:rPr>
          <w:rFonts w:hint="eastAsia"/>
          <w:spacing w:val="22"/>
          <w:lang w:eastAsia="zh-CN"/>
        </w:rPr>
        <w:t>1、基本支出 基本支出绩效目标为531.42万元，实际支出520.9万元，完成绩效目标98.02%。</w:t>
      </w:r>
    </w:p>
    <w:p w14:paraId="02C49AE6">
      <w:pPr>
        <w:pStyle w:val="2"/>
        <w:keepNext w:val="0"/>
        <w:keepLines w:val="0"/>
        <w:pageBreakBefore w:val="0"/>
        <w:wordWrap/>
        <w:topLinePunct w:val="0"/>
        <w:bidi w:val="0"/>
        <w:spacing w:before="271" w:line="520" w:lineRule="exact"/>
        <w:ind w:firstLine="708" w:firstLineChars="200"/>
        <w:rPr>
          <w:spacing w:val="22"/>
          <w:lang w:eastAsia="zh-CN"/>
        </w:rPr>
      </w:pPr>
      <w:r>
        <w:rPr>
          <w:rFonts w:hint="eastAsia"/>
          <w:spacing w:val="22"/>
          <w:lang w:eastAsia="zh-CN"/>
        </w:rPr>
        <w:t>2、项目支出 项目支出绩效目标为701.19万元，实际支出627.48万元，完成绩效目标8</w:t>
      </w:r>
      <w:r>
        <w:rPr>
          <w:rFonts w:hint="eastAsia"/>
          <w:spacing w:val="22"/>
          <w:lang w:val="en-US" w:eastAsia="zh-CN"/>
        </w:rPr>
        <w:t>9.49</w:t>
      </w:r>
      <w:r>
        <w:rPr>
          <w:rFonts w:hint="eastAsia"/>
          <w:spacing w:val="22"/>
          <w:lang w:eastAsia="zh-CN"/>
        </w:rPr>
        <w:t>%。</w:t>
      </w:r>
    </w:p>
    <w:p w14:paraId="3E59D05F">
      <w:pPr>
        <w:pStyle w:val="2"/>
        <w:keepNext w:val="0"/>
        <w:keepLines w:val="0"/>
        <w:pageBreakBefore w:val="0"/>
        <w:wordWrap/>
        <w:topLinePunct w:val="0"/>
        <w:bidi w:val="0"/>
        <w:spacing w:before="271" w:line="520" w:lineRule="exact"/>
        <w:ind w:firstLine="700" w:firstLineChars="200"/>
        <w:rPr>
          <w:spacing w:val="20"/>
        </w:rPr>
      </w:pPr>
      <w:r>
        <w:rPr>
          <w:spacing w:val="20"/>
        </w:rPr>
        <w:t>(二)部门预算收支决算情况</w:t>
      </w:r>
    </w:p>
    <w:p w14:paraId="70536845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2024年中共怀化市鹤城区委政法委员会财政拨款结转和结余0.00万元，其中一般公共预算财政拨款结转和结余</w:t>
      </w:r>
      <w:r>
        <w:rPr>
          <w:rFonts w:hint="eastAsia"/>
          <w:spacing w:val="5"/>
          <w:lang w:eastAsia="zh-CN"/>
        </w:rPr>
        <w:tab/>
      </w:r>
      <w:r>
        <w:rPr>
          <w:rFonts w:hint="eastAsia"/>
          <w:spacing w:val="5"/>
          <w:lang w:eastAsia="zh-CN"/>
        </w:rPr>
        <w:t>0.00万元，国有资本经营预算财政拨款结转和结余0.00万元。</w:t>
      </w:r>
    </w:p>
    <w:p w14:paraId="4F305F4A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2024年度财政拨款收入为1108.99万元。与2023年度相比，下降26.88%。其中，一般公共预算基本支出财政拨款收入520.90万元，占一般公共预算财政拨款收入的46.97%。一般公共预算项目支出财政拨款收入627.48万元，占一般公共预算财政拨款收入的56.58%。其中：基本建设类项目一般公共预算财政拨款收入0.00万元, 占一般公共预算财政拨款收入的0.00%。</w:t>
      </w:r>
    </w:p>
    <w:p w14:paraId="5D159B06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2024年度财政拨款支出为1108.99万元。与2023年度相比，下降26.88%。其中：一般公共预算财政拨款支出1108.99万元，国有资本经营预算财政拨款支出0.00万元。一般公共预算财政拨款基本支出为520.90万元。与2023年度相比，增长7.5%，一般公共预算财政拨款项目支出为588.09万元。与2023年度相比，下降43.4%，其中：基本建设类项目一般公共预算财政拨款支出为0.00万元。与2023年度相比，持平。</w:t>
      </w:r>
    </w:p>
    <w:p w14:paraId="70482DEA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2024年度年末财政拨款结转和结余为0.00万元。与2023年度相比，持平。其中一般公共预算财政拨款结转结余0.00万元（基本支出结转万元，项目支出结转万元，项目支出结余万元），2024年一般公共预算财政拨款结转结与2023年度相比，持平，2024年度国有资本经营预算财政拨款结转为0.00万元，与2023年度相比持平。</w:t>
      </w:r>
    </w:p>
    <w:p w14:paraId="798A4A7D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2024年度非财政拨款收入合计为0.00万元，与2023年度相比，持平。其中：事业收入为0.00万元，与2023年度相比，持平；经营收入为0.00万元，与2023年度相比，持平；其他收入为39.39万元，与2023年度相比，持平。</w:t>
      </w:r>
    </w:p>
    <w:p w14:paraId="0BDC7C93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(三)“三公经费”支出使用和管理情况</w:t>
      </w:r>
    </w:p>
    <w:p w14:paraId="7014D8A7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鹤城区委政法委员会2024年度“三公”经费财政拨款支出0.49万元，其中：因公出国（境）支出0.00万元，公务用车购置及运行维护费支出0.00万元，公务接待费支出0.49万元，本单位公务接待支出均按照文件要求严格执行。</w:t>
      </w:r>
    </w:p>
    <w:p w14:paraId="6E6F2836">
      <w:pPr>
        <w:keepNext w:val="0"/>
        <w:keepLines w:val="0"/>
        <w:pageBreakBefore w:val="0"/>
        <w:wordWrap/>
        <w:topLinePunct w:val="0"/>
        <w:bidi w:val="0"/>
        <w:spacing w:before="252" w:line="520" w:lineRule="exact"/>
        <w:ind w:left="574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-2"/>
          <w:sz w:val="31"/>
          <w:szCs w:val="31"/>
        </w:rPr>
        <w:t>三、部门绩效目标</w:t>
      </w:r>
    </w:p>
    <w:p w14:paraId="7055C618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left="710"/>
        <w:rPr>
          <w:spacing w:val="5"/>
        </w:rPr>
      </w:pPr>
      <w:r>
        <w:rPr>
          <w:spacing w:val="5"/>
        </w:rPr>
        <w:t>(一)部门绩效总目标</w:t>
      </w:r>
    </w:p>
    <w:p w14:paraId="2520C87C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1、政治安全大局保持稳定。平安指数≥90分，民调、平安建设宣传覆盖率≥90%。</w:t>
      </w:r>
    </w:p>
    <w:p w14:paraId="03D3F42C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2、信访维稳形势持续向好，化解矛盾纠纷≥2000起，矛盾化解成功率≥95%。</w:t>
      </w:r>
    </w:p>
    <w:p w14:paraId="29FD7125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left="71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3、雪亮工程监控探头网络租赁、线路维保。</w:t>
      </w:r>
    </w:p>
    <w:p w14:paraId="437CF570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left="71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4、开展《反有组织犯罪法》等宣传。</w:t>
      </w:r>
    </w:p>
    <w:p w14:paraId="76F7E6A1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left="710"/>
        <w:rPr>
          <w:rFonts w:hint="eastAsia"/>
          <w:spacing w:val="5"/>
          <w:lang w:eastAsia="zh-CN"/>
        </w:rPr>
      </w:pPr>
      <w:r>
        <w:rPr>
          <w:rFonts w:hint="eastAsia"/>
          <w:spacing w:val="5"/>
          <w:lang w:eastAsia="zh-CN"/>
        </w:rPr>
        <w:t>(二)2024年度部门绩效目标</w:t>
      </w:r>
    </w:p>
    <w:p w14:paraId="0F63B60F">
      <w:pPr>
        <w:pStyle w:val="2"/>
        <w:keepNext w:val="0"/>
        <w:keepLines w:val="0"/>
        <w:pageBreakBefore w:val="0"/>
        <w:wordWrap/>
        <w:topLinePunct w:val="0"/>
        <w:bidi w:val="0"/>
        <w:spacing w:before="269"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理涉法涉诉案件≥20起；接待涉法涉诉群众来信来访≥300人；受理司法救助案件≥10件；收缴清理反宣资料≥5000份；全区铁路沿线隐患排查；铁路沿线隐患排查频率≥3次/周；铁路沿线隐患排查204.2公里；调处各类矛盾纠纷≥2000起；组织开展专项安保维稳工作≥3次；肇事肇祸精神障碍患者保险覆盖率100%；全区1338个雪亮工程监控探头网络租赁、线路维保。</w:t>
      </w:r>
    </w:p>
    <w:p w14:paraId="78A76A72">
      <w:pPr>
        <w:keepNext w:val="0"/>
        <w:keepLines w:val="0"/>
        <w:pageBreakBefore w:val="0"/>
        <w:numPr>
          <w:ilvl w:val="0"/>
          <w:numId w:val="3"/>
        </w:numPr>
        <w:wordWrap/>
        <w:topLinePunct w:val="0"/>
        <w:bidi w:val="0"/>
        <w:spacing w:before="279" w:line="520" w:lineRule="exact"/>
        <w:ind w:left="570"/>
        <w:rPr>
          <w:rFonts w:ascii="黑体" w:hAnsi="黑体" w:eastAsia="黑体" w:cs="黑体"/>
          <w:b/>
          <w:bCs/>
          <w:spacing w:val="4"/>
          <w:sz w:val="31"/>
          <w:szCs w:val="31"/>
        </w:rPr>
      </w:pPr>
      <w:r>
        <w:rPr>
          <w:rFonts w:ascii="黑体" w:hAnsi="黑体" w:eastAsia="黑体" w:cs="黑体"/>
          <w:b/>
          <w:bCs/>
          <w:spacing w:val="4"/>
          <w:sz w:val="31"/>
          <w:szCs w:val="31"/>
        </w:rPr>
        <w:t>绩效评价工作情况</w:t>
      </w:r>
    </w:p>
    <w:p w14:paraId="29C5B054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绩效评价工作启动以来，区委政法委高度重视，将其作为提升工作效能、优化政法服务、推动平安建设的重要抓手。成立了由委主要领导任组长的绩效评价工作领导小组，制定详细的工作方案，明确评价目标、范围、标准和流程，确保绩效评价工作有序推进。通过全员动员、层层部署，将绩效评价工作要求传达到每一个科室和每位工作人员，营造了“以评促改、以评促建”的良好氛围。</w:t>
      </w:r>
    </w:p>
    <w:p w14:paraId="157F6371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我单位实际开展业务情况分别设置相应的绩效目标，如受理涉法涉诉案件数、接待涉法涉诉群众来信来访人数、接待处理上访人数、受理司法救助案件件数、发放反邪宣传资料份数、组织反邪教宣传场数、铁路沿线隐患排查公里数、排查率、普法等方面宣传人数、肇事肇祸精神障碍患者强制送医治疗人数等的数量指标，矛盾纠纷调解成功率、民调走访率、摸排线索执行率、全区收到各类线索结办率、政府采购规范率的质量指标，组织各科室对照绩效评价指标，对本科室年度工作开展情况进行全面梳理和自评，总结成绩，查找不足，形成自评报告，积极配合上级政法委和相关部门的考核检查，认真落实考评反馈意见，将上级考评结果作为重要参考依据。加</w:t>
      </w:r>
      <w:r>
        <w:rPr>
          <w:rFonts w:ascii="仿宋_GB2312" w:hAnsi="仿宋_GB2312" w:eastAsia="仿宋_GB2312" w:cs="仿宋_GB2312"/>
          <w:sz w:val="32"/>
          <w:szCs w:val="32"/>
          <w:lang w:eastAsia="zh-CN"/>
        </w:rPr>
        <w:t>强对重点工作、关键环节的监督检查，确保各项工作按照时间节点和质量要求有序推进。</w:t>
      </w:r>
    </w:p>
    <w:p w14:paraId="7AFFF31B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ascii="仿宋_GB2312" w:hAnsi="仿宋_GB2312" w:eastAsia="仿宋_GB2312" w:cs="仿宋_GB2312"/>
          <w:sz w:val="32"/>
          <w:szCs w:val="32"/>
          <w:lang w:eastAsia="zh-CN"/>
        </w:rPr>
        <w:t>通过绩效评价，各科室和工作人员的责任意识、效率意识明显增强，工作积极性和主动性得到充分调动。在矛盾纠纷化解、社会治安防控等工作中，形成了快速响应、高效处置的工作机制，一批群众反映强烈的突出问题得到有效解决，工作效率和质量大幅提升。</w:t>
      </w:r>
    </w:p>
    <w:p w14:paraId="30CB540A">
      <w:pPr>
        <w:keepNext w:val="0"/>
        <w:keepLines w:val="0"/>
        <w:pageBreakBefore w:val="0"/>
        <w:numPr>
          <w:ilvl w:val="0"/>
          <w:numId w:val="3"/>
        </w:numPr>
        <w:wordWrap/>
        <w:topLinePunct w:val="0"/>
        <w:bidi w:val="0"/>
        <w:spacing w:before="250" w:line="520" w:lineRule="exact"/>
        <w:ind w:left="570"/>
        <w:rPr>
          <w:rFonts w:ascii="黑体" w:hAnsi="黑体" w:eastAsia="黑体" w:cs="黑体"/>
          <w:b/>
          <w:bCs/>
          <w:spacing w:val="3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综合评价结果</w:t>
      </w:r>
    </w:p>
    <w:p w14:paraId="5FA99694">
      <w:pPr>
        <w:pStyle w:val="2"/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620" w:firstLineChars="200"/>
        <w:rPr>
          <w:rFonts w:ascii="黑体" w:hAnsi="黑体" w:eastAsia="黑体" w:cs="黑体"/>
          <w:b/>
          <w:bCs/>
          <w:spacing w:val="3"/>
        </w:rPr>
      </w:pPr>
      <w:r>
        <w:rPr>
          <w:rFonts w:hint="eastAsia"/>
          <w:spacing w:val="-5"/>
          <w:sz w:val="32"/>
          <w:szCs w:val="32"/>
          <w:lang w:eastAsia="zh-CN"/>
        </w:rPr>
        <w:t>自评得分为</w:t>
      </w:r>
      <w:r>
        <w:rPr>
          <w:rFonts w:hint="eastAsia"/>
          <w:spacing w:val="-5"/>
          <w:sz w:val="32"/>
          <w:szCs w:val="32"/>
          <w:lang w:val="en-US" w:eastAsia="zh-CN"/>
        </w:rPr>
        <w:t>97.3</w:t>
      </w:r>
      <w:bookmarkStart w:id="0" w:name="_GoBack"/>
      <w:bookmarkEnd w:id="0"/>
      <w:r>
        <w:rPr>
          <w:rFonts w:hint="eastAsia"/>
          <w:spacing w:val="-5"/>
          <w:sz w:val="32"/>
          <w:szCs w:val="32"/>
          <w:lang w:eastAsia="zh-CN"/>
        </w:rPr>
        <w:t>分，评价结论为优秀</w:t>
      </w:r>
      <w:r>
        <w:rPr>
          <w:spacing w:val="-5"/>
          <w:sz w:val="32"/>
          <w:szCs w:val="32"/>
          <w:lang w:eastAsia="zh-CN"/>
        </w:rPr>
        <w:t>。</w:t>
      </w:r>
    </w:p>
    <w:p w14:paraId="7F7AF52D">
      <w:pPr>
        <w:pStyle w:val="8"/>
        <w:keepNext w:val="0"/>
        <w:keepLines w:val="0"/>
        <w:pageBreakBefore w:val="0"/>
        <w:numPr>
          <w:ilvl w:val="0"/>
          <w:numId w:val="3"/>
        </w:numPr>
        <w:wordWrap/>
        <w:topLinePunct w:val="0"/>
        <w:bidi w:val="0"/>
        <w:spacing w:line="520" w:lineRule="exact"/>
        <w:ind w:left="570"/>
        <w:rPr>
          <w:rFonts w:ascii="黑体" w:hAnsi="黑体" w:eastAsia="黑体" w:cs="黑体"/>
          <w:b/>
          <w:bCs/>
          <w:spacing w:val="6"/>
          <w:sz w:val="31"/>
          <w:szCs w:val="31"/>
        </w:rPr>
      </w:pPr>
      <w:r>
        <w:rPr>
          <w:rFonts w:ascii="黑体" w:hAnsi="黑体" w:eastAsia="黑体" w:cs="黑体"/>
          <w:b/>
          <w:bCs/>
          <w:spacing w:val="6"/>
          <w:sz w:val="31"/>
          <w:szCs w:val="31"/>
        </w:rPr>
        <w:t>部门整体支出绩效情况</w:t>
      </w:r>
    </w:p>
    <w:p w14:paraId="00111A9F">
      <w:pPr>
        <w:pStyle w:val="8"/>
        <w:keepNext w:val="0"/>
        <w:keepLines w:val="0"/>
        <w:pageBreakBefore w:val="0"/>
        <w:wordWrap/>
        <w:topLinePunct w:val="0"/>
        <w:bidi w:val="0"/>
        <w:spacing w:line="520" w:lineRule="exact"/>
        <w:ind w:firstLine="632" w:firstLineChars="200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经济性分析:雪亮工程建设项目依法采用公开招投标方式组织项目实施，其他项目的支出通过湖南省电子采购平台采购。雪亮工程建设项目依法采用公开招投标方式组织项目实施，选取价格最低者中标。社会治安综合治理项目中，2021年度重点民生实事项目乡村雪亮工程设备采购第三方检测、雪亮工程建设</w:t>
      </w:r>
      <w:r>
        <w:fldChar w:fldCharType="begin"/>
      </w:r>
      <w:r>
        <w:instrText xml:space="preserve"> HYPERLINK "https://hunan.zcygov.cn/items/273130543484928" \l "/buyer/order-detail/_blank" \t "https://order.zcygov.cn/trading-backstage/" </w:instrText>
      </w:r>
      <w:r>
        <w:fldChar w:fldCharType="separate"/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编制可行性研究报告</w:t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、鹤城区2022年省重点民生实事中小学安防设施建设项目信息化工程监理服务、雪亮工程四期维护等均通过湖南省电子采购平台竞价采购，选取价格最低者中标。目前鹤城区已建成雪亮工程监控探头1338个，每年需要支付电费、网络租赁费、维修维保费，才能确保正常使用。根据上级要求，2024年新增了雪亮工程监控探头数量。</w:t>
      </w:r>
    </w:p>
    <w:p w14:paraId="53B58EAA">
      <w:pPr>
        <w:pStyle w:val="8"/>
        <w:keepNext w:val="0"/>
        <w:keepLines w:val="0"/>
        <w:pageBreakBefore w:val="0"/>
        <w:wordWrap/>
        <w:topLinePunct w:val="0"/>
        <w:bidi w:val="0"/>
        <w:spacing w:line="520" w:lineRule="exact"/>
        <w:ind w:firstLine="632" w:firstLineChars="200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效率性分析: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</w:rPr>
        <w:t xml:space="preserve"> 截止2024年底，除雪亮工程外，其余项目已全部完成。项目完成质量良好。</w:t>
      </w:r>
    </w:p>
    <w:p w14:paraId="1743C270">
      <w:pPr>
        <w:pStyle w:val="8"/>
        <w:keepNext w:val="0"/>
        <w:keepLines w:val="0"/>
        <w:pageBreakBefore w:val="0"/>
        <w:wordWrap/>
        <w:topLinePunct w:val="0"/>
        <w:bidi w:val="0"/>
        <w:spacing w:line="520" w:lineRule="exact"/>
        <w:ind w:firstLine="632" w:firstLineChars="200"/>
        <w:rPr>
          <w:rFonts w:hint="eastAsia" w:ascii="仿宋_GB2312" w:hAnsi="仿宋_GB2312" w:eastAsia="仿宋_GB2312" w:cs="仿宋_GB2312"/>
          <w:spacing w:val="-2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2"/>
          <w:sz w:val="32"/>
          <w:szCs w:val="32"/>
        </w:rPr>
        <w:t>有效性分析:铁路安全案件发生率下降；网络安全问题发生率下降；优化社会风气；涉法涉诉信访案件困难群众人数减少；宣传教育覆盖率大于90%；全区全年化解矛盾纠纷2000余起；净化网络环境；社会环境稳定;提供就业岗位多个；因肇事肇祸精神障碍患者引起的经济损失减少。</w:t>
      </w:r>
    </w:p>
    <w:p w14:paraId="118A0A27">
      <w:pPr>
        <w:pStyle w:val="2"/>
        <w:keepNext w:val="0"/>
        <w:keepLines w:val="0"/>
        <w:pageBreakBefore w:val="0"/>
        <w:wordWrap/>
        <w:topLinePunct w:val="0"/>
        <w:bidi w:val="0"/>
        <w:spacing w:line="520" w:lineRule="exact"/>
        <w:ind w:firstLine="632" w:firstLineChars="200"/>
        <w:rPr>
          <w:rFonts w:ascii="黑体" w:hAnsi="黑体" w:eastAsia="黑体" w:cs="黑体"/>
          <w:b/>
          <w:bCs/>
        </w:rPr>
      </w:pPr>
      <w:r>
        <w:rPr>
          <w:rFonts w:hint="eastAsia" w:ascii="仿宋_GB2312" w:hAnsi="仿宋_GB2312" w:eastAsia="仿宋_GB2312" w:cs="仿宋_GB2312"/>
          <w:color w:val="auto"/>
          <w:spacing w:val="-2"/>
          <w:sz w:val="32"/>
          <w:szCs w:val="32"/>
        </w:rPr>
        <w:t>可持续性分析:均建立长效机制。</w:t>
      </w:r>
    </w:p>
    <w:p w14:paraId="0FBBCF62">
      <w:pPr>
        <w:pStyle w:val="2"/>
        <w:keepNext w:val="0"/>
        <w:keepLines w:val="0"/>
        <w:pageBreakBefore w:val="0"/>
        <w:numPr>
          <w:ilvl w:val="0"/>
          <w:numId w:val="3"/>
        </w:numPr>
        <w:wordWrap/>
        <w:topLinePunct w:val="0"/>
        <w:bidi w:val="0"/>
        <w:spacing w:line="520" w:lineRule="exact"/>
        <w:ind w:left="570"/>
        <w:rPr>
          <w:rFonts w:ascii="黑体" w:hAnsi="黑体" w:eastAsia="黑体" w:cs="黑体"/>
          <w:b/>
          <w:bCs/>
          <w:spacing w:val="5"/>
        </w:rPr>
      </w:pPr>
      <w:r>
        <w:rPr>
          <w:rFonts w:ascii="黑体" w:hAnsi="黑体" w:eastAsia="黑体" w:cs="黑体"/>
          <w:b/>
          <w:bCs/>
          <w:spacing w:val="5"/>
        </w:rPr>
        <w:t>存在的主要问题及原因分析</w:t>
      </w:r>
    </w:p>
    <w:p w14:paraId="3D92B677">
      <w:pPr>
        <w:pStyle w:val="2"/>
        <w:keepNext w:val="0"/>
        <w:keepLines w:val="0"/>
        <w:pageBreakBefore w:val="0"/>
        <w:wordWrap/>
        <w:topLinePunct w:val="0"/>
        <w:bidi w:val="0"/>
        <w:spacing w:line="52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预算执行率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，主要是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财政紧张，</w:t>
      </w:r>
      <w:r>
        <w:rPr>
          <w:rFonts w:hint="eastAsia" w:ascii="仿宋_GB2312" w:hAnsi="仿宋_GB2312" w:eastAsia="仿宋_GB2312" w:cs="仿宋_GB2312"/>
          <w:sz w:val="32"/>
          <w:szCs w:val="32"/>
        </w:rPr>
        <w:t>雪亮工程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本年度应支付的资金未能及时支付，导致预算执行率不足</w:t>
      </w:r>
      <w:r>
        <w:rPr>
          <w:rFonts w:hint="eastAsia" w:ascii="仿宋_GB2312" w:hAnsi="仿宋_GB2312" w:eastAsia="仿宋_GB2312" w:cs="仿宋_GB2312"/>
          <w:sz w:val="32"/>
          <w:szCs w:val="32"/>
        </w:rPr>
        <w:t>，影响整体绩效评价。</w:t>
      </w:r>
    </w:p>
    <w:p w14:paraId="0A13221D">
      <w:pPr>
        <w:pStyle w:val="2"/>
        <w:keepNext w:val="0"/>
        <w:keepLines w:val="0"/>
        <w:pageBreakBefore w:val="0"/>
        <w:wordWrap/>
        <w:topLinePunct w:val="0"/>
        <w:bidi w:val="0"/>
        <w:spacing w:line="520" w:lineRule="exact"/>
        <w:ind w:firstLine="634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b/>
          <w:bCs/>
          <w:spacing w:val="3"/>
          <w:sz w:val="31"/>
          <w:szCs w:val="31"/>
        </w:rPr>
        <w:t>八、有关建议</w:t>
      </w:r>
    </w:p>
    <w:p w14:paraId="01C0B1E8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在平时工作中进一步加强对绩效目标监控的重视，时刻与财务工作挂钩，做到及时监控，及时控制，避免疏忽。</w:t>
      </w:r>
    </w:p>
    <w:p w14:paraId="1631EB93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设置合理有效的绩效目标监控机制，合理安排经费和各项资金，使其物尽其用。</w:t>
      </w:r>
    </w:p>
    <w:p w14:paraId="2BF348B5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细化预算编制工作，认真做好预算的编制。进一步加强内部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。</w:t>
      </w:r>
    </w:p>
    <w:p w14:paraId="3E04900C"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bidi w:val="0"/>
        <w:spacing w:line="520" w:lineRule="exact"/>
        <w:ind w:firstLine="588" w:firstLineChars="200"/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pacing w:val="-13"/>
          <w:sz w:val="32"/>
          <w:szCs w:val="32"/>
          <w:lang w:eastAsia="zh-CN"/>
        </w:rPr>
        <w:t>加强项目开展进度的跟踪，开展项目绩效评价，确保项目绩效目标的完成。</w:t>
      </w:r>
    </w:p>
    <w:p w14:paraId="6FAA652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69977D"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1866B1"/>
    <w:multiLevelType w:val="singleLevel"/>
    <w:tmpl w:val="C51866B1"/>
    <w:lvl w:ilvl="0" w:tentative="0">
      <w:start w:val="2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10417EC3"/>
    <w:multiLevelType w:val="singleLevel"/>
    <w:tmpl w:val="10417EC3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7B3A72A"/>
    <w:multiLevelType w:val="singleLevel"/>
    <w:tmpl w:val="77B3A72A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B69B8"/>
    <w:rsid w:val="00BB69B8"/>
    <w:rsid w:val="00DE3C0E"/>
    <w:rsid w:val="15B51DD8"/>
    <w:rsid w:val="17053B7B"/>
    <w:rsid w:val="266764CE"/>
    <w:rsid w:val="2A642372"/>
    <w:rsid w:val="6450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7"/>
    <w:uiPriority w:val="0"/>
    <w:pPr>
      <w:tabs>
        <w:tab w:val="center" w:pos="4153"/>
        <w:tab w:val="right" w:pos="8306"/>
      </w:tabs>
    </w:pPr>
    <w:rPr>
      <w:sz w:val="18"/>
    </w:rPr>
  </w:style>
  <w:style w:type="character" w:customStyle="1" w:styleId="6">
    <w:name w:val="正文文本 Char"/>
    <w:basedOn w:val="5"/>
    <w:link w:val="2"/>
    <w:semiHidden/>
    <w:qFormat/>
    <w:uiPriority w:val="0"/>
    <w:rPr>
      <w:rFonts w:ascii="仿宋" w:hAnsi="仿宋" w:eastAsia="仿宋" w:cs="仿宋"/>
      <w:snapToGrid w:val="0"/>
      <w:color w:val="000000"/>
      <w:kern w:val="0"/>
      <w:sz w:val="31"/>
      <w:szCs w:val="31"/>
      <w:lang w:eastAsia="en-US"/>
    </w:rPr>
  </w:style>
  <w:style w:type="character" w:customStyle="1" w:styleId="7">
    <w:name w:val="页脚 Char"/>
    <w:basedOn w:val="5"/>
    <w:link w:val="3"/>
    <w:qFormat/>
    <w:uiPriority w:val="0"/>
    <w:rPr>
      <w:rFonts w:ascii="Arial" w:hAnsi="Arial" w:eastAsia="Arial" w:cs="Arial"/>
      <w:snapToGrid w:val="0"/>
      <w:color w:val="000000"/>
      <w:kern w:val="0"/>
      <w:sz w:val="18"/>
      <w:szCs w:val="21"/>
      <w:lang w:eastAsia="en-US"/>
    </w:rPr>
  </w:style>
  <w:style w:type="paragraph" w:styleId="8">
    <w:name w:val="No Spacing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3250</Words>
  <Characters>3534</Characters>
  <Lines>26</Lines>
  <Paragraphs>7</Paragraphs>
  <TotalTime>1</TotalTime>
  <ScaleCrop>false</ScaleCrop>
  <LinksUpToDate>false</LinksUpToDate>
  <CharactersWithSpaces>3565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2025-04-23T12:45:00Z</dcterms:created>
  <dc:creator>Administrator</dc:creator>
  <cp:lastModifiedBy>2+3</cp:lastModifiedBy>
  <cp:lastPrinted>2025-04-27T00:30:00Z</cp:lastPrinted>
  <dcterms:modified xsi:type="dcterms:W3CDTF">2025-10-13T04:41:43Z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eyJoZGlkIjoiZjNiN2QxYzE1ZjAyZDc2Y2EyNjc0NGE0MjkxZDA0MjEiLCJ1c2VySWQiOiI1NTY4MDIyMjEifQ==</vt:lpwstr>
  </property>
  <property fmtid="{D5CDD505-2E9C-101B-9397-08002B2CF9AE}" pid="3" name="KSOProductBuildVer">
    <vt:lpwstr>2052-12.1.0.23125</vt:lpwstr>
  </property>
  <property fmtid="{D5CDD505-2E9C-101B-9397-08002B2CF9AE}" pid="4" name="ICV">
    <vt:lpwstr>BE7A86A03F504C699906FACD2978BF98_12</vt:lpwstr>
  </property>
</Properties>
</file>