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F4B53">
      <w:pPr>
        <w:spacing w:line="244" w:lineRule="auto"/>
        <w:rPr>
          <w:rFonts w:hint="eastAsia"/>
        </w:rPr>
      </w:pPr>
      <w:r>
        <w:t xml:space="preserve"> </w:t>
      </w:r>
    </w:p>
    <w:p w14:paraId="1E7D5838">
      <w:pPr>
        <w:spacing w:line="244" w:lineRule="auto"/>
      </w:pPr>
      <w:r>
        <w:t xml:space="preserve"> </w:t>
      </w:r>
    </w:p>
    <w:p w14:paraId="2C2CCF2C">
      <w:pPr>
        <w:spacing w:before="140"/>
        <w:ind w:left="816"/>
        <w:rPr>
          <w:rFonts w:ascii="宋体" w:hAnsi="宋体"/>
          <w:sz w:val="43"/>
          <w:szCs w:val="43"/>
        </w:rPr>
      </w:pPr>
      <w:r>
        <w:rPr>
          <w:rFonts w:hint="eastAsia" w:ascii="宋体" w:hAnsi="宋体"/>
          <w:b/>
          <w:bCs/>
          <w:spacing w:val="-7"/>
          <w:sz w:val="43"/>
          <w:szCs w:val="43"/>
        </w:rPr>
        <w:t>2024年度</w:t>
      </w:r>
      <w:r>
        <w:rPr>
          <w:rFonts w:hint="eastAsia" w:ascii="Times New Roman" w:hAnsi="Times New Roman" w:cs="Times New Roman"/>
          <w:b/>
          <w:bCs/>
          <w:spacing w:val="-7"/>
          <w:sz w:val="43"/>
          <w:szCs w:val="43"/>
          <w:lang w:eastAsia="zh-CN"/>
        </w:rPr>
        <w:t>鹤城区民政局</w:t>
      </w:r>
      <w:r>
        <w:rPr>
          <w:rFonts w:hint="eastAsia" w:ascii="宋体" w:hAnsi="宋体"/>
          <w:b/>
          <w:bCs/>
          <w:spacing w:val="-7"/>
          <w:sz w:val="43"/>
          <w:szCs w:val="43"/>
        </w:rPr>
        <w:t>整体支出绩效自评报告</w:t>
      </w:r>
    </w:p>
    <w:p w14:paraId="152EB88A">
      <w:pPr>
        <w:spacing w:line="242" w:lineRule="auto"/>
      </w:pPr>
      <w:r>
        <w:t xml:space="preserve"> </w:t>
      </w:r>
    </w:p>
    <w:p w14:paraId="1F848CBF">
      <w:pPr>
        <w:spacing w:line="242" w:lineRule="auto"/>
      </w:pPr>
      <w:r>
        <w:t xml:space="preserve"> </w:t>
      </w:r>
    </w:p>
    <w:p w14:paraId="1BE70173">
      <w:pPr>
        <w:spacing w:before="101"/>
        <w:ind w:left="574"/>
        <w:outlineLvl w:val="2"/>
        <w:rPr>
          <w:rFonts w:ascii="黑体" w:hAnsi="黑体" w:eastAsia="黑体"/>
          <w:sz w:val="31"/>
          <w:szCs w:val="31"/>
        </w:rPr>
      </w:pPr>
      <w:r>
        <w:rPr>
          <w:rFonts w:hint="eastAsia" w:ascii="黑体" w:hAnsi="黑体" w:eastAsia="黑体"/>
          <w:b/>
          <w:bCs/>
          <w:spacing w:val="2"/>
          <w:sz w:val="31"/>
          <w:szCs w:val="31"/>
        </w:rPr>
        <w:t>一、部门基本概况</w:t>
      </w:r>
    </w:p>
    <w:p w14:paraId="6A60C4ED">
      <w:pPr>
        <w:pStyle w:val="4"/>
        <w:spacing w:before="274"/>
        <w:ind w:left="710"/>
        <w:rPr>
          <w:rFonts w:hint="eastAsia"/>
          <w:spacing w:val="23"/>
          <w:lang w:eastAsia="zh-CN"/>
        </w:rPr>
      </w:pPr>
      <w:r>
        <w:rPr>
          <w:rFonts w:hint="eastAsia"/>
          <w:spacing w:val="23"/>
        </w:rPr>
        <w:t>(一)机构、人员构成</w:t>
      </w:r>
      <w:r>
        <w:rPr>
          <w:rFonts w:hint="eastAsia"/>
          <w:spacing w:val="23"/>
          <w:lang w:eastAsia="zh-CN"/>
        </w:rPr>
        <w:t>：</w:t>
      </w:r>
    </w:p>
    <w:p w14:paraId="29F9F1C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 xml:space="preserve">怀化市鹤城区民政局机关内设5个股室：办公室（政策法规股、人事财务股、安全生产监督股），社会组织管理股（行政审批股、区划地名和慈善事业促进股），社会救助股，社会事务股（殡葬执法监督股），养老服务和儿童福利股（老龄工作股）。 </w:t>
      </w:r>
    </w:p>
    <w:p w14:paraId="5749EBD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怀化市鹤城区民政局设有4个局属全额事业二级机构(股级)：区民政事务中心、区特困家庭大病医疗慈善救助服务中心、区社会福利院、区婚姻登记服务中心；</w:t>
      </w:r>
    </w:p>
    <w:p w14:paraId="5F17D57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截止2024年12月单位现有局领导班子成员4人，干部职工100人，其中：在职61人（自收自支1人），退休39人。</w:t>
      </w:r>
    </w:p>
    <w:p w14:paraId="01565C0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单位主要职责：</w:t>
      </w:r>
    </w:p>
    <w:p w14:paraId="36CA41A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怀化市鹤城区民政局成立于1998年，系区人民政府主管社会行政事务的职能部门，承担了全区的社会救助、行政区划、社会组织登记管理、婚姻登记、社会事务、养老儿童、殡葬执法监督等10余项社会行政事务。</w:t>
      </w:r>
    </w:p>
    <w:p w14:paraId="59A1C01D">
      <w:pPr>
        <w:spacing w:before="267"/>
        <w:ind w:left="574"/>
        <w:outlineLvl w:val="2"/>
        <w:rPr>
          <w:rFonts w:hint="eastAsia" w:ascii="黑体" w:hAnsi="黑体" w:eastAsia="黑体"/>
          <w:sz w:val="31"/>
          <w:szCs w:val="31"/>
        </w:rPr>
      </w:pPr>
      <w:r>
        <w:rPr>
          <w:rFonts w:hint="eastAsia" w:ascii="黑体" w:hAnsi="黑体" w:eastAsia="黑体"/>
          <w:b/>
          <w:bCs/>
          <w:spacing w:val="2"/>
          <w:sz w:val="31"/>
          <w:szCs w:val="31"/>
        </w:rPr>
        <w:t>二、部门财务情况</w:t>
      </w:r>
    </w:p>
    <w:p w14:paraId="09A3910D">
      <w:pPr>
        <w:pStyle w:val="4"/>
        <w:spacing w:before="271"/>
        <w:ind w:left="710"/>
        <w:rPr>
          <w:rFonts w:hint="eastAsia"/>
          <w:spacing w:val="22"/>
        </w:rPr>
      </w:pPr>
      <w:r>
        <w:rPr>
          <w:rFonts w:hint="eastAsia"/>
          <w:spacing w:val="22"/>
        </w:rPr>
        <w:t>(一)部门整体支出情况</w:t>
      </w:r>
    </w:p>
    <w:p w14:paraId="452EBECF">
      <w:pPr>
        <w:pStyle w:val="4"/>
        <w:spacing w:before="271"/>
        <w:ind w:left="617" w:leftChars="294" w:firstLine="708" w:firstLineChars="200"/>
        <w:rPr>
          <w:rFonts w:hint="eastAsia"/>
          <w:spacing w:val="22"/>
          <w:lang w:eastAsia="zh-CN"/>
        </w:rPr>
      </w:pPr>
      <w:r>
        <w:rPr>
          <w:rFonts w:hint="eastAsia"/>
          <w:spacing w:val="22"/>
        </w:rPr>
        <w:t>1、基本支出</w:t>
      </w:r>
      <w:r>
        <w:rPr>
          <w:rFonts w:hint="eastAsia"/>
          <w:spacing w:val="22"/>
          <w:lang w:eastAsia="zh-CN"/>
        </w:rPr>
        <w:t>：</w:t>
      </w:r>
    </w:p>
    <w:p w14:paraId="29BCA5D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default"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2024年基本支出年初预算数870.27万元，决算数920.05万元，其中：人员经费855.84万元，公用经费64.21万元，基本支出执行率为105.72%。</w:t>
      </w:r>
    </w:p>
    <w:p w14:paraId="2258151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项目支出：</w:t>
      </w:r>
    </w:p>
    <w:p w14:paraId="7B2EAA4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2024年项目支出年初预算数为5780.27万元，决算数为4634.33万元，其中：工资福利支出43.32万元，商品和服务支出1064.55万元，对个人和家庭的补助支出3501.46万元，资本性支出25万元，项目支出的执行率为80.17%。</w:t>
      </w:r>
    </w:p>
    <w:p w14:paraId="3BE2BE77">
      <w:pPr>
        <w:pStyle w:val="4"/>
        <w:numPr>
          <w:ilvl w:val="0"/>
          <w:numId w:val="1"/>
        </w:numPr>
        <w:spacing w:before="258"/>
        <w:ind w:left="710"/>
        <w:rPr>
          <w:rFonts w:hint="eastAsia"/>
          <w:spacing w:val="20"/>
        </w:rPr>
      </w:pPr>
      <w:r>
        <w:rPr>
          <w:rFonts w:hint="eastAsia"/>
          <w:spacing w:val="20"/>
        </w:rPr>
        <w:t>部门预算收支决算情况</w:t>
      </w:r>
    </w:p>
    <w:p w14:paraId="4EF7EE2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2024年年初收支预算数为6650.54万元，其中：基本支出870.27万元，项目支出5780.27万元。收支决算数为5554.38万元，其中：基本支出920.05万元，项目支出4634.33万元。2024年收支预算执行率为83.52%，其中：基本支出执行率为105.72%，项目支出执行率为80.17%。</w:t>
      </w:r>
    </w:p>
    <w:p w14:paraId="4CB1F1E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“三公经费”支出使用和管理情况</w:t>
      </w:r>
    </w:p>
    <w:p w14:paraId="65B97A0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2024年“三公经费”预算数4万元，决算数0.17万元，三公经费总额控制在预算范围内。</w:t>
      </w:r>
    </w:p>
    <w:p w14:paraId="3EAC01A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从“三公经费”的支出明细项目分析：公务接待费支出0.17万元；公车运行维护费支出0万元；因公出国费用0万元；“三公经费”明细控制到位。</w:t>
      </w:r>
    </w:p>
    <w:p w14:paraId="6057327A">
      <w:pPr>
        <w:spacing w:before="252"/>
        <w:ind w:left="574"/>
        <w:outlineLvl w:val="2"/>
        <w:rPr>
          <w:rFonts w:hint="eastAsia" w:ascii="黑体" w:hAnsi="黑体" w:eastAsia="黑体"/>
          <w:sz w:val="31"/>
          <w:szCs w:val="31"/>
        </w:rPr>
      </w:pPr>
      <w:r>
        <w:rPr>
          <w:rFonts w:hint="eastAsia" w:ascii="黑体" w:hAnsi="黑体" w:eastAsia="黑体"/>
          <w:b/>
          <w:bCs/>
          <w:spacing w:val="-2"/>
          <w:sz w:val="31"/>
          <w:szCs w:val="31"/>
        </w:rPr>
        <w:t>三、部门绩效目标</w:t>
      </w:r>
    </w:p>
    <w:p w14:paraId="5EF25B4F">
      <w:pPr>
        <w:pStyle w:val="4"/>
        <w:spacing w:before="282"/>
        <w:ind w:left="710"/>
        <w:rPr>
          <w:rFonts w:hint="eastAsia"/>
          <w:spacing w:val="24"/>
        </w:rPr>
      </w:pPr>
      <w:r>
        <w:rPr>
          <w:rFonts w:hint="eastAsia"/>
          <w:spacing w:val="24"/>
        </w:rPr>
        <w:t>(一)部门绩效总目标</w:t>
      </w:r>
    </w:p>
    <w:p w14:paraId="0BF55F4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鹤城区民政局作为区人民政府主管有关社会行政事务的职能部门，承担着城乡居民最低生活保障、特困人员救助供养、临时救助、生活无着流浪乞讨人员救助、社会组织登记和管理、基层政权建设和社区治理、行政区划、行政区域界线和地名管理、婚姻登记和管理、殡葬服务和管理、残疾人权益保护、养老服务、农村“三留守”人群关爱保护、儿童福利、收养登记、救助保护机构管理、未成年人救助保护、慈善事业促进和社会工作服务、福彩管理、老区建设和管理等20余大项、100余小项重要职能职责。</w:t>
      </w:r>
    </w:p>
    <w:p w14:paraId="61B7FB4D">
      <w:pPr>
        <w:pStyle w:val="4"/>
        <w:spacing w:before="257"/>
        <w:ind w:left="710"/>
        <w:rPr>
          <w:rFonts w:hint="eastAsia"/>
          <w:spacing w:val="22"/>
        </w:rPr>
      </w:pPr>
      <w:r>
        <w:rPr>
          <w:rFonts w:hint="eastAsia"/>
          <w:spacing w:val="22"/>
        </w:rPr>
        <w:t>(二)2024年度部门绩效目标</w:t>
      </w:r>
    </w:p>
    <w:p w14:paraId="74A6ED1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按要求完成年度社会救助工作，按时按质发放社会救助资金；按要求高质量完成社会福利、民政事业基础建设各项工作；及时完成政府交办的其他工作。</w:t>
      </w:r>
    </w:p>
    <w:p w14:paraId="69150D70">
      <w:pPr>
        <w:numPr>
          <w:ilvl w:val="0"/>
          <w:numId w:val="2"/>
        </w:numPr>
        <w:spacing w:before="279"/>
        <w:ind w:left="570"/>
        <w:rPr>
          <w:rFonts w:hint="eastAsia" w:ascii="黑体" w:hAnsi="黑体" w:eastAsia="黑体"/>
          <w:spacing w:val="4"/>
          <w:sz w:val="31"/>
          <w:szCs w:val="31"/>
        </w:rPr>
      </w:pPr>
      <w:r>
        <w:rPr>
          <w:rFonts w:hint="eastAsia" w:ascii="黑体" w:hAnsi="黑体" w:eastAsia="黑体"/>
          <w:spacing w:val="4"/>
          <w:sz w:val="31"/>
          <w:szCs w:val="31"/>
        </w:rPr>
        <w:t>绩效评价工作情况</w:t>
      </w:r>
    </w:p>
    <w:p w14:paraId="7328E535">
      <w:pPr>
        <w:spacing w:line="560" w:lineRule="exact"/>
        <w:ind w:left="617" w:leftChars="294" w:firstLine="0" w:firstLineChars="0"/>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 xml:space="preserve">   根据《怀化市鹤城区财政局关于开展2024年度部门整</w:t>
      </w:r>
    </w:p>
    <w:p w14:paraId="3EAFEFB9">
      <w:pPr>
        <w:spacing w:line="560" w:lineRule="exact"/>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体及项目支出绩效自评工作的通知》（鹤财绩〔2025〕6号）等有关绩效评价的相关规定，我单位本着独立、客观的原则，于2025年4月对鹤城区民政局2024年度部门整体支出进行了绩效自我评价。绩效评价主要采取以下方式：一是召开座谈会，了解资金使用取得的成效、存在的主要问题及建议等；二是对单位评价基础数据资料、辅证材料等进行审查核实；三是实地察看项目进展情况并进行了实地拍照。通过以上方式了解整体支出基本情况，为提出评价结论提供了依据。</w:t>
      </w:r>
    </w:p>
    <w:p w14:paraId="7EDD407F">
      <w:pPr>
        <w:numPr>
          <w:ilvl w:val="0"/>
          <w:numId w:val="2"/>
        </w:numPr>
        <w:spacing w:before="250"/>
        <w:ind w:left="570" w:leftChars="0" w:firstLine="0" w:firstLineChars="0"/>
        <w:rPr>
          <w:rFonts w:hint="eastAsia" w:ascii="黑体" w:hAnsi="黑体" w:eastAsia="黑体"/>
          <w:spacing w:val="3"/>
          <w:sz w:val="31"/>
          <w:szCs w:val="31"/>
        </w:rPr>
      </w:pPr>
      <w:r>
        <w:rPr>
          <w:rFonts w:hint="eastAsia" w:ascii="黑体" w:hAnsi="黑体" w:eastAsia="黑体"/>
          <w:spacing w:val="3"/>
          <w:sz w:val="31"/>
          <w:szCs w:val="31"/>
        </w:rPr>
        <w:t>综合评价结果</w:t>
      </w:r>
    </w:p>
    <w:p w14:paraId="48209D42">
      <w:pPr>
        <w:numPr>
          <w:ilvl w:val="0"/>
          <w:numId w:val="0"/>
        </w:numPr>
        <w:spacing w:before="250"/>
        <w:ind w:left="570" w:leftChars="0"/>
        <w:rPr>
          <w:rFonts w:hint="default" w:ascii="黑体" w:hAnsi="黑体" w:eastAsia="黑体"/>
          <w:spacing w:val="3"/>
          <w:sz w:val="31"/>
          <w:szCs w:val="31"/>
          <w:lang w:val="en-US" w:eastAsia="zh-CN"/>
        </w:rPr>
      </w:pPr>
      <w:r>
        <w:rPr>
          <w:rFonts w:hint="eastAsia" w:ascii="黑体" w:hAnsi="黑体" w:eastAsia="黑体"/>
          <w:spacing w:val="3"/>
          <w:sz w:val="31"/>
          <w:szCs w:val="31"/>
          <w:lang w:val="en-US" w:eastAsia="zh-CN"/>
        </w:rPr>
        <w:t xml:space="preserve">   </w:t>
      </w:r>
      <w:r>
        <w:rPr>
          <w:rFonts w:hint="eastAsia" w:ascii="仿宋" w:hAnsi="仿宋" w:eastAsia="仿宋" w:cs="宋体"/>
          <w:color w:val="000000"/>
          <w:spacing w:val="22"/>
          <w:kern w:val="0"/>
          <w:sz w:val="31"/>
          <w:szCs w:val="31"/>
          <w:lang w:val="en-US" w:eastAsia="zh-CN" w:bidi="ar-SA"/>
        </w:rPr>
        <w:t xml:space="preserve"> 自我评价结果：优秀。</w:t>
      </w:r>
    </w:p>
    <w:p w14:paraId="095D99CA">
      <w:pPr>
        <w:numPr>
          <w:ilvl w:val="0"/>
          <w:numId w:val="2"/>
        </w:numPr>
        <w:spacing w:before="266"/>
        <w:ind w:left="570" w:leftChars="0" w:firstLine="0" w:firstLineChars="0"/>
        <w:rPr>
          <w:rFonts w:hint="eastAsia" w:ascii="黑体" w:hAnsi="黑体" w:eastAsia="黑体"/>
          <w:spacing w:val="6"/>
          <w:sz w:val="31"/>
          <w:szCs w:val="31"/>
        </w:rPr>
      </w:pPr>
      <w:r>
        <w:rPr>
          <w:rFonts w:hint="eastAsia" w:ascii="黑体" w:hAnsi="黑体" w:eastAsia="黑体"/>
          <w:spacing w:val="6"/>
          <w:sz w:val="31"/>
          <w:szCs w:val="31"/>
        </w:rPr>
        <w:t>部门整体支出绩效情况</w:t>
      </w:r>
    </w:p>
    <w:p w14:paraId="7214C657">
      <w:pPr>
        <w:spacing w:line="560" w:lineRule="exact"/>
        <w:ind w:left="617" w:leftChars="294" w:firstLine="0" w:firstLineChars="0"/>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 xml:space="preserve">   2024年，区民政局认真贯彻落实习近平总书记对民政</w:t>
      </w:r>
    </w:p>
    <w:p w14:paraId="5A21AC8D">
      <w:pPr>
        <w:spacing w:line="560" w:lineRule="exact"/>
        <w:rPr>
          <w:rFonts w:hint="default"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工作重要指示和湖南视察讲话精神，坚持固本强弱，强化民生改善，扎实抓好各项工作落实，不断提高民政事业科学发展的能力和水平，主要工作成效：（一）社会救助制度体系不断完善；（二）区划地名工作稳妥推进；（三）公共事务管理法制有序；（四）社会福利事业不断完善。</w:t>
      </w:r>
    </w:p>
    <w:p w14:paraId="39019497">
      <w:pPr>
        <w:numPr>
          <w:ilvl w:val="0"/>
          <w:numId w:val="2"/>
        </w:numPr>
        <w:spacing w:before="280"/>
        <w:ind w:left="570" w:leftChars="0" w:firstLine="0" w:firstLineChars="0"/>
        <w:rPr>
          <w:rFonts w:hint="eastAsia" w:ascii="黑体" w:hAnsi="黑体" w:eastAsia="黑体"/>
          <w:spacing w:val="5"/>
          <w:sz w:val="31"/>
          <w:szCs w:val="31"/>
        </w:rPr>
      </w:pPr>
      <w:r>
        <w:rPr>
          <w:rFonts w:hint="eastAsia" w:ascii="黑体" w:hAnsi="黑体" w:eastAsia="黑体"/>
          <w:spacing w:val="5"/>
          <w:sz w:val="31"/>
          <w:szCs w:val="31"/>
        </w:rPr>
        <w:t>存在的主要问题及原因分析</w:t>
      </w:r>
    </w:p>
    <w:p w14:paraId="613514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708" w:firstLineChars="200"/>
        <w:jc w:val="both"/>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一）养老发展缺乏人才、建设场地、资金。我区居家和社区养老服务起步晚，养老服务管理人员和从业人员还存在年龄偏大、文化水平较低、专业化不强等问题，受工资待遇等条件限制，对高素质养老服务人才吸引力较弱，养老服务人才资源缺乏。同时社区养老服务场所、建设资金都相对缺乏，智能养老产品及辅具应用少。</w:t>
      </w:r>
    </w:p>
    <w:p w14:paraId="345B69F9">
      <w:pPr>
        <w:keepNext w:val="0"/>
        <w:keepLines w:val="0"/>
        <w:pageBreakBefore w:val="0"/>
        <w:widowControl w:val="0"/>
        <w:kinsoku/>
        <w:wordWrap/>
        <w:overflowPunct/>
        <w:topLinePunct w:val="0"/>
        <w:autoSpaceDE/>
        <w:autoSpaceDN/>
        <w:bidi w:val="0"/>
        <w:adjustRightInd/>
        <w:snapToGrid/>
        <w:spacing w:line="520" w:lineRule="exact"/>
        <w:ind w:left="0" w:leftChars="0" w:firstLine="708" w:firstLineChars="200"/>
        <w:jc w:val="left"/>
        <w:textAlignment w:val="auto"/>
        <w:rPr>
          <w:rFonts w:hint="eastAsia" w:ascii="仿宋" w:hAnsi="仿宋" w:eastAsia="仿宋" w:cs="宋体"/>
          <w:color w:val="000000"/>
          <w:spacing w:val="22"/>
          <w:kern w:val="0"/>
          <w:sz w:val="31"/>
          <w:szCs w:val="31"/>
          <w:lang w:val="en-US" w:eastAsia="zh-CN" w:bidi="ar-SA"/>
        </w:rPr>
      </w:pPr>
      <w:r>
        <w:rPr>
          <w:rFonts w:hint="eastAsia" w:ascii="仿宋" w:hAnsi="仿宋" w:eastAsia="仿宋" w:cs="宋体"/>
          <w:color w:val="000000"/>
          <w:spacing w:val="22"/>
          <w:kern w:val="0"/>
          <w:sz w:val="31"/>
          <w:szCs w:val="31"/>
          <w:lang w:val="en-US" w:eastAsia="zh-CN" w:bidi="ar-SA"/>
        </w:rPr>
        <w:t>(二)“跨地域”信息比对时间跨度太长。由于各省、县市区的部门信息没有实时共享，跨地域核对信息需提交至省核对平台，由于省核对平台要统筹全省的核对申请，工作量较大，因此核对结果的反馈时间较长，使得基层无法及时全面的了解救助对象收入信息而造成救助工作动态管理不够及时。</w:t>
      </w:r>
    </w:p>
    <w:p w14:paraId="191CDC47">
      <w:pPr>
        <w:spacing w:before="267"/>
        <w:ind w:left="570"/>
        <w:rPr>
          <w:rFonts w:hint="eastAsia" w:ascii="黑体" w:hAnsi="黑体" w:eastAsia="黑体"/>
          <w:sz w:val="31"/>
          <w:szCs w:val="31"/>
        </w:rPr>
      </w:pPr>
      <w:r>
        <w:rPr>
          <w:rFonts w:hint="eastAsia" w:ascii="黑体" w:hAnsi="黑体" w:eastAsia="黑体"/>
          <w:spacing w:val="3"/>
          <w:sz w:val="31"/>
          <w:szCs w:val="31"/>
        </w:rPr>
        <w:t>八、有关建议</w:t>
      </w:r>
    </w:p>
    <w:p w14:paraId="01814EA2">
      <w:pPr>
        <w:keepNext w:val="0"/>
        <w:keepLines w:val="0"/>
        <w:pageBreakBefore w:val="0"/>
        <w:widowControl w:val="0"/>
        <w:kinsoku/>
        <w:wordWrap/>
        <w:overflowPunct/>
        <w:topLinePunct w:val="0"/>
        <w:autoSpaceDE/>
        <w:autoSpaceDN/>
        <w:bidi w:val="0"/>
        <w:adjustRightInd/>
        <w:snapToGrid/>
        <w:spacing w:line="520" w:lineRule="exact"/>
        <w:ind w:left="0" w:leftChars="0" w:firstLine="708" w:firstLineChars="200"/>
        <w:jc w:val="left"/>
        <w:textAlignment w:val="auto"/>
        <w:rPr>
          <w:rFonts w:hint="eastAsia" w:ascii="仿宋" w:hAnsi="仿宋" w:eastAsia="仿宋" w:cs="宋体"/>
          <w:color w:val="000000"/>
          <w:spacing w:val="22"/>
          <w:kern w:val="0"/>
          <w:sz w:val="31"/>
          <w:szCs w:val="31"/>
          <w:lang w:val="en-US" w:eastAsia="zh-CN" w:bidi="ar-SA"/>
        </w:rPr>
        <w:sectPr>
          <w:pgSz w:w="11900" w:h="16830"/>
          <w:pgMar w:top="1430" w:right="1281" w:bottom="1094" w:left="1279" w:header="0" w:footer="959" w:gutter="0"/>
          <w:cols w:space="720" w:num="1"/>
        </w:sectPr>
      </w:pPr>
      <w:r>
        <w:rPr>
          <w:rFonts w:hint="eastAsia" w:ascii="仿宋" w:hAnsi="仿宋" w:eastAsia="仿宋" w:cs="宋体"/>
          <w:color w:val="000000"/>
          <w:spacing w:val="22"/>
          <w:kern w:val="0"/>
          <w:sz w:val="31"/>
          <w:szCs w:val="31"/>
          <w:lang w:val="en-US" w:eastAsia="zh-CN" w:bidi="ar-SA"/>
        </w:rPr>
        <w:t>建议财政统筹解决自收自支人员工资福利待遇。目前，我单位婚姻登记服务中心尚有自收自支工作人员1名，年工资福利待遇10万元左右，因无工作经费预算保障，特请求财政统筹考虑、解决。</w:t>
      </w:r>
    </w:p>
    <w:p w14:paraId="251F9055">
      <w:pPr>
        <w:pStyle w:val="4"/>
        <w:spacing w:before="91"/>
        <w:rPr>
          <w:rFonts w:hint="eastAsia"/>
          <w:spacing w:val="16"/>
          <w:sz w:val="28"/>
          <w:szCs w:val="28"/>
        </w:rPr>
      </w:pPr>
      <w:r>
        <w:rPr>
          <w:rFonts w:hint="eastAsia"/>
          <w:spacing w:val="16"/>
          <w:sz w:val="28"/>
          <w:szCs w:val="28"/>
        </w:rPr>
        <w:t>附件5</w:t>
      </w:r>
    </w:p>
    <w:p w14:paraId="37CA8AE2">
      <w:pPr>
        <w:pStyle w:val="4"/>
        <w:spacing w:before="91"/>
        <w:jc w:val="center"/>
        <w:rPr>
          <w:rFonts w:hint="eastAsia" w:ascii="黑体" w:hAnsi="黑体" w:eastAsia="黑体"/>
          <w:sz w:val="36"/>
          <w:szCs w:val="36"/>
        </w:rPr>
      </w:pPr>
      <w:r>
        <w:rPr>
          <w:rFonts w:hint="eastAsia" w:ascii="黑体" w:hAnsi="黑体" w:eastAsia="黑体"/>
          <w:b/>
          <w:bCs/>
          <w:spacing w:val="-2"/>
          <w:sz w:val="36"/>
          <w:szCs w:val="36"/>
        </w:rPr>
        <w:t>2024年度部门整体支出绩效评价评分表</w:t>
      </w:r>
    </w:p>
    <w:p w14:paraId="07424F28">
      <w:pPr>
        <w:spacing w:line="57" w:lineRule="exact"/>
        <w:rPr>
          <w:rFonts w:hint="eastAsia"/>
        </w:rPr>
      </w:pPr>
      <w:r>
        <w:t xml:space="preserve"> </w:t>
      </w:r>
    </w:p>
    <w:tbl>
      <w:tblPr>
        <w:tblStyle w:val="12"/>
        <w:tblW w:w="10419"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4"/>
        <w:gridCol w:w="619"/>
        <w:gridCol w:w="669"/>
        <w:gridCol w:w="624"/>
        <w:gridCol w:w="3962"/>
        <w:gridCol w:w="2967"/>
        <w:gridCol w:w="654"/>
      </w:tblGrid>
      <w:tr w14:paraId="4FC02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924" w:type="dxa"/>
            <w:tcBorders>
              <w:top w:val="single" w:color="000000" w:sz="4" w:space="0"/>
              <w:left w:val="single" w:color="000000" w:sz="4" w:space="0"/>
              <w:bottom w:val="single" w:color="000000" w:sz="4" w:space="0"/>
              <w:right w:val="single" w:color="000000" w:sz="4" w:space="0"/>
            </w:tcBorders>
          </w:tcPr>
          <w:p w14:paraId="5D171B12">
            <w:pPr>
              <w:spacing w:before="92"/>
              <w:ind w:left="147"/>
              <w:rPr>
                <w:rFonts w:ascii="宋体" w:hAnsi="宋体"/>
                <w:sz w:val="18"/>
                <w:szCs w:val="18"/>
              </w:rPr>
            </w:pPr>
            <w:r>
              <w:rPr>
                <w:rFonts w:hint="eastAsia" w:ascii="宋体" w:hAnsi="宋体"/>
                <w:b/>
                <w:bCs/>
                <w:spacing w:val="-7"/>
                <w:sz w:val="18"/>
                <w:szCs w:val="18"/>
              </w:rPr>
              <w:t>一级</w:t>
            </w:r>
          </w:p>
          <w:p w14:paraId="7E3C63DF">
            <w:pPr>
              <w:spacing w:before="12"/>
              <w:ind w:left="147"/>
              <w:rPr>
                <w:rFonts w:ascii="宋体" w:hAnsi="宋体"/>
                <w:sz w:val="18"/>
                <w:szCs w:val="18"/>
              </w:rPr>
            </w:pPr>
            <w:r>
              <w:rPr>
                <w:rFonts w:hint="eastAsia" w:ascii="宋体" w:hAnsi="宋体"/>
                <w:b/>
                <w:bCs/>
                <w:spacing w:val="-5"/>
                <w:sz w:val="18"/>
                <w:szCs w:val="18"/>
              </w:rPr>
              <w:t>指标</w:t>
            </w:r>
          </w:p>
        </w:tc>
        <w:tc>
          <w:tcPr>
            <w:tcW w:w="619" w:type="dxa"/>
            <w:tcBorders>
              <w:top w:val="single" w:color="000000" w:sz="4" w:space="0"/>
              <w:left w:val="single" w:color="000000" w:sz="4" w:space="0"/>
              <w:bottom w:val="single" w:color="000000" w:sz="4" w:space="0"/>
              <w:right w:val="single" w:color="000000" w:sz="4" w:space="0"/>
            </w:tcBorders>
            <w:shd w:val="clear" w:color="auto" w:fill="303030"/>
          </w:tcPr>
          <w:p w14:paraId="5A8E6B44">
            <w:pPr>
              <w:spacing w:before="92"/>
              <w:ind w:left="123"/>
              <w:rPr>
                <w:rFonts w:ascii="宋体" w:hAnsi="宋体"/>
                <w:color w:val="FFFFFF"/>
                <w:sz w:val="18"/>
                <w:szCs w:val="18"/>
              </w:rPr>
            </w:pPr>
            <w:r>
              <w:rPr>
                <w:rFonts w:hint="eastAsia" w:ascii="宋体" w:hAnsi="宋体"/>
                <w:b/>
                <w:bCs/>
                <w:color w:val="FFFFFF"/>
                <w:spacing w:val="-5"/>
                <w:sz w:val="18"/>
                <w:szCs w:val="18"/>
              </w:rPr>
              <w:t>二级</w:t>
            </w:r>
          </w:p>
          <w:p w14:paraId="253C857A">
            <w:pPr>
              <w:spacing w:before="22"/>
              <w:ind w:left="123"/>
              <w:rPr>
                <w:rFonts w:ascii="宋体" w:hAnsi="宋体"/>
                <w:color w:val="FFFFFF"/>
                <w:sz w:val="18"/>
                <w:szCs w:val="18"/>
              </w:rPr>
            </w:pPr>
            <w:r>
              <w:rPr>
                <w:rFonts w:hint="eastAsia" w:ascii="宋体" w:hAnsi="宋体"/>
                <w:b/>
                <w:bCs/>
                <w:color w:val="FFFFFF"/>
                <w:spacing w:val="-5"/>
                <w:sz w:val="18"/>
                <w:szCs w:val="18"/>
              </w:rPr>
              <w:t>指标</w:t>
            </w:r>
          </w:p>
        </w:tc>
        <w:tc>
          <w:tcPr>
            <w:tcW w:w="669" w:type="dxa"/>
            <w:tcBorders>
              <w:top w:val="single" w:color="000000" w:sz="4" w:space="0"/>
              <w:left w:val="single" w:color="000000" w:sz="4" w:space="0"/>
              <w:bottom w:val="single" w:color="000000" w:sz="4" w:space="0"/>
              <w:right w:val="single" w:color="000000" w:sz="4" w:space="0"/>
            </w:tcBorders>
          </w:tcPr>
          <w:p w14:paraId="33CD7276">
            <w:pPr>
              <w:spacing w:before="92"/>
              <w:ind w:left="144"/>
              <w:rPr>
                <w:rFonts w:ascii="宋体" w:hAnsi="宋体"/>
                <w:sz w:val="18"/>
                <w:szCs w:val="18"/>
              </w:rPr>
            </w:pPr>
            <w:r>
              <w:rPr>
                <w:rFonts w:hint="eastAsia" w:ascii="宋体" w:hAnsi="宋体"/>
                <w:b/>
                <w:bCs/>
                <w:spacing w:val="-4"/>
                <w:sz w:val="18"/>
                <w:szCs w:val="18"/>
              </w:rPr>
              <w:t>三级</w:t>
            </w:r>
          </w:p>
          <w:p w14:paraId="615BA408">
            <w:pPr>
              <w:spacing w:before="22"/>
              <w:ind w:left="144"/>
              <w:rPr>
                <w:rFonts w:ascii="宋体" w:hAnsi="宋体"/>
                <w:sz w:val="18"/>
                <w:szCs w:val="18"/>
              </w:rPr>
            </w:pPr>
            <w:r>
              <w:rPr>
                <w:rFonts w:hint="eastAsia" w:ascii="宋体" w:hAnsi="宋体"/>
                <w:b/>
                <w:bCs/>
                <w:spacing w:val="-5"/>
                <w:sz w:val="18"/>
                <w:szCs w:val="18"/>
              </w:rPr>
              <w:t>指标</w:t>
            </w:r>
          </w:p>
        </w:tc>
        <w:tc>
          <w:tcPr>
            <w:tcW w:w="624" w:type="dxa"/>
            <w:tcBorders>
              <w:top w:val="single" w:color="000000" w:sz="4" w:space="0"/>
              <w:left w:val="single" w:color="000000" w:sz="4" w:space="0"/>
              <w:bottom w:val="single" w:color="000000" w:sz="4" w:space="0"/>
              <w:right w:val="single" w:color="000000" w:sz="4" w:space="0"/>
            </w:tcBorders>
          </w:tcPr>
          <w:p w14:paraId="7751E297">
            <w:pPr>
              <w:spacing w:before="153"/>
              <w:rPr>
                <w:rFonts w:ascii="宋体" w:hAnsi="宋体"/>
                <w:sz w:val="18"/>
                <w:szCs w:val="18"/>
              </w:rPr>
            </w:pPr>
            <w:r>
              <w:rPr>
                <w:rFonts w:hint="eastAsia" w:ascii="宋体" w:hAnsi="宋体"/>
                <w:b/>
                <w:bCs/>
                <w:spacing w:val="-2"/>
                <w:sz w:val="18"/>
                <w:szCs w:val="18"/>
              </w:rPr>
              <w:t>分</w:t>
            </w:r>
            <w:r>
              <w:rPr>
                <w:rFonts w:hint="eastAsia" w:ascii="宋体" w:hAnsi="宋体"/>
                <w:spacing w:val="84"/>
                <w:sz w:val="18"/>
                <w:szCs w:val="18"/>
              </w:rPr>
              <w:t xml:space="preserve"> </w:t>
            </w:r>
            <w:r>
              <w:rPr>
                <w:rFonts w:hint="eastAsia" w:ascii="宋体" w:hAnsi="宋体"/>
                <w:b/>
                <w:bCs/>
                <w:spacing w:val="-2"/>
                <w:sz w:val="18"/>
                <w:szCs w:val="18"/>
              </w:rPr>
              <w:t>值</w:t>
            </w:r>
          </w:p>
        </w:tc>
        <w:tc>
          <w:tcPr>
            <w:tcW w:w="3962" w:type="dxa"/>
            <w:tcBorders>
              <w:top w:val="single" w:color="000000" w:sz="4" w:space="0"/>
              <w:left w:val="single" w:color="000000" w:sz="4" w:space="0"/>
              <w:bottom w:val="single" w:color="000000" w:sz="4" w:space="0"/>
              <w:right w:val="single" w:color="000000" w:sz="4" w:space="0"/>
            </w:tcBorders>
          </w:tcPr>
          <w:p w14:paraId="7BBFFEBD">
            <w:pPr>
              <w:spacing w:before="229"/>
              <w:ind w:left="1105"/>
              <w:rPr>
                <w:rFonts w:ascii="宋体" w:hAnsi="宋体"/>
                <w:sz w:val="18"/>
                <w:szCs w:val="18"/>
              </w:rPr>
            </w:pPr>
            <w:r>
              <w:rPr>
                <w:rFonts w:hint="eastAsia" w:ascii="宋体" w:hAnsi="宋体"/>
                <w:b/>
                <w:bCs/>
                <w:spacing w:val="-3"/>
                <w:sz w:val="18"/>
                <w:szCs w:val="18"/>
              </w:rPr>
              <w:t>指标解释/绩效目标内容</w:t>
            </w:r>
          </w:p>
        </w:tc>
        <w:tc>
          <w:tcPr>
            <w:tcW w:w="2967" w:type="dxa"/>
            <w:tcBorders>
              <w:top w:val="single" w:color="000000" w:sz="4" w:space="0"/>
              <w:left w:val="single" w:color="000000" w:sz="4" w:space="0"/>
              <w:bottom w:val="single" w:color="000000" w:sz="4" w:space="0"/>
              <w:right w:val="single" w:color="000000" w:sz="4" w:space="0"/>
            </w:tcBorders>
          </w:tcPr>
          <w:p w14:paraId="3BC50E1F">
            <w:pPr>
              <w:spacing w:before="230"/>
              <w:ind w:left="1119"/>
              <w:rPr>
                <w:rFonts w:ascii="宋体" w:hAnsi="宋体"/>
                <w:sz w:val="18"/>
                <w:szCs w:val="18"/>
              </w:rPr>
            </w:pPr>
            <w:r>
              <w:rPr>
                <w:rFonts w:hint="eastAsia" w:ascii="宋体" w:hAnsi="宋体"/>
                <w:b/>
                <w:bCs/>
                <w:spacing w:val="-4"/>
                <w:sz w:val="18"/>
                <w:szCs w:val="18"/>
              </w:rPr>
              <w:t>评分标准</w:t>
            </w:r>
          </w:p>
        </w:tc>
        <w:tc>
          <w:tcPr>
            <w:tcW w:w="654" w:type="dxa"/>
            <w:tcBorders>
              <w:top w:val="single" w:color="000000" w:sz="4" w:space="0"/>
              <w:left w:val="single" w:color="000000" w:sz="4" w:space="0"/>
              <w:bottom w:val="single" w:color="000000" w:sz="4" w:space="0"/>
              <w:right w:val="single" w:color="000000" w:sz="4" w:space="0"/>
            </w:tcBorders>
          </w:tcPr>
          <w:p w14:paraId="310FAEBD">
            <w:pPr>
              <w:spacing w:before="90"/>
              <w:ind w:left="142"/>
              <w:rPr>
                <w:rFonts w:ascii="宋体" w:hAnsi="宋体"/>
                <w:sz w:val="18"/>
                <w:szCs w:val="18"/>
              </w:rPr>
            </w:pPr>
            <w:r>
              <w:rPr>
                <w:rFonts w:hint="eastAsia" w:ascii="宋体" w:hAnsi="宋体"/>
                <w:b/>
                <w:bCs/>
                <w:spacing w:val="-1"/>
                <w:sz w:val="18"/>
                <w:szCs w:val="18"/>
              </w:rPr>
              <w:t>自评</w:t>
            </w:r>
          </w:p>
          <w:p w14:paraId="67531131">
            <w:pPr>
              <w:spacing w:before="25"/>
              <w:ind w:left="142"/>
              <w:rPr>
                <w:rFonts w:ascii="宋体" w:hAnsi="宋体"/>
                <w:sz w:val="18"/>
                <w:szCs w:val="18"/>
              </w:rPr>
            </w:pPr>
            <w:r>
              <w:rPr>
                <w:rFonts w:hint="eastAsia" w:ascii="宋体" w:hAnsi="宋体"/>
                <w:b/>
                <w:bCs/>
                <w:spacing w:val="-4"/>
                <w:sz w:val="18"/>
                <w:szCs w:val="18"/>
              </w:rPr>
              <w:t>得分</w:t>
            </w:r>
          </w:p>
        </w:tc>
      </w:tr>
      <w:tr w14:paraId="49A49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9" w:hRule="atLeast"/>
        </w:trPr>
        <w:tc>
          <w:tcPr>
            <w:tcW w:w="924" w:type="dxa"/>
            <w:vMerge w:val="restart"/>
            <w:tcBorders>
              <w:top w:val="nil"/>
              <w:left w:val="single" w:color="000000" w:sz="4" w:space="0"/>
              <w:bottom w:val="nil"/>
              <w:right w:val="single" w:color="000000" w:sz="4" w:space="0"/>
            </w:tcBorders>
          </w:tcPr>
          <w:p w14:paraId="0DA05429">
            <w:pPr>
              <w:spacing w:before="256"/>
              <w:ind w:left="4501"/>
              <w:rPr>
                <w:rFonts w:ascii="宋体" w:hAnsi="宋体"/>
                <w:sz w:val="18"/>
                <w:szCs w:val="18"/>
              </w:rPr>
            </w:pPr>
            <w:r>
              <w:rPr>
                <w:rFonts w:hint="eastAsia" w:ascii="宋体" w:hAnsi="宋体"/>
                <w:sz w:val="18"/>
                <w:szCs w:val="18"/>
              </w:rPr>
              <w:t>投</w:t>
            </w:r>
            <w:r>
              <w:rPr>
                <w:rFonts w:hint="eastAsia" w:ascii="宋体" w:hAnsi="宋体"/>
                <w:spacing w:val="23"/>
                <w:sz w:val="18"/>
                <w:szCs w:val="18"/>
              </w:rPr>
              <w:t xml:space="preserve">   </w:t>
            </w:r>
            <w:r>
              <w:rPr>
                <w:rFonts w:hint="eastAsia" w:ascii="宋体" w:hAnsi="宋体"/>
                <w:sz w:val="18"/>
                <w:szCs w:val="18"/>
              </w:rPr>
              <w:t>入</w:t>
            </w:r>
          </w:p>
        </w:tc>
        <w:tc>
          <w:tcPr>
            <w:tcW w:w="619" w:type="dxa"/>
            <w:vMerge w:val="restart"/>
            <w:tcBorders>
              <w:top w:val="nil"/>
              <w:left w:val="single" w:color="000000" w:sz="4" w:space="0"/>
              <w:bottom w:val="nil"/>
              <w:right w:val="single" w:color="000000" w:sz="4" w:space="0"/>
            </w:tcBorders>
          </w:tcPr>
          <w:p w14:paraId="2A5ED2A6">
            <w:pPr>
              <w:pStyle w:val="10"/>
              <w:spacing w:line="292" w:lineRule="auto"/>
              <w:rPr>
                <w:sz w:val="21"/>
              </w:rPr>
            </w:pPr>
          </w:p>
          <w:p w14:paraId="5CF063CC">
            <w:pPr>
              <w:pStyle w:val="10"/>
              <w:spacing w:line="292" w:lineRule="auto"/>
              <w:rPr>
                <w:sz w:val="20"/>
              </w:rPr>
            </w:pPr>
          </w:p>
          <w:p w14:paraId="047A914E">
            <w:pPr>
              <w:pStyle w:val="10"/>
              <w:spacing w:line="292" w:lineRule="auto"/>
              <w:rPr>
                <w:sz w:val="20"/>
              </w:rPr>
            </w:pPr>
          </w:p>
          <w:p w14:paraId="7AE665C4">
            <w:pPr>
              <w:pStyle w:val="10"/>
              <w:spacing w:line="292" w:lineRule="auto"/>
              <w:rPr>
                <w:sz w:val="20"/>
              </w:rPr>
            </w:pPr>
          </w:p>
          <w:p w14:paraId="1E269E2B">
            <w:pPr>
              <w:spacing w:before="58"/>
              <w:ind w:left="121"/>
              <w:rPr>
                <w:rFonts w:ascii="宋体" w:hAnsi="宋体"/>
                <w:spacing w:val="7"/>
                <w:sz w:val="18"/>
                <w:szCs w:val="18"/>
              </w:rPr>
            </w:pPr>
            <w:r>
              <w:rPr>
                <w:rFonts w:hint="eastAsia" w:ascii="宋体" w:hAnsi="宋体"/>
                <w:spacing w:val="7"/>
                <w:sz w:val="18"/>
                <w:szCs w:val="18"/>
              </w:rPr>
              <w:t>目</w:t>
            </w:r>
          </w:p>
          <w:p w14:paraId="0E3AD633">
            <w:pPr>
              <w:spacing w:before="58"/>
              <w:ind w:left="121"/>
              <w:rPr>
                <w:rFonts w:hint="eastAsia" w:ascii="宋体" w:hAnsi="宋体"/>
                <w:sz w:val="18"/>
                <w:szCs w:val="18"/>
              </w:rPr>
            </w:pPr>
            <w:r>
              <w:rPr>
                <w:rFonts w:hint="eastAsia" w:ascii="宋体" w:hAnsi="宋体"/>
                <w:spacing w:val="7"/>
                <w:sz w:val="18"/>
                <w:szCs w:val="18"/>
              </w:rPr>
              <w:t>标</w:t>
            </w:r>
          </w:p>
          <w:p w14:paraId="1990B872">
            <w:pPr>
              <w:tabs>
                <w:tab w:val="left" w:pos="211"/>
              </w:tabs>
              <w:spacing w:before="14" w:line="242" w:lineRule="auto"/>
              <w:ind w:left="111" w:right="116" w:firstLine="9"/>
              <w:rPr>
                <w:rFonts w:ascii="宋体" w:hAnsi="宋体"/>
                <w:sz w:val="18"/>
                <w:szCs w:val="18"/>
              </w:rPr>
            </w:pPr>
            <w:r>
              <w:rPr>
                <w:rFonts w:hint="eastAsia" w:ascii="宋体" w:hAnsi="宋体"/>
                <w:spacing w:val="5"/>
                <w:sz w:val="18"/>
                <w:szCs w:val="18"/>
              </w:rPr>
              <w:t>设定</w:t>
            </w:r>
            <w:r>
              <w:rPr>
                <w:rFonts w:hint="eastAsia" w:ascii="宋体" w:hAnsi="宋体"/>
                <w:sz w:val="18"/>
                <w:szCs w:val="18"/>
              </w:rPr>
              <w:t xml:space="preserve"> </w:t>
            </w:r>
            <w:r>
              <w:rPr>
                <w:rFonts w:hint="eastAsia" w:ascii="宋体" w:hAnsi="宋体"/>
                <w:sz w:val="18"/>
                <w:szCs w:val="18"/>
              </w:rPr>
              <w:tab/>
            </w:r>
            <w:r>
              <w:rPr>
                <w:rFonts w:hint="eastAsia" w:ascii="宋体" w:hAnsi="宋体"/>
                <w:spacing w:val="-19"/>
                <w:sz w:val="18"/>
                <w:szCs w:val="18"/>
              </w:rPr>
              <w:t>(5</w:t>
            </w:r>
            <w:r>
              <w:rPr>
                <w:rFonts w:hint="eastAsia" w:ascii="宋体" w:hAnsi="宋体"/>
                <w:sz w:val="18"/>
                <w:szCs w:val="18"/>
              </w:rPr>
              <w:t xml:space="preserve">  </w:t>
            </w:r>
            <w:r>
              <w:rPr>
                <w:rFonts w:hint="eastAsia" w:ascii="宋体" w:hAnsi="宋体"/>
                <w:spacing w:val="-5"/>
                <w:sz w:val="18"/>
                <w:szCs w:val="18"/>
              </w:rPr>
              <w:t>分</w:t>
            </w:r>
            <w:r>
              <w:rPr>
                <w:rFonts w:hint="eastAsia" w:ascii="宋体" w:hAnsi="宋体"/>
                <w:spacing w:val="-34"/>
                <w:sz w:val="18"/>
                <w:szCs w:val="18"/>
              </w:rPr>
              <w:t xml:space="preserve"> </w:t>
            </w:r>
            <w:r>
              <w:rPr>
                <w:rFonts w:hint="eastAsia" w:ascii="宋体" w:hAnsi="宋体"/>
                <w:spacing w:val="-5"/>
                <w:sz w:val="18"/>
                <w:szCs w:val="18"/>
              </w:rPr>
              <w:t>)</w:t>
            </w:r>
          </w:p>
        </w:tc>
        <w:tc>
          <w:tcPr>
            <w:tcW w:w="669" w:type="dxa"/>
            <w:tcBorders>
              <w:top w:val="single" w:color="000000" w:sz="4" w:space="0"/>
              <w:left w:val="single" w:color="000000" w:sz="4" w:space="0"/>
              <w:bottom w:val="single" w:color="000000" w:sz="4" w:space="0"/>
              <w:right w:val="single" w:color="000000" w:sz="4" w:space="0"/>
            </w:tcBorders>
          </w:tcPr>
          <w:p w14:paraId="3CF128E7">
            <w:pPr>
              <w:spacing w:before="289"/>
              <w:ind w:left="142"/>
              <w:rPr>
                <w:rFonts w:ascii="宋体" w:hAnsi="宋体"/>
                <w:sz w:val="18"/>
                <w:szCs w:val="18"/>
              </w:rPr>
            </w:pPr>
            <w:r>
              <w:rPr>
                <w:rFonts w:hint="eastAsia" w:ascii="宋体" w:hAnsi="宋体"/>
                <w:spacing w:val="-3"/>
                <w:sz w:val="18"/>
                <w:szCs w:val="18"/>
              </w:rPr>
              <w:t>绩效</w:t>
            </w:r>
          </w:p>
          <w:p w14:paraId="73EC3B50">
            <w:pPr>
              <w:spacing w:before="25"/>
              <w:ind w:left="142"/>
              <w:rPr>
                <w:rFonts w:hint="eastAsia" w:ascii="宋体" w:hAnsi="宋体"/>
                <w:sz w:val="18"/>
                <w:szCs w:val="18"/>
              </w:rPr>
            </w:pPr>
            <w:r>
              <w:rPr>
                <w:rFonts w:hint="eastAsia" w:ascii="宋体" w:hAnsi="宋体"/>
                <w:spacing w:val="7"/>
                <w:sz w:val="18"/>
                <w:szCs w:val="18"/>
              </w:rPr>
              <w:t>目标</w:t>
            </w:r>
          </w:p>
          <w:p w14:paraId="0FB60A43">
            <w:pPr>
              <w:spacing w:before="29"/>
              <w:ind w:left="231" w:right="164" w:hanging="89"/>
              <w:rPr>
                <w:rFonts w:ascii="宋体" w:hAnsi="宋体"/>
                <w:sz w:val="18"/>
                <w:szCs w:val="18"/>
              </w:rPr>
            </w:pPr>
            <w:r>
              <w:rPr>
                <w:rFonts w:hint="eastAsia" w:ascii="宋体" w:hAnsi="宋体"/>
                <w:spacing w:val="-4"/>
                <w:sz w:val="18"/>
                <w:szCs w:val="18"/>
              </w:rPr>
              <w:t>合理</w:t>
            </w:r>
            <w:r>
              <w:rPr>
                <w:rFonts w:hint="eastAsia" w:ascii="宋体" w:hAnsi="宋体"/>
                <w:sz w:val="18"/>
                <w:szCs w:val="18"/>
              </w:rPr>
              <w:t xml:space="preserve"> 性</w:t>
            </w:r>
          </w:p>
        </w:tc>
        <w:tc>
          <w:tcPr>
            <w:tcW w:w="624" w:type="dxa"/>
            <w:tcBorders>
              <w:top w:val="single" w:color="000000" w:sz="4" w:space="0"/>
              <w:left w:val="single" w:color="000000" w:sz="4" w:space="0"/>
              <w:bottom w:val="single" w:color="000000" w:sz="4" w:space="0"/>
              <w:right w:val="single" w:color="000000" w:sz="4" w:space="0"/>
            </w:tcBorders>
          </w:tcPr>
          <w:p w14:paraId="727B33E3">
            <w:pPr>
              <w:pStyle w:val="10"/>
              <w:spacing w:line="304" w:lineRule="auto"/>
              <w:rPr>
                <w:sz w:val="21"/>
              </w:rPr>
            </w:pPr>
          </w:p>
          <w:p w14:paraId="0C2BD728">
            <w:pPr>
              <w:pStyle w:val="10"/>
              <w:spacing w:line="304" w:lineRule="auto"/>
              <w:rPr>
                <w:sz w:val="20"/>
              </w:rPr>
            </w:pPr>
          </w:p>
          <w:p w14:paraId="259A9D7F">
            <w:pPr>
              <w:spacing w:before="59"/>
              <w:ind w:left="182"/>
              <w:rPr>
                <w:rFonts w:ascii="宋体" w:hAnsi="宋体"/>
                <w:sz w:val="18"/>
                <w:szCs w:val="18"/>
              </w:rPr>
            </w:pPr>
            <w:r>
              <w:rPr>
                <w:rFonts w:hint="eastAsia" w:ascii="宋体" w:hAnsi="宋体"/>
                <w:sz w:val="18"/>
                <w:szCs w:val="18"/>
              </w:rPr>
              <w:t>3</w:t>
            </w:r>
          </w:p>
        </w:tc>
        <w:tc>
          <w:tcPr>
            <w:tcW w:w="3962" w:type="dxa"/>
            <w:tcBorders>
              <w:top w:val="single" w:color="000000" w:sz="4" w:space="0"/>
              <w:left w:val="single" w:color="000000" w:sz="4" w:space="0"/>
              <w:bottom w:val="single" w:color="000000" w:sz="4" w:space="0"/>
              <w:right w:val="single" w:color="000000" w:sz="4" w:space="0"/>
            </w:tcBorders>
          </w:tcPr>
          <w:p w14:paraId="359AF762">
            <w:pPr>
              <w:pStyle w:val="10"/>
              <w:spacing w:line="256" w:lineRule="auto"/>
              <w:rPr>
                <w:sz w:val="21"/>
              </w:rPr>
            </w:pPr>
          </w:p>
          <w:p w14:paraId="6AF478F5">
            <w:pPr>
              <w:spacing w:before="58"/>
              <w:ind w:left="152" w:right="22" w:hanging="39"/>
              <w:rPr>
                <w:rFonts w:ascii="宋体" w:hAnsi="宋体"/>
                <w:sz w:val="18"/>
                <w:szCs w:val="18"/>
              </w:rPr>
            </w:pPr>
            <w:r>
              <w:rPr>
                <w:rFonts w:hint="eastAsia" w:ascii="宋体" w:hAnsi="宋体"/>
                <w:sz w:val="18"/>
                <w:szCs w:val="18"/>
              </w:rPr>
              <w:t>部门(单位)所设立的整体绩效目标依据是否充</w:t>
            </w:r>
            <w:r>
              <w:rPr>
                <w:rFonts w:hint="eastAsia" w:ascii="宋体" w:hAnsi="宋体"/>
                <w:spacing w:val="-1"/>
                <w:sz w:val="18"/>
                <w:szCs w:val="18"/>
              </w:rPr>
              <w:t>分，</w:t>
            </w:r>
            <w:r>
              <w:rPr>
                <w:rFonts w:hint="eastAsia" w:ascii="宋体" w:hAnsi="宋体"/>
                <w:sz w:val="18"/>
                <w:szCs w:val="18"/>
              </w:rPr>
              <w:t xml:space="preserve"> </w:t>
            </w:r>
            <w:r>
              <w:rPr>
                <w:rFonts w:hint="eastAsia" w:ascii="宋体" w:hAnsi="宋体"/>
                <w:spacing w:val="1"/>
                <w:sz w:val="18"/>
                <w:szCs w:val="18"/>
              </w:rPr>
              <w:t>是否符合客观实际，用以反映和考核部门(单位)</w:t>
            </w:r>
          </w:p>
          <w:p w14:paraId="524D3266">
            <w:pPr>
              <w:spacing w:line="247" w:lineRule="auto"/>
              <w:ind w:left="92" w:right="80" w:hanging="29"/>
              <w:rPr>
                <w:rFonts w:ascii="宋体" w:hAnsi="宋体"/>
                <w:sz w:val="18"/>
                <w:szCs w:val="18"/>
              </w:rPr>
            </w:pPr>
            <w:r>
              <w:rPr>
                <w:rFonts w:hint="eastAsia" w:ascii="宋体" w:hAnsi="宋体"/>
                <w:spacing w:val="-1"/>
                <w:sz w:val="18"/>
                <w:szCs w:val="18"/>
              </w:rPr>
              <w:t>整体绩效目标与部门履职、年度工作任务的相符性</w:t>
            </w:r>
            <w:r>
              <w:rPr>
                <w:rFonts w:hint="eastAsia" w:ascii="宋体" w:hAnsi="宋体"/>
                <w:spacing w:val="13"/>
                <w:sz w:val="18"/>
                <w:szCs w:val="18"/>
              </w:rPr>
              <w:t xml:space="preserve"> </w:t>
            </w:r>
            <w:r>
              <w:rPr>
                <w:rFonts w:hint="eastAsia" w:ascii="宋体" w:hAnsi="宋体"/>
                <w:spacing w:val="-1"/>
                <w:sz w:val="18"/>
                <w:szCs w:val="18"/>
              </w:rPr>
              <w:t>情况。</w:t>
            </w:r>
          </w:p>
        </w:tc>
        <w:tc>
          <w:tcPr>
            <w:tcW w:w="2967" w:type="dxa"/>
            <w:tcBorders>
              <w:top w:val="single" w:color="000000" w:sz="4" w:space="0"/>
              <w:left w:val="single" w:color="000000" w:sz="4" w:space="0"/>
              <w:bottom w:val="single" w:color="000000" w:sz="4" w:space="0"/>
              <w:right w:val="single" w:color="000000" w:sz="4" w:space="0"/>
            </w:tcBorders>
          </w:tcPr>
          <w:p w14:paraId="1FC91750">
            <w:pPr>
              <w:spacing w:before="56"/>
              <w:ind w:left="77" w:right="115" w:firstLine="49"/>
              <w:rPr>
                <w:rFonts w:ascii="宋体" w:hAnsi="宋体"/>
                <w:sz w:val="18"/>
                <w:szCs w:val="18"/>
              </w:rPr>
            </w:pPr>
            <w:r>
              <w:rPr>
                <w:rFonts w:hint="eastAsia" w:ascii="宋体" w:hAnsi="宋体"/>
                <w:sz w:val="18"/>
                <w:szCs w:val="18"/>
              </w:rPr>
              <w:t>①符合国家法律法规、国民经济和</w:t>
            </w:r>
            <w:r>
              <w:rPr>
                <w:rFonts w:hint="eastAsia" w:ascii="宋体" w:hAnsi="宋体"/>
                <w:spacing w:val="13"/>
                <w:sz w:val="18"/>
                <w:szCs w:val="18"/>
              </w:rPr>
              <w:t xml:space="preserve"> </w:t>
            </w:r>
            <w:r>
              <w:rPr>
                <w:rFonts w:hint="eastAsia" w:ascii="宋体" w:hAnsi="宋体"/>
                <w:spacing w:val="6"/>
                <w:sz w:val="18"/>
                <w:szCs w:val="18"/>
              </w:rPr>
              <w:t>社会发展总体规划的计1分；</w:t>
            </w:r>
          </w:p>
          <w:p w14:paraId="71BABC39">
            <w:pPr>
              <w:spacing w:before="24" w:line="244" w:lineRule="auto"/>
              <w:ind w:left="107" w:right="135" w:firstLine="19"/>
              <w:rPr>
                <w:rFonts w:hint="eastAsia" w:ascii="宋体" w:hAnsi="宋体"/>
                <w:sz w:val="18"/>
                <w:szCs w:val="18"/>
              </w:rPr>
            </w:pPr>
            <w:r>
              <w:rPr>
                <w:rFonts w:hint="eastAsia" w:ascii="宋体" w:hAnsi="宋体"/>
                <w:spacing w:val="-1"/>
                <w:sz w:val="18"/>
                <w:szCs w:val="18"/>
              </w:rPr>
              <w:t>②符合部门“三定”方案确定的职</w:t>
            </w:r>
            <w:r>
              <w:rPr>
                <w:rFonts w:hint="eastAsia" w:ascii="宋体" w:hAnsi="宋体"/>
                <w:spacing w:val="8"/>
                <w:sz w:val="18"/>
                <w:szCs w:val="18"/>
              </w:rPr>
              <w:t xml:space="preserve"> </w:t>
            </w:r>
            <w:r>
              <w:rPr>
                <w:rFonts w:hint="eastAsia" w:ascii="宋体" w:hAnsi="宋体"/>
                <w:spacing w:val="14"/>
                <w:sz w:val="18"/>
                <w:szCs w:val="18"/>
              </w:rPr>
              <w:t>责的计1分；</w:t>
            </w:r>
          </w:p>
          <w:p w14:paraId="6D5C3A62">
            <w:pPr>
              <w:ind w:left="87" w:right="135" w:firstLine="39"/>
              <w:rPr>
                <w:rFonts w:ascii="宋体" w:hAnsi="宋体"/>
                <w:sz w:val="18"/>
                <w:szCs w:val="18"/>
              </w:rPr>
            </w:pPr>
            <w:r>
              <w:rPr>
                <w:rFonts w:hint="eastAsia" w:ascii="宋体" w:hAnsi="宋体"/>
                <w:spacing w:val="-1"/>
                <w:sz w:val="18"/>
                <w:szCs w:val="18"/>
              </w:rPr>
              <w:t>③符合部门制定的中长期实施规划</w:t>
            </w:r>
            <w:r>
              <w:rPr>
                <w:rFonts w:hint="eastAsia" w:ascii="宋体" w:hAnsi="宋体"/>
                <w:spacing w:val="8"/>
                <w:sz w:val="18"/>
                <w:szCs w:val="18"/>
              </w:rPr>
              <w:t xml:space="preserve"> </w:t>
            </w:r>
            <w:r>
              <w:rPr>
                <w:rFonts w:hint="eastAsia" w:ascii="宋体" w:hAnsi="宋体"/>
                <w:spacing w:val="-1"/>
                <w:sz w:val="18"/>
                <w:szCs w:val="18"/>
              </w:rPr>
              <w:t>的计1分。</w:t>
            </w:r>
          </w:p>
        </w:tc>
        <w:tc>
          <w:tcPr>
            <w:tcW w:w="654" w:type="dxa"/>
            <w:tcBorders>
              <w:top w:val="single" w:color="000000" w:sz="4" w:space="0"/>
              <w:left w:val="single" w:color="000000" w:sz="4" w:space="0"/>
              <w:bottom w:val="single" w:color="000000" w:sz="4" w:space="0"/>
              <w:right w:val="single" w:color="000000" w:sz="4" w:space="0"/>
            </w:tcBorders>
            <w:vAlign w:val="center"/>
          </w:tcPr>
          <w:p w14:paraId="256895F2">
            <w:pPr>
              <w:pStyle w:val="10"/>
              <w:jc w:val="center"/>
              <w:rPr>
                <w:rFonts w:hint="eastAsia" w:eastAsia="宋体"/>
                <w:sz w:val="20"/>
                <w:lang w:val="en-US" w:eastAsia="zh-CN"/>
              </w:rPr>
            </w:pPr>
            <w:r>
              <w:rPr>
                <w:rFonts w:hint="eastAsia"/>
                <w:sz w:val="20"/>
                <w:lang w:val="en-US" w:eastAsia="zh-CN"/>
              </w:rPr>
              <w:t>3</w:t>
            </w:r>
          </w:p>
        </w:tc>
      </w:tr>
      <w:tr w14:paraId="5100AF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8" w:hRule="atLeast"/>
        </w:trPr>
        <w:tc>
          <w:tcPr>
            <w:tcW w:w="924" w:type="dxa"/>
            <w:vMerge w:val="continue"/>
            <w:tcBorders>
              <w:top w:val="nil"/>
              <w:left w:val="single" w:color="000000" w:sz="4" w:space="0"/>
              <w:bottom w:val="nil"/>
              <w:right w:val="single" w:color="000000" w:sz="4" w:space="0"/>
            </w:tcBorders>
            <w:vAlign w:val="center"/>
          </w:tcPr>
          <w:p w14:paraId="2FE90F60">
            <w:pPr>
              <w:kinsoku/>
              <w:autoSpaceDE/>
              <w:autoSpaceDN/>
              <w:adjustRightInd/>
              <w:snapToGrid/>
              <w:textAlignment w:val="auto"/>
              <w:rPr>
                <w:rFonts w:ascii="宋体" w:hAnsi="宋体"/>
                <w:sz w:val="18"/>
                <w:szCs w:val="18"/>
              </w:rPr>
            </w:pPr>
          </w:p>
        </w:tc>
        <w:tc>
          <w:tcPr>
            <w:tcW w:w="619" w:type="dxa"/>
            <w:vMerge w:val="continue"/>
            <w:tcBorders>
              <w:top w:val="nil"/>
              <w:left w:val="single" w:color="000000" w:sz="4" w:space="0"/>
              <w:bottom w:val="nil"/>
              <w:right w:val="single" w:color="000000" w:sz="4" w:space="0"/>
            </w:tcBorders>
            <w:vAlign w:val="center"/>
          </w:tcPr>
          <w:p w14:paraId="3E902FB1">
            <w:pPr>
              <w:kinsoku/>
              <w:autoSpaceDE/>
              <w:autoSpaceDN/>
              <w:adjustRightInd/>
              <w:snapToGrid/>
              <w:textAlignment w:val="auto"/>
              <w:rPr>
                <w:rFonts w:ascii="宋体" w:hAnsi="宋体"/>
                <w:sz w:val="18"/>
                <w:szCs w:val="18"/>
              </w:rPr>
            </w:pPr>
          </w:p>
        </w:tc>
        <w:tc>
          <w:tcPr>
            <w:tcW w:w="669" w:type="dxa"/>
            <w:tcBorders>
              <w:top w:val="single" w:color="000000" w:sz="4" w:space="0"/>
              <w:left w:val="single" w:color="000000" w:sz="4" w:space="0"/>
              <w:bottom w:val="single" w:color="000000" w:sz="4" w:space="0"/>
              <w:right w:val="single" w:color="000000" w:sz="4" w:space="0"/>
            </w:tcBorders>
          </w:tcPr>
          <w:p w14:paraId="5FA01186">
            <w:pPr>
              <w:pStyle w:val="10"/>
              <w:spacing w:line="398" w:lineRule="auto"/>
              <w:rPr>
                <w:sz w:val="21"/>
              </w:rPr>
            </w:pPr>
          </w:p>
          <w:p w14:paraId="483EF8EC">
            <w:pPr>
              <w:spacing w:before="58"/>
              <w:ind w:left="142"/>
              <w:rPr>
                <w:rFonts w:ascii="宋体" w:hAnsi="宋体"/>
                <w:sz w:val="18"/>
                <w:szCs w:val="18"/>
              </w:rPr>
            </w:pPr>
            <w:r>
              <w:rPr>
                <w:rFonts w:hint="eastAsia" w:ascii="宋体" w:hAnsi="宋体"/>
                <w:spacing w:val="-3"/>
                <w:sz w:val="18"/>
                <w:szCs w:val="18"/>
              </w:rPr>
              <w:t>绩效</w:t>
            </w:r>
          </w:p>
          <w:p w14:paraId="70C0789B">
            <w:pPr>
              <w:spacing w:before="25"/>
              <w:ind w:left="142"/>
              <w:rPr>
                <w:rFonts w:hint="eastAsia" w:ascii="宋体" w:hAnsi="宋体"/>
                <w:sz w:val="18"/>
                <w:szCs w:val="18"/>
              </w:rPr>
            </w:pPr>
            <w:r>
              <w:rPr>
                <w:rFonts w:hint="eastAsia" w:ascii="宋体" w:hAnsi="宋体"/>
                <w:spacing w:val="-3"/>
                <w:sz w:val="18"/>
                <w:szCs w:val="18"/>
              </w:rPr>
              <w:t>指标</w:t>
            </w:r>
          </w:p>
          <w:p w14:paraId="346530CB">
            <w:pPr>
              <w:spacing w:before="34"/>
              <w:ind w:left="142"/>
              <w:rPr>
                <w:rFonts w:hint="eastAsia" w:ascii="宋体" w:hAnsi="宋体"/>
                <w:sz w:val="18"/>
                <w:szCs w:val="18"/>
              </w:rPr>
            </w:pPr>
            <w:r>
              <w:rPr>
                <w:rFonts w:hint="eastAsia" w:ascii="宋体" w:hAnsi="宋体"/>
                <w:spacing w:val="7"/>
                <w:sz w:val="18"/>
                <w:szCs w:val="18"/>
              </w:rPr>
              <w:t>明确</w:t>
            </w:r>
          </w:p>
          <w:p w14:paraId="4DDC0F17">
            <w:pPr>
              <w:spacing w:before="7"/>
              <w:ind w:left="231"/>
              <w:rPr>
                <w:rFonts w:ascii="宋体" w:hAnsi="宋体"/>
                <w:sz w:val="18"/>
                <w:szCs w:val="18"/>
              </w:rPr>
            </w:pPr>
            <w:r>
              <w:rPr>
                <w:rFonts w:hint="eastAsia" w:ascii="宋体" w:hAnsi="宋体"/>
                <w:sz w:val="18"/>
                <w:szCs w:val="18"/>
              </w:rPr>
              <w:t>性</w:t>
            </w:r>
          </w:p>
        </w:tc>
        <w:tc>
          <w:tcPr>
            <w:tcW w:w="624" w:type="dxa"/>
            <w:tcBorders>
              <w:top w:val="single" w:color="000000" w:sz="4" w:space="0"/>
              <w:left w:val="single" w:color="000000" w:sz="4" w:space="0"/>
              <w:bottom w:val="single" w:color="000000" w:sz="4" w:space="0"/>
              <w:right w:val="single" w:color="000000" w:sz="4" w:space="0"/>
            </w:tcBorders>
          </w:tcPr>
          <w:p w14:paraId="3FDB2501">
            <w:pPr>
              <w:pStyle w:val="10"/>
              <w:spacing w:line="259" w:lineRule="auto"/>
              <w:rPr>
                <w:sz w:val="21"/>
              </w:rPr>
            </w:pPr>
          </w:p>
          <w:p w14:paraId="7FF524D0">
            <w:pPr>
              <w:pStyle w:val="10"/>
              <w:spacing w:line="259" w:lineRule="auto"/>
              <w:rPr>
                <w:sz w:val="20"/>
              </w:rPr>
            </w:pPr>
          </w:p>
          <w:p w14:paraId="7D0F8200">
            <w:pPr>
              <w:pStyle w:val="10"/>
              <w:spacing w:line="259" w:lineRule="auto"/>
              <w:rPr>
                <w:sz w:val="20"/>
              </w:rPr>
            </w:pPr>
          </w:p>
          <w:p w14:paraId="0B9FBA49">
            <w:pPr>
              <w:spacing w:before="59"/>
              <w:ind w:left="182"/>
              <w:rPr>
                <w:rFonts w:ascii="宋体" w:hAnsi="宋体"/>
                <w:sz w:val="18"/>
                <w:szCs w:val="18"/>
              </w:rPr>
            </w:pPr>
            <w:r>
              <w:rPr>
                <w:rFonts w:hint="eastAsia" w:ascii="宋体" w:hAnsi="宋体"/>
                <w:sz w:val="18"/>
                <w:szCs w:val="18"/>
              </w:rPr>
              <w:t>2</w:t>
            </w:r>
          </w:p>
        </w:tc>
        <w:tc>
          <w:tcPr>
            <w:tcW w:w="3962" w:type="dxa"/>
            <w:tcBorders>
              <w:top w:val="single" w:color="000000" w:sz="4" w:space="0"/>
              <w:left w:val="single" w:color="000000" w:sz="4" w:space="0"/>
              <w:bottom w:val="single" w:color="000000" w:sz="4" w:space="0"/>
              <w:right w:val="single" w:color="000000" w:sz="4" w:space="0"/>
            </w:tcBorders>
          </w:tcPr>
          <w:p w14:paraId="638EE53E">
            <w:pPr>
              <w:pStyle w:val="10"/>
              <w:spacing w:line="266" w:lineRule="auto"/>
              <w:rPr>
                <w:sz w:val="21"/>
              </w:rPr>
            </w:pPr>
          </w:p>
          <w:p w14:paraId="79C1D836">
            <w:pPr>
              <w:pStyle w:val="10"/>
              <w:spacing w:line="268" w:lineRule="auto"/>
              <w:rPr>
                <w:sz w:val="20"/>
              </w:rPr>
            </w:pPr>
          </w:p>
          <w:p w14:paraId="1188A9EF">
            <w:pPr>
              <w:spacing w:before="59" w:line="244" w:lineRule="auto"/>
              <w:ind w:left="23" w:right="32" w:firstLine="129"/>
              <w:rPr>
                <w:rFonts w:ascii="宋体" w:hAnsi="宋体"/>
                <w:sz w:val="18"/>
                <w:szCs w:val="18"/>
              </w:rPr>
            </w:pPr>
            <w:r>
              <w:rPr>
                <w:rFonts w:hint="eastAsia" w:ascii="宋体" w:hAnsi="宋体"/>
                <w:spacing w:val="-1"/>
                <w:sz w:val="18"/>
                <w:szCs w:val="18"/>
              </w:rPr>
              <w:t>部门(单位)依据整体绩效目标所设定的绩效指标</w:t>
            </w:r>
            <w:r>
              <w:rPr>
                <w:rFonts w:hint="eastAsia" w:ascii="宋体" w:hAnsi="宋体"/>
                <w:spacing w:val="5"/>
                <w:sz w:val="18"/>
                <w:szCs w:val="18"/>
              </w:rPr>
              <w:t xml:space="preserve">  </w:t>
            </w:r>
            <w:r>
              <w:rPr>
                <w:rFonts w:hint="eastAsia" w:ascii="宋体" w:hAnsi="宋体"/>
                <w:spacing w:val="-1"/>
                <w:sz w:val="18"/>
                <w:szCs w:val="18"/>
              </w:rPr>
              <w:t>是否清晰、细化、可衡量，用以反映和考核部门(单</w:t>
            </w:r>
          </w:p>
          <w:p w14:paraId="79B021FC">
            <w:pPr>
              <w:ind w:left="113"/>
              <w:rPr>
                <w:rFonts w:ascii="宋体" w:hAnsi="宋体"/>
                <w:sz w:val="18"/>
                <w:szCs w:val="18"/>
              </w:rPr>
            </w:pPr>
            <w:r>
              <w:rPr>
                <w:rFonts w:hint="eastAsia" w:ascii="宋体" w:hAnsi="宋体"/>
                <w:spacing w:val="-1"/>
                <w:sz w:val="18"/>
                <w:szCs w:val="18"/>
              </w:rPr>
              <w:t>位)整体绩效目标的明细化情况。</w:t>
            </w:r>
          </w:p>
        </w:tc>
        <w:tc>
          <w:tcPr>
            <w:tcW w:w="2967" w:type="dxa"/>
            <w:tcBorders>
              <w:top w:val="single" w:color="000000" w:sz="4" w:space="0"/>
              <w:left w:val="single" w:color="000000" w:sz="4" w:space="0"/>
              <w:bottom w:val="single" w:color="000000" w:sz="4" w:space="0"/>
              <w:right w:val="single" w:color="000000" w:sz="4" w:space="0"/>
            </w:tcBorders>
          </w:tcPr>
          <w:p w14:paraId="26190B41">
            <w:pPr>
              <w:spacing w:before="86"/>
              <w:ind w:left="176" w:right="79" w:hanging="49"/>
              <w:rPr>
                <w:rFonts w:ascii="宋体" w:hAnsi="宋体"/>
                <w:sz w:val="18"/>
                <w:szCs w:val="18"/>
              </w:rPr>
            </w:pPr>
            <w:r>
              <w:rPr>
                <w:rFonts w:hint="eastAsia" w:ascii="宋体" w:hAnsi="宋体"/>
                <w:spacing w:val="-1"/>
                <w:sz w:val="18"/>
                <w:szCs w:val="18"/>
              </w:rPr>
              <w:t>①将部门整体的绩效目标细化分解</w:t>
            </w:r>
            <w:r>
              <w:rPr>
                <w:rFonts w:hint="eastAsia" w:ascii="宋体" w:hAnsi="宋体"/>
                <w:spacing w:val="7"/>
                <w:sz w:val="18"/>
                <w:szCs w:val="18"/>
              </w:rPr>
              <w:t xml:space="preserve"> </w:t>
            </w:r>
            <w:r>
              <w:rPr>
                <w:rFonts w:hint="eastAsia" w:ascii="宋体" w:hAnsi="宋体"/>
                <w:spacing w:val="5"/>
                <w:sz w:val="18"/>
                <w:szCs w:val="18"/>
              </w:rPr>
              <w:t>为具体的工作任务的，计0.5分；</w:t>
            </w:r>
          </w:p>
          <w:p w14:paraId="118013E9">
            <w:pPr>
              <w:spacing w:before="51" w:line="242" w:lineRule="auto"/>
              <w:ind w:left="87" w:right="68" w:firstLine="39"/>
              <w:rPr>
                <w:rFonts w:ascii="宋体" w:hAnsi="宋体"/>
                <w:sz w:val="18"/>
                <w:szCs w:val="18"/>
              </w:rPr>
            </w:pPr>
            <w:r>
              <w:rPr>
                <w:rFonts w:hint="eastAsia" w:ascii="宋体" w:hAnsi="宋体"/>
                <w:spacing w:val="1"/>
                <w:sz w:val="18"/>
                <w:szCs w:val="18"/>
              </w:rPr>
              <w:t>②通过清晰、可衡量的指标值予以</w:t>
            </w:r>
            <w:r>
              <w:rPr>
                <w:rFonts w:hint="eastAsia" w:ascii="宋体" w:hAnsi="宋体"/>
                <w:sz w:val="18"/>
                <w:szCs w:val="18"/>
              </w:rPr>
              <w:t xml:space="preserve"> </w:t>
            </w:r>
            <w:r>
              <w:rPr>
                <w:rFonts w:hint="eastAsia" w:ascii="宋体" w:hAnsi="宋体"/>
                <w:spacing w:val="5"/>
                <w:sz w:val="18"/>
                <w:szCs w:val="18"/>
              </w:rPr>
              <w:t>体现的，计0.5分；③与部门年度</w:t>
            </w:r>
            <w:r>
              <w:rPr>
                <w:rFonts w:hint="eastAsia" w:ascii="宋体" w:hAnsi="宋体"/>
                <w:sz w:val="18"/>
                <w:szCs w:val="18"/>
              </w:rPr>
              <w:t xml:space="preserve">  的任务数或计划数相对应的，计0.5</w:t>
            </w:r>
            <w:r>
              <w:rPr>
                <w:rFonts w:hint="eastAsia" w:ascii="宋体" w:hAnsi="宋体"/>
                <w:spacing w:val="10"/>
                <w:sz w:val="18"/>
                <w:szCs w:val="18"/>
              </w:rPr>
              <w:t xml:space="preserve"> </w:t>
            </w:r>
            <w:r>
              <w:rPr>
                <w:rFonts w:hint="eastAsia" w:ascii="宋体" w:hAnsi="宋体"/>
                <w:spacing w:val="3"/>
                <w:sz w:val="18"/>
                <w:szCs w:val="18"/>
              </w:rPr>
              <w:t>分；④与本年度部门预算资金相匹</w:t>
            </w:r>
            <w:r>
              <w:rPr>
                <w:rFonts w:hint="eastAsia" w:ascii="宋体" w:hAnsi="宋体"/>
                <w:spacing w:val="6"/>
                <w:sz w:val="18"/>
                <w:szCs w:val="18"/>
              </w:rPr>
              <w:t xml:space="preserve"> </w:t>
            </w:r>
            <w:r>
              <w:rPr>
                <w:rFonts w:hint="eastAsia" w:ascii="宋体" w:hAnsi="宋体"/>
                <w:spacing w:val="2"/>
                <w:sz w:val="18"/>
                <w:szCs w:val="18"/>
              </w:rPr>
              <w:t>配的，计0.5分</w:t>
            </w:r>
          </w:p>
        </w:tc>
        <w:tc>
          <w:tcPr>
            <w:tcW w:w="654" w:type="dxa"/>
            <w:tcBorders>
              <w:top w:val="single" w:color="000000" w:sz="4" w:space="0"/>
              <w:left w:val="single" w:color="000000" w:sz="4" w:space="0"/>
              <w:bottom w:val="single" w:color="000000" w:sz="4" w:space="0"/>
              <w:right w:val="single" w:color="000000" w:sz="4" w:space="0"/>
            </w:tcBorders>
            <w:vAlign w:val="center"/>
          </w:tcPr>
          <w:p w14:paraId="7B0FFE21">
            <w:pPr>
              <w:pStyle w:val="10"/>
              <w:jc w:val="center"/>
              <w:rPr>
                <w:rFonts w:hint="eastAsia" w:eastAsia="宋体"/>
                <w:sz w:val="20"/>
                <w:lang w:val="en-US" w:eastAsia="zh-CN"/>
              </w:rPr>
            </w:pPr>
            <w:r>
              <w:rPr>
                <w:rFonts w:hint="eastAsia"/>
                <w:sz w:val="20"/>
                <w:lang w:val="en-US" w:eastAsia="zh-CN"/>
              </w:rPr>
              <w:t>2</w:t>
            </w:r>
          </w:p>
        </w:tc>
      </w:tr>
      <w:tr w14:paraId="5269D5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8" w:hRule="atLeast"/>
        </w:trPr>
        <w:tc>
          <w:tcPr>
            <w:tcW w:w="924" w:type="dxa"/>
            <w:vMerge w:val="continue"/>
            <w:tcBorders>
              <w:top w:val="nil"/>
              <w:left w:val="single" w:color="000000" w:sz="4" w:space="0"/>
              <w:bottom w:val="nil"/>
              <w:right w:val="single" w:color="000000" w:sz="4" w:space="0"/>
            </w:tcBorders>
            <w:vAlign w:val="center"/>
          </w:tcPr>
          <w:p w14:paraId="366882C4">
            <w:pPr>
              <w:kinsoku/>
              <w:autoSpaceDE/>
              <w:autoSpaceDN/>
              <w:adjustRightInd/>
              <w:snapToGrid/>
              <w:textAlignment w:val="auto"/>
              <w:rPr>
                <w:rFonts w:ascii="宋体" w:hAnsi="宋体"/>
                <w:sz w:val="18"/>
                <w:szCs w:val="18"/>
              </w:rPr>
            </w:pPr>
          </w:p>
        </w:tc>
        <w:tc>
          <w:tcPr>
            <w:tcW w:w="619" w:type="dxa"/>
            <w:vMerge w:val="restart"/>
            <w:tcBorders>
              <w:top w:val="nil"/>
              <w:left w:val="single" w:color="000000" w:sz="4" w:space="0"/>
              <w:bottom w:val="nil"/>
              <w:right w:val="single" w:color="000000" w:sz="4" w:space="0"/>
            </w:tcBorders>
          </w:tcPr>
          <w:p w14:paraId="014A5D72">
            <w:pPr>
              <w:pStyle w:val="10"/>
              <w:rPr>
                <w:sz w:val="21"/>
              </w:rPr>
            </w:pPr>
          </w:p>
          <w:p w14:paraId="7458E93A">
            <w:pPr>
              <w:pStyle w:val="10"/>
              <w:rPr>
                <w:sz w:val="20"/>
              </w:rPr>
            </w:pPr>
          </w:p>
          <w:p w14:paraId="54CE7D0B">
            <w:pPr>
              <w:pStyle w:val="10"/>
              <w:rPr>
                <w:sz w:val="20"/>
              </w:rPr>
            </w:pPr>
          </w:p>
          <w:p w14:paraId="3DF491C0">
            <w:pPr>
              <w:pStyle w:val="10"/>
              <w:rPr>
                <w:sz w:val="20"/>
              </w:rPr>
            </w:pPr>
          </w:p>
          <w:p w14:paraId="1D2789DA">
            <w:pPr>
              <w:pStyle w:val="10"/>
              <w:rPr>
                <w:sz w:val="20"/>
              </w:rPr>
            </w:pPr>
          </w:p>
          <w:p w14:paraId="0F11C6E4">
            <w:pPr>
              <w:pStyle w:val="10"/>
              <w:rPr>
                <w:sz w:val="20"/>
              </w:rPr>
            </w:pPr>
          </w:p>
          <w:p w14:paraId="7C39496A">
            <w:pPr>
              <w:pStyle w:val="10"/>
              <w:rPr>
                <w:sz w:val="20"/>
              </w:rPr>
            </w:pPr>
          </w:p>
          <w:p w14:paraId="6D054B51">
            <w:pPr>
              <w:pStyle w:val="10"/>
              <w:rPr>
                <w:sz w:val="20"/>
              </w:rPr>
            </w:pPr>
          </w:p>
          <w:p w14:paraId="513AD6EE">
            <w:pPr>
              <w:pStyle w:val="10"/>
              <w:rPr>
                <w:sz w:val="20"/>
              </w:rPr>
            </w:pPr>
          </w:p>
          <w:p w14:paraId="3B39BA04">
            <w:pPr>
              <w:pStyle w:val="10"/>
              <w:rPr>
                <w:sz w:val="20"/>
              </w:rPr>
            </w:pPr>
          </w:p>
          <w:p w14:paraId="1FB66D92">
            <w:pPr>
              <w:pStyle w:val="10"/>
              <w:rPr>
                <w:sz w:val="20"/>
              </w:rPr>
            </w:pPr>
          </w:p>
          <w:p w14:paraId="51443B3C">
            <w:pPr>
              <w:spacing w:before="59"/>
              <w:ind w:left="121"/>
              <w:rPr>
                <w:rFonts w:ascii="宋体" w:hAnsi="宋体"/>
                <w:spacing w:val="-3"/>
                <w:sz w:val="18"/>
                <w:szCs w:val="18"/>
              </w:rPr>
            </w:pPr>
            <w:r>
              <w:rPr>
                <w:rFonts w:hint="eastAsia" w:ascii="宋体" w:hAnsi="宋体"/>
                <w:spacing w:val="-3"/>
                <w:sz w:val="18"/>
                <w:szCs w:val="18"/>
              </w:rPr>
              <w:t>预</w:t>
            </w:r>
          </w:p>
          <w:p w14:paraId="661999DC">
            <w:pPr>
              <w:spacing w:before="59"/>
              <w:ind w:left="121"/>
              <w:rPr>
                <w:rFonts w:hint="eastAsia" w:ascii="宋体" w:hAnsi="宋体"/>
                <w:sz w:val="18"/>
                <w:szCs w:val="18"/>
              </w:rPr>
            </w:pPr>
            <w:r>
              <w:rPr>
                <w:rFonts w:hint="eastAsia" w:ascii="宋体" w:hAnsi="宋体"/>
                <w:spacing w:val="-3"/>
                <w:sz w:val="18"/>
                <w:szCs w:val="18"/>
              </w:rPr>
              <w:t>算</w:t>
            </w:r>
          </w:p>
          <w:p w14:paraId="65D405DD">
            <w:pPr>
              <w:spacing w:before="30"/>
              <w:ind w:left="160" w:right="134" w:hanging="39"/>
              <w:jc w:val="both"/>
              <w:rPr>
                <w:rFonts w:hint="eastAsia" w:ascii="宋体" w:hAnsi="宋体"/>
                <w:spacing w:val="-4"/>
                <w:sz w:val="18"/>
                <w:szCs w:val="18"/>
              </w:rPr>
            </w:pPr>
            <w:r>
              <w:rPr>
                <w:rFonts w:hint="eastAsia" w:ascii="宋体" w:hAnsi="宋体"/>
                <w:spacing w:val="-4"/>
                <w:sz w:val="18"/>
                <w:szCs w:val="18"/>
              </w:rPr>
              <w:t>配</w:t>
            </w:r>
          </w:p>
          <w:p w14:paraId="6869D3D8">
            <w:pPr>
              <w:spacing w:before="30"/>
              <w:ind w:left="160" w:right="134" w:hanging="39"/>
              <w:jc w:val="both"/>
              <w:rPr>
                <w:rFonts w:ascii="宋体" w:hAnsi="宋体"/>
                <w:sz w:val="18"/>
                <w:szCs w:val="18"/>
              </w:rPr>
            </w:pPr>
            <w:r>
              <w:rPr>
                <w:rFonts w:hint="eastAsia" w:ascii="宋体" w:hAnsi="宋体"/>
                <w:spacing w:val="-4"/>
                <w:sz w:val="18"/>
                <w:szCs w:val="18"/>
              </w:rPr>
              <w:t>置</w:t>
            </w:r>
            <w:r>
              <w:rPr>
                <w:rFonts w:hint="eastAsia" w:ascii="宋体" w:hAnsi="宋体"/>
                <w:sz w:val="18"/>
                <w:szCs w:val="18"/>
              </w:rPr>
              <w:t xml:space="preserve"> </w:t>
            </w:r>
            <w:r>
              <w:rPr>
                <w:rFonts w:hint="eastAsia" w:ascii="宋体" w:hAnsi="宋体"/>
                <w:spacing w:val="-13"/>
                <w:sz w:val="18"/>
                <w:szCs w:val="18"/>
              </w:rPr>
              <w:t>(10</w:t>
            </w:r>
            <w:r>
              <w:rPr>
                <w:rFonts w:hint="eastAsia" w:ascii="宋体" w:hAnsi="宋体"/>
                <w:sz w:val="18"/>
                <w:szCs w:val="18"/>
              </w:rPr>
              <w:t xml:space="preserve">  </w:t>
            </w:r>
            <w:r>
              <w:rPr>
                <w:rFonts w:hint="eastAsia" w:ascii="宋体" w:hAnsi="宋体"/>
                <w:spacing w:val="-9"/>
                <w:sz w:val="18"/>
                <w:szCs w:val="18"/>
              </w:rPr>
              <w:t>分</w:t>
            </w:r>
            <w:r>
              <w:rPr>
                <w:rFonts w:hint="eastAsia" w:ascii="宋体" w:hAnsi="宋体"/>
                <w:spacing w:val="-34"/>
                <w:sz w:val="18"/>
                <w:szCs w:val="18"/>
              </w:rPr>
              <w:t xml:space="preserve"> </w:t>
            </w:r>
            <w:r>
              <w:rPr>
                <w:rFonts w:hint="eastAsia" w:ascii="宋体" w:hAnsi="宋体"/>
                <w:spacing w:val="-9"/>
                <w:sz w:val="18"/>
                <w:szCs w:val="18"/>
              </w:rPr>
              <w:t>)</w:t>
            </w:r>
          </w:p>
        </w:tc>
        <w:tc>
          <w:tcPr>
            <w:tcW w:w="669" w:type="dxa"/>
            <w:tcBorders>
              <w:top w:val="single" w:color="000000" w:sz="4" w:space="0"/>
              <w:left w:val="single" w:color="000000" w:sz="4" w:space="0"/>
              <w:bottom w:val="single" w:color="000000" w:sz="4" w:space="0"/>
              <w:right w:val="single" w:color="000000" w:sz="4" w:space="0"/>
            </w:tcBorders>
          </w:tcPr>
          <w:p w14:paraId="402FFBD9">
            <w:pPr>
              <w:pStyle w:val="10"/>
              <w:spacing w:line="470" w:lineRule="auto"/>
              <w:rPr>
                <w:sz w:val="21"/>
              </w:rPr>
            </w:pPr>
          </w:p>
          <w:p w14:paraId="4E16708F">
            <w:pPr>
              <w:spacing w:before="59"/>
              <w:ind w:left="142" w:right="132"/>
              <w:rPr>
                <w:rFonts w:ascii="宋体" w:hAnsi="宋体"/>
                <w:sz w:val="18"/>
                <w:szCs w:val="18"/>
              </w:rPr>
            </w:pPr>
            <w:r>
              <w:rPr>
                <w:rFonts w:hint="eastAsia" w:ascii="宋体" w:hAnsi="宋体"/>
                <w:spacing w:val="-4"/>
                <w:sz w:val="18"/>
                <w:szCs w:val="18"/>
              </w:rPr>
              <w:t>在职</w:t>
            </w:r>
            <w:r>
              <w:rPr>
                <w:rFonts w:hint="eastAsia" w:ascii="宋体" w:hAnsi="宋体"/>
                <w:sz w:val="18"/>
                <w:szCs w:val="18"/>
              </w:rPr>
              <w:t xml:space="preserve"> </w:t>
            </w:r>
            <w:r>
              <w:rPr>
                <w:rFonts w:hint="eastAsia" w:ascii="宋体" w:hAnsi="宋体"/>
                <w:spacing w:val="12"/>
                <w:sz w:val="18"/>
                <w:szCs w:val="18"/>
              </w:rPr>
              <w:t>人员</w:t>
            </w:r>
          </w:p>
          <w:p w14:paraId="75195966">
            <w:pPr>
              <w:spacing w:before="14"/>
              <w:ind w:left="231" w:right="141" w:hanging="89"/>
              <w:rPr>
                <w:rFonts w:ascii="宋体" w:hAnsi="宋体"/>
                <w:sz w:val="18"/>
                <w:szCs w:val="18"/>
              </w:rPr>
            </w:pPr>
            <w:r>
              <w:rPr>
                <w:rFonts w:hint="eastAsia" w:ascii="宋体" w:hAnsi="宋体"/>
                <w:spacing w:val="7"/>
                <w:sz w:val="18"/>
                <w:szCs w:val="18"/>
              </w:rPr>
              <w:t>控制</w:t>
            </w:r>
            <w:r>
              <w:rPr>
                <w:rFonts w:hint="eastAsia" w:ascii="宋体" w:hAnsi="宋体"/>
                <w:sz w:val="18"/>
                <w:szCs w:val="18"/>
              </w:rPr>
              <w:t xml:space="preserve"> 率</w:t>
            </w:r>
          </w:p>
        </w:tc>
        <w:tc>
          <w:tcPr>
            <w:tcW w:w="624" w:type="dxa"/>
            <w:tcBorders>
              <w:top w:val="single" w:color="000000" w:sz="4" w:space="0"/>
              <w:left w:val="single" w:color="000000" w:sz="4" w:space="0"/>
              <w:bottom w:val="single" w:color="000000" w:sz="4" w:space="0"/>
              <w:right w:val="single" w:color="000000" w:sz="4" w:space="0"/>
            </w:tcBorders>
          </w:tcPr>
          <w:p w14:paraId="115598AE">
            <w:pPr>
              <w:pStyle w:val="10"/>
              <w:spacing w:line="276" w:lineRule="auto"/>
              <w:rPr>
                <w:sz w:val="21"/>
              </w:rPr>
            </w:pPr>
          </w:p>
          <w:p w14:paraId="049967D8">
            <w:pPr>
              <w:pStyle w:val="10"/>
              <w:spacing w:line="276" w:lineRule="auto"/>
              <w:rPr>
                <w:sz w:val="20"/>
              </w:rPr>
            </w:pPr>
          </w:p>
          <w:p w14:paraId="363B659E">
            <w:pPr>
              <w:pStyle w:val="10"/>
              <w:spacing w:line="278" w:lineRule="auto"/>
              <w:rPr>
                <w:sz w:val="20"/>
              </w:rPr>
            </w:pPr>
          </w:p>
          <w:p w14:paraId="228ECB4C">
            <w:pPr>
              <w:spacing w:before="59"/>
              <w:ind w:left="182"/>
              <w:rPr>
                <w:rFonts w:ascii="宋体" w:hAnsi="宋体"/>
                <w:sz w:val="18"/>
                <w:szCs w:val="18"/>
              </w:rPr>
            </w:pPr>
            <w:r>
              <w:rPr>
                <w:rFonts w:hint="eastAsia" w:ascii="宋体" w:hAnsi="宋体"/>
                <w:sz w:val="18"/>
                <w:szCs w:val="18"/>
              </w:rPr>
              <w:t>2</w:t>
            </w:r>
          </w:p>
        </w:tc>
        <w:tc>
          <w:tcPr>
            <w:tcW w:w="3962" w:type="dxa"/>
            <w:tcBorders>
              <w:top w:val="single" w:color="000000" w:sz="4" w:space="0"/>
              <w:left w:val="single" w:color="000000" w:sz="4" w:space="0"/>
              <w:bottom w:val="single" w:color="000000" w:sz="4" w:space="0"/>
              <w:right w:val="single" w:color="000000" w:sz="4" w:space="0"/>
            </w:tcBorders>
          </w:tcPr>
          <w:p w14:paraId="78AEF607">
            <w:pPr>
              <w:spacing w:before="61" w:line="244" w:lineRule="auto"/>
              <w:ind w:left="113" w:right="123" w:firstLine="39"/>
              <w:rPr>
                <w:rFonts w:ascii="宋体" w:hAnsi="宋体"/>
                <w:sz w:val="18"/>
                <w:szCs w:val="18"/>
              </w:rPr>
            </w:pPr>
            <w:r>
              <w:rPr>
                <w:rFonts w:hint="eastAsia" w:ascii="宋体" w:hAnsi="宋体"/>
                <w:sz w:val="18"/>
                <w:szCs w:val="18"/>
              </w:rPr>
              <w:t>部门(单位)本年度实际在职人员数与编制数的比</w:t>
            </w:r>
            <w:r>
              <w:rPr>
                <w:rFonts w:hint="eastAsia" w:ascii="宋体" w:hAnsi="宋体"/>
                <w:spacing w:val="10"/>
                <w:sz w:val="18"/>
                <w:szCs w:val="18"/>
              </w:rPr>
              <w:t xml:space="preserve"> </w:t>
            </w:r>
            <w:r>
              <w:rPr>
                <w:rFonts w:hint="eastAsia" w:ascii="宋体" w:hAnsi="宋体"/>
                <w:spacing w:val="1"/>
                <w:sz w:val="18"/>
                <w:szCs w:val="18"/>
              </w:rPr>
              <w:t>率，用以反映和考核部门(单位)对人员成本的控</w:t>
            </w:r>
            <w:r>
              <w:rPr>
                <w:rFonts w:hint="eastAsia" w:ascii="宋体" w:hAnsi="宋体"/>
                <w:spacing w:val="8"/>
                <w:sz w:val="18"/>
                <w:szCs w:val="18"/>
              </w:rPr>
              <w:t xml:space="preserve"> </w:t>
            </w:r>
            <w:r>
              <w:rPr>
                <w:rFonts w:hint="eastAsia" w:ascii="宋体" w:hAnsi="宋体"/>
                <w:spacing w:val="3"/>
                <w:sz w:val="18"/>
                <w:szCs w:val="18"/>
              </w:rPr>
              <w:t>制程度。在职人员控制率=(在职人员数/编制数)</w:t>
            </w:r>
            <w:r>
              <w:rPr>
                <w:rFonts w:hint="eastAsia" w:ascii="宋体" w:hAnsi="宋体"/>
                <w:spacing w:val="9"/>
                <w:sz w:val="18"/>
                <w:szCs w:val="18"/>
              </w:rPr>
              <w:t xml:space="preserve"> </w:t>
            </w:r>
            <w:r>
              <w:rPr>
                <w:rFonts w:hint="eastAsia" w:ascii="宋体" w:hAnsi="宋体"/>
                <w:spacing w:val="-8"/>
                <w:sz w:val="18"/>
                <w:szCs w:val="18"/>
              </w:rPr>
              <w:t>×100%。</w:t>
            </w:r>
          </w:p>
          <w:p w14:paraId="52C8FF31">
            <w:pPr>
              <w:ind w:left="123" w:right="169" w:firstLine="29"/>
              <w:rPr>
                <w:rFonts w:hint="eastAsia" w:ascii="宋体" w:hAnsi="宋体"/>
                <w:sz w:val="18"/>
                <w:szCs w:val="18"/>
              </w:rPr>
            </w:pPr>
            <w:r>
              <w:rPr>
                <w:rFonts w:hint="eastAsia" w:ascii="宋体" w:hAnsi="宋体"/>
                <w:spacing w:val="-1"/>
                <w:sz w:val="18"/>
                <w:szCs w:val="18"/>
              </w:rPr>
              <w:t>在职人员数：部门(单位)实际在职人数，以财政</w:t>
            </w:r>
            <w:r>
              <w:rPr>
                <w:rFonts w:hint="eastAsia" w:ascii="宋体" w:hAnsi="宋体"/>
                <w:spacing w:val="14"/>
                <w:sz w:val="18"/>
                <w:szCs w:val="18"/>
              </w:rPr>
              <w:t xml:space="preserve"> </w:t>
            </w:r>
            <w:r>
              <w:rPr>
                <w:rFonts w:hint="eastAsia" w:ascii="宋体" w:hAnsi="宋体"/>
                <w:sz w:val="18"/>
                <w:szCs w:val="18"/>
              </w:rPr>
              <w:t>部确定的部门决算编制口径为准。</w:t>
            </w:r>
          </w:p>
          <w:p w14:paraId="7878DCE2">
            <w:pPr>
              <w:spacing w:before="5"/>
              <w:ind w:left="113" w:right="148" w:firstLine="39"/>
              <w:rPr>
                <w:rFonts w:ascii="宋体" w:hAnsi="宋体"/>
                <w:sz w:val="18"/>
                <w:szCs w:val="18"/>
              </w:rPr>
            </w:pPr>
            <w:r>
              <w:rPr>
                <w:rFonts w:hint="eastAsia" w:ascii="宋体" w:hAnsi="宋体"/>
                <w:sz w:val="18"/>
                <w:szCs w:val="18"/>
              </w:rPr>
              <w:t>编制数：机构编制部门核定批复的部门(单位)的</w:t>
            </w:r>
            <w:r>
              <w:rPr>
                <w:rFonts w:hint="eastAsia" w:ascii="宋体" w:hAnsi="宋体"/>
                <w:spacing w:val="13"/>
                <w:sz w:val="18"/>
                <w:szCs w:val="18"/>
              </w:rPr>
              <w:t xml:space="preserve"> </w:t>
            </w:r>
            <w:r>
              <w:rPr>
                <w:rFonts w:hint="eastAsia" w:ascii="宋体" w:hAnsi="宋体"/>
                <w:spacing w:val="-1"/>
                <w:sz w:val="18"/>
                <w:szCs w:val="18"/>
              </w:rPr>
              <w:t>人员编制数。</w:t>
            </w:r>
          </w:p>
        </w:tc>
        <w:tc>
          <w:tcPr>
            <w:tcW w:w="2967" w:type="dxa"/>
            <w:tcBorders>
              <w:top w:val="single" w:color="000000" w:sz="4" w:space="0"/>
              <w:left w:val="single" w:color="000000" w:sz="4" w:space="0"/>
              <w:bottom w:val="single" w:color="000000" w:sz="4" w:space="0"/>
              <w:right w:val="single" w:color="000000" w:sz="4" w:space="0"/>
            </w:tcBorders>
          </w:tcPr>
          <w:p w14:paraId="5C549E75">
            <w:pPr>
              <w:pStyle w:val="10"/>
              <w:spacing w:line="357" w:lineRule="auto"/>
              <w:rPr>
                <w:sz w:val="21"/>
              </w:rPr>
            </w:pPr>
          </w:p>
          <w:p w14:paraId="7A59C1F5">
            <w:pPr>
              <w:pStyle w:val="10"/>
              <w:spacing w:line="357" w:lineRule="auto"/>
              <w:rPr>
                <w:sz w:val="20"/>
              </w:rPr>
            </w:pPr>
          </w:p>
          <w:p w14:paraId="51B31761">
            <w:pPr>
              <w:spacing w:before="58" w:line="256" w:lineRule="auto"/>
              <w:ind w:left="117" w:right="79" w:firstLine="59"/>
              <w:rPr>
                <w:rFonts w:ascii="宋体" w:hAnsi="宋体"/>
                <w:sz w:val="18"/>
                <w:szCs w:val="18"/>
              </w:rPr>
            </w:pPr>
            <w:r>
              <w:rPr>
                <w:rFonts w:hint="eastAsia" w:ascii="宋体" w:hAnsi="宋体"/>
                <w:sz w:val="18"/>
                <w:szCs w:val="18"/>
              </w:rPr>
              <w:t>目标值≤100%;达到目标值计2分， 每超出1人扣0.1分，扣完为止。</w:t>
            </w:r>
          </w:p>
        </w:tc>
        <w:tc>
          <w:tcPr>
            <w:tcW w:w="654" w:type="dxa"/>
            <w:tcBorders>
              <w:top w:val="single" w:color="000000" w:sz="4" w:space="0"/>
              <w:left w:val="single" w:color="000000" w:sz="4" w:space="0"/>
              <w:bottom w:val="single" w:color="000000" w:sz="4" w:space="0"/>
              <w:right w:val="single" w:color="000000" w:sz="4" w:space="0"/>
            </w:tcBorders>
            <w:vAlign w:val="center"/>
          </w:tcPr>
          <w:p w14:paraId="4751702D">
            <w:pPr>
              <w:pStyle w:val="10"/>
              <w:jc w:val="center"/>
              <w:rPr>
                <w:rFonts w:hint="eastAsia" w:eastAsia="宋体"/>
                <w:sz w:val="20"/>
                <w:lang w:val="en-US" w:eastAsia="zh-CN"/>
              </w:rPr>
            </w:pPr>
            <w:r>
              <w:rPr>
                <w:rFonts w:hint="eastAsia"/>
                <w:sz w:val="20"/>
                <w:lang w:val="en-US" w:eastAsia="zh-CN"/>
              </w:rPr>
              <w:t>2</w:t>
            </w:r>
          </w:p>
        </w:tc>
      </w:tr>
      <w:tr w14:paraId="4454F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9" w:hRule="atLeast"/>
        </w:trPr>
        <w:tc>
          <w:tcPr>
            <w:tcW w:w="924" w:type="dxa"/>
            <w:vMerge w:val="continue"/>
            <w:tcBorders>
              <w:top w:val="nil"/>
              <w:left w:val="single" w:color="000000" w:sz="4" w:space="0"/>
              <w:bottom w:val="nil"/>
              <w:right w:val="single" w:color="000000" w:sz="4" w:space="0"/>
            </w:tcBorders>
            <w:vAlign w:val="center"/>
          </w:tcPr>
          <w:p w14:paraId="09E38C67">
            <w:pPr>
              <w:kinsoku/>
              <w:autoSpaceDE/>
              <w:autoSpaceDN/>
              <w:adjustRightInd/>
              <w:snapToGrid/>
              <w:textAlignment w:val="auto"/>
              <w:rPr>
                <w:rFonts w:ascii="宋体" w:hAnsi="宋体"/>
                <w:sz w:val="18"/>
                <w:szCs w:val="18"/>
              </w:rPr>
            </w:pPr>
          </w:p>
        </w:tc>
        <w:tc>
          <w:tcPr>
            <w:tcW w:w="619" w:type="dxa"/>
            <w:vMerge w:val="continue"/>
            <w:tcBorders>
              <w:top w:val="nil"/>
              <w:left w:val="single" w:color="000000" w:sz="4" w:space="0"/>
              <w:bottom w:val="nil"/>
              <w:right w:val="single" w:color="000000" w:sz="4" w:space="0"/>
            </w:tcBorders>
            <w:vAlign w:val="center"/>
          </w:tcPr>
          <w:p w14:paraId="52A2F3A8">
            <w:pPr>
              <w:kinsoku/>
              <w:autoSpaceDE/>
              <w:autoSpaceDN/>
              <w:adjustRightInd/>
              <w:snapToGrid/>
              <w:textAlignment w:val="auto"/>
              <w:rPr>
                <w:rFonts w:ascii="宋体" w:hAnsi="宋体"/>
                <w:sz w:val="18"/>
                <w:szCs w:val="18"/>
              </w:rPr>
            </w:pPr>
          </w:p>
        </w:tc>
        <w:tc>
          <w:tcPr>
            <w:tcW w:w="669" w:type="dxa"/>
            <w:tcBorders>
              <w:top w:val="single" w:color="000000" w:sz="4" w:space="0"/>
              <w:left w:val="single" w:color="000000" w:sz="4" w:space="0"/>
              <w:bottom w:val="single" w:color="000000" w:sz="4" w:space="0"/>
              <w:right w:val="single" w:color="000000" w:sz="4" w:space="0"/>
            </w:tcBorders>
          </w:tcPr>
          <w:p w14:paraId="64D23707">
            <w:pPr>
              <w:pStyle w:val="10"/>
              <w:spacing w:line="247" w:lineRule="auto"/>
              <w:rPr>
                <w:sz w:val="21"/>
              </w:rPr>
            </w:pPr>
          </w:p>
          <w:p w14:paraId="453658B7">
            <w:pPr>
              <w:pStyle w:val="10"/>
              <w:spacing w:line="247" w:lineRule="auto"/>
              <w:rPr>
                <w:sz w:val="20"/>
              </w:rPr>
            </w:pPr>
          </w:p>
          <w:p w14:paraId="476A7C64">
            <w:pPr>
              <w:spacing w:before="58"/>
              <w:ind w:left="52"/>
              <w:rPr>
                <w:rFonts w:ascii="宋体" w:hAnsi="宋体"/>
                <w:sz w:val="18"/>
                <w:szCs w:val="18"/>
              </w:rPr>
            </w:pPr>
            <w:r>
              <w:rPr>
                <w:rFonts w:hint="eastAsia" w:ascii="宋体" w:hAnsi="宋体"/>
                <w:spacing w:val="2"/>
                <w:sz w:val="18"/>
                <w:szCs w:val="18"/>
              </w:rPr>
              <w:t>“</w:t>
            </w:r>
            <w:r>
              <w:rPr>
                <w:rFonts w:hint="eastAsia" w:ascii="宋体" w:hAnsi="宋体"/>
                <w:spacing w:val="9"/>
                <w:sz w:val="18"/>
                <w:szCs w:val="18"/>
              </w:rPr>
              <w:t xml:space="preserve"> </w:t>
            </w:r>
            <w:r>
              <w:rPr>
                <w:rFonts w:hint="eastAsia" w:ascii="宋体" w:hAnsi="宋体"/>
                <w:spacing w:val="2"/>
                <w:sz w:val="18"/>
                <w:szCs w:val="18"/>
              </w:rPr>
              <w:t>三</w:t>
            </w:r>
          </w:p>
          <w:p w14:paraId="53FB9711">
            <w:pPr>
              <w:ind w:left="142"/>
              <w:rPr>
                <w:rFonts w:hint="eastAsia" w:ascii="宋体" w:hAnsi="宋体"/>
                <w:sz w:val="18"/>
                <w:szCs w:val="18"/>
              </w:rPr>
            </w:pPr>
            <w:r>
              <w:rPr>
                <w:rFonts w:hint="eastAsia" w:ascii="宋体" w:hAnsi="宋体"/>
                <w:spacing w:val="3"/>
                <w:sz w:val="18"/>
                <w:szCs w:val="18"/>
              </w:rPr>
              <w:t>公经</w:t>
            </w:r>
          </w:p>
          <w:p w14:paraId="7AFF8E25">
            <w:pPr>
              <w:spacing w:before="21"/>
              <w:ind w:left="52"/>
              <w:rPr>
                <w:rFonts w:hint="eastAsia" w:ascii="宋体" w:hAnsi="宋体"/>
                <w:sz w:val="18"/>
                <w:szCs w:val="18"/>
              </w:rPr>
            </w:pPr>
            <w:r>
              <w:rPr>
                <w:rFonts w:hint="eastAsia" w:ascii="宋体" w:hAnsi="宋体"/>
                <w:spacing w:val="2"/>
                <w:sz w:val="18"/>
                <w:szCs w:val="18"/>
              </w:rPr>
              <w:t>费”变</w:t>
            </w:r>
          </w:p>
          <w:p w14:paraId="7A6B7256">
            <w:pPr>
              <w:spacing w:before="25"/>
              <w:ind w:left="142"/>
              <w:rPr>
                <w:rFonts w:ascii="宋体" w:hAnsi="宋体"/>
                <w:sz w:val="18"/>
                <w:szCs w:val="18"/>
              </w:rPr>
            </w:pPr>
            <w:r>
              <w:rPr>
                <w:rFonts w:hint="eastAsia" w:ascii="宋体" w:hAnsi="宋体"/>
                <w:spacing w:val="-2"/>
                <w:sz w:val="18"/>
                <w:szCs w:val="18"/>
              </w:rPr>
              <w:t>动率</w:t>
            </w:r>
          </w:p>
        </w:tc>
        <w:tc>
          <w:tcPr>
            <w:tcW w:w="624" w:type="dxa"/>
            <w:tcBorders>
              <w:top w:val="single" w:color="000000" w:sz="4" w:space="0"/>
              <w:left w:val="single" w:color="000000" w:sz="4" w:space="0"/>
              <w:bottom w:val="single" w:color="000000" w:sz="4" w:space="0"/>
              <w:right w:val="single" w:color="000000" w:sz="4" w:space="0"/>
            </w:tcBorders>
          </w:tcPr>
          <w:p w14:paraId="46EEFFCD">
            <w:pPr>
              <w:pStyle w:val="10"/>
              <w:spacing w:line="280" w:lineRule="auto"/>
              <w:rPr>
                <w:sz w:val="21"/>
              </w:rPr>
            </w:pPr>
          </w:p>
          <w:p w14:paraId="6D9F49A9">
            <w:pPr>
              <w:pStyle w:val="10"/>
              <w:spacing w:line="280" w:lineRule="auto"/>
              <w:rPr>
                <w:sz w:val="20"/>
              </w:rPr>
            </w:pPr>
          </w:p>
          <w:p w14:paraId="61D5EC1C">
            <w:pPr>
              <w:pStyle w:val="10"/>
              <w:spacing w:line="280" w:lineRule="auto"/>
              <w:rPr>
                <w:sz w:val="20"/>
              </w:rPr>
            </w:pPr>
          </w:p>
          <w:p w14:paraId="6140BB17">
            <w:pPr>
              <w:spacing w:before="58"/>
              <w:ind w:left="182"/>
              <w:rPr>
                <w:rFonts w:ascii="宋体" w:hAnsi="宋体"/>
                <w:sz w:val="18"/>
                <w:szCs w:val="18"/>
              </w:rPr>
            </w:pPr>
            <w:r>
              <w:rPr>
                <w:rFonts w:hint="eastAsia" w:ascii="宋体" w:hAnsi="宋体"/>
                <w:sz w:val="18"/>
                <w:szCs w:val="18"/>
              </w:rPr>
              <w:t>3</w:t>
            </w:r>
          </w:p>
        </w:tc>
        <w:tc>
          <w:tcPr>
            <w:tcW w:w="3962" w:type="dxa"/>
            <w:tcBorders>
              <w:top w:val="single" w:color="000000" w:sz="4" w:space="0"/>
              <w:left w:val="single" w:color="000000" w:sz="4" w:space="0"/>
              <w:bottom w:val="single" w:color="000000" w:sz="4" w:space="0"/>
              <w:right w:val="single" w:color="000000" w:sz="4" w:space="0"/>
            </w:tcBorders>
          </w:tcPr>
          <w:p w14:paraId="500B61F9">
            <w:pPr>
              <w:spacing w:before="82"/>
              <w:ind w:left="153"/>
              <w:rPr>
                <w:rFonts w:ascii="宋体" w:hAnsi="宋体"/>
                <w:sz w:val="18"/>
                <w:szCs w:val="18"/>
              </w:rPr>
            </w:pPr>
            <w:r>
              <w:rPr>
                <w:rFonts w:hint="eastAsia" w:ascii="宋体" w:hAnsi="宋体"/>
                <w:spacing w:val="-1"/>
                <w:sz w:val="18"/>
                <w:szCs w:val="18"/>
              </w:rPr>
              <w:t>部门(单位)本年度“三公经费”预算数与上年度</w:t>
            </w:r>
          </w:p>
          <w:p w14:paraId="753D7DCD">
            <w:pPr>
              <w:spacing w:before="27"/>
              <w:jc w:val="right"/>
              <w:rPr>
                <w:rFonts w:hint="eastAsia" w:ascii="宋体" w:hAnsi="宋体"/>
                <w:sz w:val="18"/>
                <w:szCs w:val="18"/>
              </w:rPr>
            </w:pPr>
            <w:r>
              <w:rPr>
                <w:rFonts w:hint="eastAsia" w:ascii="宋体" w:hAnsi="宋体"/>
                <w:spacing w:val="2"/>
                <w:sz w:val="18"/>
                <w:szCs w:val="18"/>
              </w:rPr>
              <w:t>“三公经费”预算数的变动比率，用以反映和考核</w:t>
            </w:r>
          </w:p>
          <w:p w14:paraId="028CA2D0">
            <w:pPr>
              <w:spacing w:before="35"/>
              <w:ind w:left="63"/>
              <w:rPr>
                <w:rFonts w:hint="eastAsia" w:ascii="宋体" w:hAnsi="宋体"/>
                <w:sz w:val="18"/>
                <w:szCs w:val="18"/>
              </w:rPr>
            </w:pPr>
            <w:r>
              <w:rPr>
                <w:rFonts w:hint="eastAsia" w:ascii="宋体" w:hAnsi="宋体"/>
                <w:spacing w:val="-1"/>
                <w:sz w:val="18"/>
                <w:szCs w:val="18"/>
              </w:rPr>
              <w:t>部门(单位)对控制重点行政成本的努力程度。“三</w:t>
            </w:r>
          </w:p>
          <w:p w14:paraId="669130AC">
            <w:pPr>
              <w:spacing w:before="6"/>
              <w:ind w:left="153"/>
              <w:rPr>
                <w:rFonts w:hint="eastAsia" w:ascii="宋体" w:hAnsi="宋体"/>
                <w:sz w:val="18"/>
                <w:szCs w:val="18"/>
              </w:rPr>
            </w:pPr>
            <w:r>
              <w:rPr>
                <w:rFonts w:hint="eastAsia" w:ascii="宋体" w:hAnsi="宋体"/>
                <w:sz w:val="18"/>
                <w:szCs w:val="18"/>
              </w:rPr>
              <w:t>公经费”变动率=[(本年度“三公经费”总额-上</w:t>
            </w:r>
          </w:p>
          <w:p w14:paraId="152E3C30">
            <w:pPr>
              <w:spacing w:before="27" w:line="244" w:lineRule="auto"/>
              <w:ind w:left="113" w:right="147" w:firstLine="39"/>
              <w:rPr>
                <w:rFonts w:hint="eastAsia" w:ascii="宋体" w:hAnsi="宋体"/>
                <w:sz w:val="18"/>
                <w:szCs w:val="18"/>
              </w:rPr>
            </w:pPr>
            <w:r>
              <w:rPr>
                <w:rFonts w:hint="eastAsia" w:ascii="宋体" w:hAnsi="宋体"/>
                <w:sz w:val="18"/>
                <w:szCs w:val="18"/>
              </w:rPr>
              <w:t>年度“三公经费”总额)/上年度“三公经费”总</w:t>
            </w:r>
            <w:r>
              <w:rPr>
                <w:rFonts w:hint="eastAsia" w:ascii="宋体" w:hAnsi="宋体"/>
                <w:spacing w:val="14"/>
                <w:sz w:val="18"/>
                <w:szCs w:val="18"/>
              </w:rPr>
              <w:t xml:space="preserve"> </w:t>
            </w:r>
            <w:r>
              <w:rPr>
                <w:rFonts w:hint="eastAsia" w:ascii="宋体" w:hAnsi="宋体"/>
                <w:sz w:val="18"/>
                <w:szCs w:val="18"/>
              </w:rPr>
              <w:t>额]×100%。</w:t>
            </w:r>
          </w:p>
          <w:p w14:paraId="11FBE9FD">
            <w:pPr>
              <w:spacing w:before="1"/>
              <w:ind w:left="122" w:right="22" w:hanging="99"/>
              <w:rPr>
                <w:rFonts w:ascii="宋体" w:hAnsi="宋体"/>
                <w:sz w:val="18"/>
                <w:szCs w:val="18"/>
              </w:rPr>
            </w:pPr>
            <w:r>
              <w:rPr>
                <w:rFonts w:hint="eastAsia" w:ascii="宋体" w:hAnsi="宋体"/>
                <w:spacing w:val="7"/>
                <w:sz w:val="18"/>
                <w:szCs w:val="18"/>
              </w:rPr>
              <w:t>“三公经费”:年度预算安排的因公出国(境)费、</w:t>
            </w:r>
            <w:r>
              <w:rPr>
                <w:rFonts w:hint="eastAsia" w:ascii="宋体" w:hAnsi="宋体"/>
                <w:spacing w:val="18"/>
                <w:sz w:val="18"/>
                <w:szCs w:val="18"/>
              </w:rPr>
              <w:t xml:space="preserve"> </w:t>
            </w:r>
            <w:r>
              <w:rPr>
                <w:rFonts w:hint="eastAsia" w:ascii="宋体" w:hAnsi="宋体"/>
                <w:sz w:val="18"/>
                <w:szCs w:val="18"/>
              </w:rPr>
              <w:t>公务车辆购置及运行费和公务招待费。</w:t>
            </w:r>
          </w:p>
        </w:tc>
        <w:tc>
          <w:tcPr>
            <w:tcW w:w="2967" w:type="dxa"/>
            <w:tcBorders>
              <w:top w:val="single" w:color="000000" w:sz="4" w:space="0"/>
              <w:left w:val="single" w:color="000000" w:sz="4" w:space="0"/>
              <w:bottom w:val="single" w:color="000000" w:sz="4" w:space="0"/>
              <w:right w:val="single" w:color="000000" w:sz="4" w:space="0"/>
            </w:tcBorders>
          </w:tcPr>
          <w:p w14:paraId="391200AF">
            <w:pPr>
              <w:pStyle w:val="10"/>
              <w:spacing w:line="357" w:lineRule="auto"/>
              <w:rPr>
                <w:sz w:val="21"/>
              </w:rPr>
            </w:pPr>
          </w:p>
          <w:p w14:paraId="0DA06F62">
            <w:pPr>
              <w:pStyle w:val="10"/>
              <w:spacing w:line="360" w:lineRule="auto"/>
              <w:rPr>
                <w:sz w:val="20"/>
              </w:rPr>
            </w:pPr>
          </w:p>
          <w:p w14:paraId="45CA71D2">
            <w:pPr>
              <w:spacing w:before="58" w:line="259" w:lineRule="auto"/>
              <w:ind w:left="117" w:right="409"/>
              <w:rPr>
                <w:rFonts w:ascii="宋体" w:hAnsi="宋体"/>
                <w:sz w:val="18"/>
                <w:szCs w:val="18"/>
              </w:rPr>
            </w:pPr>
            <w:r>
              <w:rPr>
                <w:rFonts w:hint="eastAsia" w:ascii="宋体" w:hAnsi="宋体"/>
                <w:spacing w:val="-1"/>
                <w:sz w:val="18"/>
                <w:szCs w:val="18"/>
              </w:rPr>
              <w:t>目标值≤0;达到目标值计3分，</w:t>
            </w:r>
            <w:r>
              <w:rPr>
                <w:rFonts w:hint="eastAsia" w:ascii="宋体" w:hAnsi="宋体"/>
                <w:spacing w:val="13"/>
                <w:sz w:val="18"/>
                <w:szCs w:val="18"/>
              </w:rPr>
              <w:t xml:space="preserve"> </w:t>
            </w:r>
            <w:r>
              <w:rPr>
                <w:rFonts w:hint="eastAsia" w:ascii="宋体" w:hAnsi="宋体"/>
                <w:sz w:val="18"/>
                <w:szCs w:val="18"/>
              </w:rPr>
              <w:t>否则计0分。</w:t>
            </w:r>
          </w:p>
        </w:tc>
        <w:tc>
          <w:tcPr>
            <w:tcW w:w="654" w:type="dxa"/>
            <w:tcBorders>
              <w:top w:val="single" w:color="000000" w:sz="4" w:space="0"/>
              <w:left w:val="single" w:color="000000" w:sz="4" w:space="0"/>
              <w:bottom w:val="single" w:color="000000" w:sz="4" w:space="0"/>
              <w:right w:val="single" w:color="000000" w:sz="4" w:space="0"/>
            </w:tcBorders>
            <w:vAlign w:val="center"/>
          </w:tcPr>
          <w:p w14:paraId="2CD41615">
            <w:pPr>
              <w:pStyle w:val="10"/>
              <w:jc w:val="center"/>
              <w:rPr>
                <w:rFonts w:hint="eastAsia" w:eastAsia="宋体"/>
                <w:sz w:val="20"/>
                <w:lang w:val="en-US" w:eastAsia="zh-CN"/>
              </w:rPr>
            </w:pPr>
            <w:r>
              <w:rPr>
                <w:rFonts w:hint="eastAsia"/>
                <w:sz w:val="20"/>
                <w:lang w:val="en-US" w:eastAsia="zh-CN"/>
              </w:rPr>
              <w:t>3</w:t>
            </w:r>
          </w:p>
        </w:tc>
      </w:tr>
      <w:tr w14:paraId="19763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8" w:hRule="atLeast"/>
        </w:trPr>
        <w:tc>
          <w:tcPr>
            <w:tcW w:w="924" w:type="dxa"/>
            <w:vMerge w:val="continue"/>
            <w:tcBorders>
              <w:top w:val="nil"/>
              <w:left w:val="single" w:color="000000" w:sz="4" w:space="0"/>
              <w:bottom w:val="nil"/>
              <w:right w:val="single" w:color="000000" w:sz="4" w:space="0"/>
            </w:tcBorders>
            <w:vAlign w:val="center"/>
          </w:tcPr>
          <w:p w14:paraId="21458330">
            <w:pPr>
              <w:kinsoku/>
              <w:autoSpaceDE/>
              <w:autoSpaceDN/>
              <w:adjustRightInd/>
              <w:snapToGrid/>
              <w:textAlignment w:val="auto"/>
              <w:rPr>
                <w:rFonts w:ascii="宋体" w:hAnsi="宋体"/>
                <w:sz w:val="18"/>
                <w:szCs w:val="18"/>
              </w:rPr>
            </w:pPr>
          </w:p>
        </w:tc>
        <w:tc>
          <w:tcPr>
            <w:tcW w:w="619" w:type="dxa"/>
            <w:vMerge w:val="continue"/>
            <w:tcBorders>
              <w:top w:val="nil"/>
              <w:left w:val="single" w:color="000000" w:sz="4" w:space="0"/>
              <w:bottom w:val="nil"/>
              <w:right w:val="single" w:color="000000" w:sz="4" w:space="0"/>
            </w:tcBorders>
            <w:vAlign w:val="center"/>
          </w:tcPr>
          <w:p w14:paraId="6EFD3C59">
            <w:pPr>
              <w:kinsoku/>
              <w:autoSpaceDE/>
              <w:autoSpaceDN/>
              <w:adjustRightInd/>
              <w:snapToGrid/>
              <w:textAlignment w:val="auto"/>
              <w:rPr>
                <w:rFonts w:ascii="宋体" w:hAnsi="宋体"/>
                <w:sz w:val="18"/>
                <w:szCs w:val="18"/>
              </w:rPr>
            </w:pPr>
          </w:p>
        </w:tc>
        <w:tc>
          <w:tcPr>
            <w:tcW w:w="669" w:type="dxa"/>
            <w:tcBorders>
              <w:top w:val="single" w:color="000000" w:sz="4" w:space="0"/>
              <w:left w:val="single" w:color="000000" w:sz="4" w:space="0"/>
              <w:bottom w:val="single" w:color="000000" w:sz="4" w:space="0"/>
              <w:right w:val="single" w:color="000000" w:sz="4" w:space="0"/>
            </w:tcBorders>
          </w:tcPr>
          <w:p w14:paraId="62BF1603">
            <w:pPr>
              <w:pStyle w:val="10"/>
              <w:spacing w:line="247" w:lineRule="auto"/>
              <w:rPr>
                <w:sz w:val="21"/>
              </w:rPr>
            </w:pPr>
          </w:p>
          <w:p w14:paraId="307F5679">
            <w:pPr>
              <w:pStyle w:val="10"/>
              <w:spacing w:line="247" w:lineRule="auto"/>
              <w:rPr>
                <w:sz w:val="20"/>
              </w:rPr>
            </w:pPr>
          </w:p>
          <w:p w14:paraId="33EE2633">
            <w:pPr>
              <w:pStyle w:val="10"/>
              <w:spacing w:line="247" w:lineRule="auto"/>
              <w:rPr>
                <w:sz w:val="20"/>
              </w:rPr>
            </w:pPr>
          </w:p>
          <w:p w14:paraId="65178538">
            <w:pPr>
              <w:spacing w:before="58"/>
              <w:ind w:left="142"/>
              <w:rPr>
                <w:rFonts w:ascii="宋体" w:hAnsi="宋体"/>
                <w:sz w:val="18"/>
                <w:szCs w:val="18"/>
              </w:rPr>
            </w:pPr>
            <w:r>
              <w:rPr>
                <w:rFonts w:hint="eastAsia" w:ascii="宋体" w:hAnsi="宋体"/>
                <w:spacing w:val="8"/>
                <w:sz w:val="18"/>
                <w:szCs w:val="18"/>
              </w:rPr>
              <w:t>重点</w:t>
            </w:r>
          </w:p>
          <w:p w14:paraId="140EBF32">
            <w:pPr>
              <w:spacing w:before="2"/>
              <w:ind w:left="142" w:right="135"/>
              <w:jc w:val="both"/>
              <w:rPr>
                <w:rFonts w:ascii="宋体" w:hAnsi="宋体"/>
                <w:sz w:val="18"/>
                <w:szCs w:val="18"/>
              </w:rPr>
            </w:pPr>
            <w:r>
              <w:rPr>
                <w:rFonts w:hint="eastAsia" w:ascii="宋体" w:hAnsi="宋体"/>
                <w:spacing w:val="10"/>
                <w:sz w:val="18"/>
                <w:szCs w:val="18"/>
              </w:rPr>
              <w:t>支出</w:t>
            </w:r>
            <w:r>
              <w:rPr>
                <w:rFonts w:hint="eastAsia" w:ascii="宋体" w:hAnsi="宋体"/>
                <w:sz w:val="18"/>
                <w:szCs w:val="18"/>
              </w:rPr>
              <w:t xml:space="preserve"> </w:t>
            </w:r>
            <w:r>
              <w:rPr>
                <w:rFonts w:hint="eastAsia" w:ascii="宋体" w:hAnsi="宋体"/>
                <w:spacing w:val="-6"/>
                <w:sz w:val="18"/>
                <w:szCs w:val="18"/>
              </w:rPr>
              <w:t>安排</w:t>
            </w:r>
            <w:r>
              <w:rPr>
                <w:rFonts w:hint="eastAsia" w:ascii="宋体" w:hAnsi="宋体"/>
                <w:sz w:val="18"/>
                <w:szCs w:val="18"/>
              </w:rPr>
              <w:t xml:space="preserve"> </w:t>
            </w:r>
            <w:r>
              <w:rPr>
                <w:rFonts w:hint="eastAsia" w:ascii="宋体" w:hAnsi="宋体"/>
                <w:spacing w:val="26"/>
                <w:sz w:val="18"/>
                <w:szCs w:val="18"/>
              </w:rPr>
              <w:t>率</w:t>
            </w:r>
          </w:p>
        </w:tc>
        <w:tc>
          <w:tcPr>
            <w:tcW w:w="624" w:type="dxa"/>
            <w:tcBorders>
              <w:top w:val="single" w:color="000000" w:sz="4" w:space="0"/>
              <w:left w:val="single" w:color="000000" w:sz="4" w:space="0"/>
              <w:bottom w:val="single" w:color="000000" w:sz="4" w:space="0"/>
              <w:right w:val="single" w:color="000000" w:sz="4" w:space="0"/>
            </w:tcBorders>
          </w:tcPr>
          <w:p w14:paraId="05257E36">
            <w:pPr>
              <w:pStyle w:val="10"/>
              <w:spacing w:line="268" w:lineRule="auto"/>
              <w:rPr>
                <w:sz w:val="21"/>
              </w:rPr>
            </w:pPr>
          </w:p>
          <w:p w14:paraId="744E73A8">
            <w:pPr>
              <w:pStyle w:val="10"/>
              <w:spacing w:line="271" w:lineRule="auto"/>
              <w:rPr>
                <w:sz w:val="20"/>
              </w:rPr>
            </w:pPr>
          </w:p>
          <w:p w14:paraId="5819121F">
            <w:pPr>
              <w:pStyle w:val="10"/>
              <w:spacing w:line="271" w:lineRule="auto"/>
              <w:rPr>
                <w:sz w:val="20"/>
              </w:rPr>
            </w:pPr>
          </w:p>
          <w:p w14:paraId="25420EE7">
            <w:pPr>
              <w:pStyle w:val="10"/>
              <w:spacing w:line="271" w:lineRule="auto"/>
              <w:rPr>
                <w:sz w:val="20"/>
              </w:rPr>
            </w:pPr>
          </w:p>
          <w:p w14:paraId="62106BA8">
            <w:pPr>
              <w:spacing w:before="59"/>
              <w:ind w:left="182"/>
              <w:rPr>
                <w:rFonts w:ascii="宋体" w:hAnsi="宋体"/>
                <w:sz w:val="18"/>
                <w:szCs w:val="18"/>
              </w:rPr>
            </w:pPr>
            <w:r>
              <w:rPr>
                <w:rFonts w:hint="eastAsia" w:ascii="宋体" w:hAnsi="宋体"/>
                <w:sz w:val="18"/>
                <w:szCs w:val="18"/>
              </w:rPr>
              <w:t>5</w:t>
            </w:r>
          </w:p>
        </w:tc>
        <w:tc>
          <w:tcPr>
            <w:tcW w:w="3962" w:type="dxa"/>
            <w:tcBorders>
              <w:top w:val="single" w:color="000000" w:sz="4" w:space="0"/>
              <w:left w:val="single" w:color="000000" w:sz="4" w:space="0"/>
              <w:bottom w:val="single" w:color="000000" w:sz="4" w:space="0"/>
              <w:right w:val="single" w:color="000000" w:sz="4" w:space="0"/>
            </w:tcBorders>
          </w:tcPr>
          <w:p w14:paraId="241B1B4A">
            <w:pPr>
              <w:spacing w:before="74" w:line="247" w:lineRule="auto"/>
              <w:ind w:left="63" w:right="22" w:firstLine="89"/>
              <w:rPr>
                <w:rFonts w:ascii="宋体" w:hAnsi="宋体"/>
                <w:sz w:val="18"/>
                <w:szCs w:val="18"/>
              </w:rPr>
            </w:pPr>
            <w:r>
              <w:rPr>
                <w:rFonts w:hint="eastAsia" w:ascii="宋体" w:hAnsi="宋体"/>
                <w:spacing w:val="-1"/>
                <w:sz w:val="18"/>
                <w:szCs w:val="18"/>
              </w:rPr>
              <w:t>部门(单位)本年度预算安排的重点项目支出与部</w:t>
            </w:r>
            <w:r>
              <w:rPr>
                <w:rFonts w:hint="eastAsia" w:ascii="宋体" w:hAnsi="宋体"/>
                <w:spacing w:val="5"/>
                <w:sz w:val="18"/>
                <w:szCs w:val="18"/>
              </w:rPr>
              <w:t xml:space="preserve">  </w:t>
            </w:r>
            <w:r>
              <w:rPr>
                <w:rFonts w:hint="eastAsia" w:ascii="宋体" w:hAnsi="宋体"/>
                <w:spacing w:val="1"/>
                <w:sz w:val="18"/>
                <w:szCs w:val="18"/>
              </w:rPr>
              <w:t>门项目总支出的比率，用以反映和考核部门(单位)</w:t>
            </w:r>
            <w:r>
              <w:rPr>
                <w:rFonts w:hint="eastAsia" w:ascii="宋体" w:hAnsi="宋体"/>
                <w:spacing w:val="15"/>
                <w:sz w:val="18"/>
                <w:szCs w:val="18"/>
              </w:rPr>
              <w:t xml:space="preserve"> </w:t>
            </w:r>
            <w:r>
              <w:rPr>
                <w:rFonts w:hint="eastAsia" w:ascii="宋体" w:hAnsi="宋体"/>
                <w:sz w:val="18"/>
                <w:szCs w:val="18"/>
              </w:rPr>
              <w:t>对履行主要职责或完成重点任务的保障程度。重点</w:t>
            </w:r>
            <w:r>
              <w:rPr>
                <w:rFonts w:hint="eastAsia" w:ascii="宋体" w:hAnsi="宋体"/>
                <w:spacing w:val="14"/>
                <w:sz w:val="18"/>
                <w:szCs w:val="18"/>
              </w:rPr>
              <w:t xml:space="preserve"> </w:t>
            </w:r>
            <w:r>
              <w:rPr>
                <w:rFonts w:hint="eastAsia" w:ascii="宋体" w:hAnsi="宋体"/>
                <w:spacing w:val="2"/>
                <w:sz w:val="18"/>
                <w:szCs w:val="18"/>
              </w:rPr>
              <w:t>支出安排率=(重点项目支出/项自总支出)×10</w:t>
            </w:r>
            <w:r>
              <w:rPr>
                <w:rFonts w:hint="eastAsia" w:ascii="宋体" w:hAnsi="宋体"/>
                <w:spacing w:val="1"/>
                <w:sz w:val="18"/>
                <w:szCs w:val="18"/>
              </w:rPr>
              <w:t>0%。</w:t>
            </w:r>
          </w:p>
          <w:p w14:paraId="2A0AB239">
            <w:pPr>
              <w:spacing w:before="1"/>
              <w:ind w:left="63" w:right="57" w:firstLine="89"/>
              <w:rPr>
                <w:rFonts w:hint="eastAsia" w:ascii="宋体" w:hAnsi="宋体"/>
                <w:sz w:val="18"/>
                <w:szCs w:val="18"/>
              </w:rPr>
            </w:pPr>
            <w:r>
              <w:rPr>
                <w:rFonts w:hint="eastAsia" w:ascii="宋体" w:hAnsi="宋体"/>
                <w:sz w:val="18"/>
                <w:szCs w:val="18"/>
              </w:rPr>
              <w:t>重点项目支出：部门(单位)年度预算安排的，与</w:t>
            </w:r>
            <w:r>
              <w:rPr>
                <w:rFonts w:hint="eastAsia" w:ascii="宋体" w:hAnsi="宋体"/>
                <w:spacing w:val="6"/>
                <w:sz w:val="18"/>
                <w:szCs w:val="18"/>
              </w:rPr>
              <w:t xml:space="preserve">  </w:t>
            </w:r>
            <w:r>
              <w:rPr>
                <w:rFonts w:hint="eastAsia" w:ascii="宋体" w:hAnsi="宋体"/>
                <w:spacing w:val="-1"/>
                <w:sz w:val="18"/>
                <w:szCs w:val="18"/>
              </w:rPr>
              <w:t>本部门履职和发展密切相关、具有明显社会和经济</w:t>
            </w:r>
            <w:r>
              <w:rPr>
                <w:rFonts w:hint="eastAsia" w:ascii="宋体" w:hAnsi="宋体"/>
                <w:spacing w:val="13"/>
                <w:sz w:val="18"/>
                <w:szCs w:val="18"/>
              </w:rPr>
              <w:t xml:space="preserve"> </w:t>
            </w:r>
            <w:r>
              <w:rPr>
                <w:rFonts w:hint="eastAsia" w:ascii="宋体" w:hAnsi="宋体"/>
                <w:sz w:val="18"/>
                <w:szCs w:val="18"/>
              </w:rPr>
              <w:t>影响、党委政府关心或社会比较关注的项目支出总</w:t>
            </w:r>
            <w:r>
              <w:rPr>
                <w:rFonts w:hint="eastAsia" w:ascii="宋体" w:hAnsi="宋体"/>
                <w:spacing w:val="14"/>
                <w:sz w:val="18"/>
                <w:szCs w:val="18"/>
              </w:rPr>
              <w:t xml:space="preserve"> </w:t>
            </w:r>
            <w:r>
              <w:rPr>
                <w:rFonts w:hint="eastAsia" w:ascii="宋体" w:hAnsi="宋体"/>
                <w:spacing w:val="15"/>
                <w:sz w:val="18"/>
                <w:szCs w:val="18"/>
              </w:rPr>
              <w:t>额。</w:t>
            </w:r>
          </w:p>
          <w:p w14:paraId="48A4FC2C">
            <w:pPr>
              <w:spacing w:before="39"/>
              <w:ind w:left="103" w:right="172" w:firstLine="49"/>
              <w:rPr>
                <w:rFonts w:ascii="宋体" w:hAnsi="宋体"/>
                <w:sz w:val="18"/>
                <w:szCs w:val="18"/>
              </w:rPr>
            </w:pPr>
            <w:r>
              <w:rPr>
                <w:rFonts w:hint="eastAsia" w:ascii="宋体" w:hAnsi="宋体"/>
                <w:spacing w:val="-1"/>
                <w:sz w:val="18"/>
                <w:szCs w:val="18"/>
              </w:rPr>
              <w:t>项目总支出：部门(单位)年度预算安排的项目支</w:t>
            </w:r>
            <w:r>
              <w:rPr>
                <w:rFonts w:hint="eastAsia" w:ascii="宋体" w:hAnsi="宋体"/>
                <w:spacing w:val="11"/>
                <w:sz w:val="18"/>
                <w:szCs w:val="18"/>
              </w:rPr>
              <w:t xml:space="preserve"> </w:t>
            </w:r>
            <w:r>
              <w:rPr>
                <w:rFonts w:hint="eastAsia" w:ascii="宋体" w:hAnsi="宋体"/>
                <w:sz w:val="18"/>
                <w:szCs w:val="18"/>
              </w:rPr>
              <w:t>出总额。</w:t>
            </w:r>
          </w:p>
        </w:tc>
        <w:tc>
          <w:tcPr>
            <w:tcW w:w="2967" w:type="dxa"/>
            <w:tcBorders>
              <w:top w:val="single" w:color="000000" w:sz="4" w:space="0"/>
              <w:left w:val="single" w:color="000000" w:sz="4" w:space="0"/>
              <w:bottom w:val="single" w:color="000000" w:sz="4" w:space="0"/>
              <w:right w:val="single" w:color="000000" w:sz="4" w:space="0"/>
            </w:tcBorders>
          </w:tcPr>
          <w:p w14:paraId="0A3BACB9">
            <w:pPr>
              <w:pStyle w:val="10"/>
              <w:spacing w:line="247" w:lineRule="auto"/>
              <w:rPr>
                <w:sz w:val="21"/>
              </w:rPr>
            </w:pPr>
          </w:p>
          <w:p w14:paraId="35D467EA">
            <w:pPr>
              <w:pStyle w:val="10"/>
              <w:spacing w:line="247" w:lineRule="auto"/>
              <w:rPr>
                <w:sz w:val="20"/>
              </w:rPr>
            </w:pPr>
          </w:p>
          <w:p w14:paraId="480D55D9">
            <w:pPr>
              <w:pStyle w:val="10"/>
              <w:spacing w:line="249" w:lineRule="auto"/>
              <w:rPr>
                <w:sz w:val="20"/>
              </w:rPr>
            </w:pPr>
          </w:p>
          <w:p w14:paraId="502CA30A">
            <w:pPr>
              <w:tabs>
                <w:tab w:val="left" w:pos="217"/>
              </w:tabs>
              <w:spacing w:before="58"/>
              <w:ind w:left="117" w:right="50" w:firstLine="9"/>
              <w:jc w:val="both"/>
              <w:rPr>
                <w:rFonts w:ascii="宋体" w:hAnsi="宋体"/>
                <w:sz w:val="18"/>
                <w:szCs w:val="18"/>
              </w:rPr>
            </w:pPr>
            <w:r>
              <w:rPr>
                <w:rFonts w:hint="eastAsia" w:ascii="宋体" w:hAnsi="宋体"/>
                <w:spacing w:val="-1"/>
                <w:sz w:val="18"/>
                <w:szCs w:val="18"/>
              </w:rPr>
              <w:t>重点支出安排率≥90%,计5分；80%</w:t>
            </w:r>
            <w:r>
              <w:rPr>
                <w:rFonts w:hint="eastAsia" w:ascii="宋体" w:hAnsi="宋体"/>
                <w:spacing w:val="5"/>
                <w:sz w:val="18"/>
                <w:szCs w:val="18"/>
              </w:rPr>
              <w:t xml:space="preserve">  </w:t>
            </w:r>
            <w:r>
              <w:rPr>
                <w:rFonts w:hint="eastAsia" w:ascii="宋体" w:hAnsi="宋体"/>
                <w:sz w:val="18"/>
                <w:szCs w:val="18"/>
              </w:rPr>
              <w:tab/>
            </w:r>
            <w:r>
              <w:rPr>
                <w:rFonts w:hint="eastAsia" w:ascii="宋体" w:hAnsi="宋体"/>
                <w:spacing w:val="2"/>
                <w:sz w:val="18"/>
                <w:szCs w:val="18"/>
              </w:rPr>
              <w:t>(含)-90%,计4分；70%(含)-80%,</w:t>
            </w:r>
            <w:r>
              <w:rPr>
                <w:rFonts w:hint="eastAsia" w:ascii="宋体" w:hAnsi="宋体"/>
                <w:spacing w:val="4"/>
                <w:sz w:val="18"/>
                <w:szCs w:val="18"/>
              </w:rPr>
              <w:t xml:space="preserve">  </w:t>
            </w:r>
            <w:r>
              <w:rPr>
                <w:rFonts w:hint="eastAsia" w:ascii="宋体" w:hAnsi="宋体"/>
                <w:spacing w:val="21"/>
                <w:sz w:val="18"/>
                <w:szCs w:val="18"/>
              </w:rPr>
              <w:t>计3分；60%(含)-</w:t>
            </w:r>
            <w:r>
              <w:rPr>
                <w:rFonts w:hint="eastAsia" w:ascii="宋体" w:hAnsi="宋体"/>
                <w:spacing w:val="-41"/>
                <w:sz w:val="18"/>
                <w:szCs w:val="18"/>
              </w:rPr>
              <w:t xml:space="preserve"> </w:t>
            </w:r>
            <w:r>
              <w:rPr>
                <w:rFonts w:hint="eastAsia" w:ascii="宋体" w:hAnsi="宋体"/>
                <w:spacing w:val="21"/>
                <w:sz w:val="18"/>
                <w:szCs w:val="18"/>
              </w:rPr>
              <w:t>70%,计2分，</w:t>
            </w:r>
            <w:r>
              <w:rPr>
                <w:rFonts w:hint="eastAsia" w:ascii="宋体" w:hAnsi="宋体"/>
                <w:sz w:val="18"/>
                <w:szCs w:val="18"/>
              </w:rPr>
              <w:t xml:space="preserve"> 低于60%的计0分。</w:t>
            </w:r>
          </w:p>
        </w:tc>
        <w:tc>
          <w:tcPr>
            <w:tcW w:w="654" w:type="dxa"/>
            <w:tcBorders>
              <w:top w:val="single" w:color="000000" w:sz="4" w:space="0"/>
              <w:left w:val="single" w:color="000000" w:sz="4" w:space="0"/>
              <w:bottom w:val="single" w:color="000000" w:sz="4" w:space="0"/>
              <w:right w:val="single" w:color="000000" w:sz="4" w:space="0"/>
            </w:tcBorders>
            <w:vAlign w:val="center"/>
          </w:tcPr>
          <w:p w14:paraId="7C46203B">
            <w:pPr>
              <w:pStyle w:val="10"/>
              <w:jc w:val="center"/>
              <w:rPr>
                <w:rFonts w:hint="eastAsia" w:eastAsia="宋体"/>
                <w:sz w:val="20"/>
                <w:lang w:val="en-US" w:eastAsia="zh-CN"/>
              </w:rPr>
            </w:pPr>
            <w:r>
              <w:rPr>
                <w:rFonts w:hint="eastAsia"/>
                <w:color w:val="auto"/>
                <w:sz w:val="20"/>
                <w:lang w:val="en-US" w:eastAsia="zh-CN"/>
              </w:rPr>
              <w:t>5</w:t>
            </w:r>
          </w:p>
        </w:tc>
      </w:tr>
      <w:tr w14:paraId="0BF93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4" w:hRule="atLeast"/>
        </w:trPr>
        <w:tc>
          <w:tcPr>
            <w:tcW w:w="924" w:type="dxa"/>
            <w:tcBorders>
              <w:top w:val="single" w:color="000000" w:sz="4" w:space="0"/>
              <w:left w:val="single" w:color="000000" w:sz="4" w:space="0"/>
              <w:bottom w:val="single" w:color="000000" w:sz="4" w:space="0"/>
              <w:right w:val="single" w:color="000000" w:sz="4" w:space="0"/>
            </w:tcBorders>
          </w:tcPr>
          <w:p w14:paraId="18686761">
            <w:pPr>
              <w:spacing w:before="255"/>
              <w:ind w:left="511"/>
              <w:rPr>
                <w:rFonts w:ascii="宋体" w:hAnsi="宋体"/>
                <w:sz w:val="18"/>
                <w:szCs w:val="18"/>
              </w:rPr>
            </w:pPr>
            <w:r>
              <w:rPr>
                <w:rFonts w:hint="eastAsia" w:ascii="宋体" w:hAnsi="宋体"/>
                <w:sz w:val="18"/>
                <w:szCs w:val="18"/>
              </w:rPr>
              <w:t>过</w:t>
            </w:r>
            <w:r>
              <w:rPr>
                <w:rFonts w:hint="eastAsia" w:ascii="宋体" w:hAnsi="宋体"/>
                <w:spacing w:val="14"/>
                <w:sz w:val="18"/>
                <w:szCs w:val="18"/>
              </w:rPr>
              <w:t xml:space="preserve">   </w:t>
            </w:r>
            <w:r>
              <w:rPr>
                <w:rFonts w:hint="eastAsia" w:ascii="宋体" w:hAnsi="宋体"/>
                <w:sz w:val="18"/>
                <w:szCs w:val="18"/>
              </w:rPr>
              <w:t>程</w:t>
            </w:r>
          </w:p>
        </w:tc>
        <w:tc>
          <w:tcPr>
            <w:tcW w:w="619" w:type="dxa"/>
            <w:tcBorders>
              <w:top w:val="single" w:color="000000" w:sz="4" w:space="0"/>
              <w:left w:val="single" w:color="000000" w:sz="4" w:space="0"/>
              <w:bottom w:val="single" w:color="000000" w:sz="4" w:space="0"/>
              <w:right w:val="single" w:color="000000" w:sz="4" w:space="0"/>
            </w:tcBorders>
          </w:tcPr>
          <w:p w14:paraId="23E07C90">
            <w:pPr>
              <w:pStyle w:val="10"/>
              <w:spacing w:line="355" w:lineRule="auto"/>
              <w:rPr>
                <w:sz w:val="21"/>
              </w:rPr>
            </w:pPr>
          </w:p>
          <w:p w14:paraId="60100A8F">
            <w:pPr>
              <w:spacing w:before="59"/>
              <w:ind w:left="121"/>
              <w:rPr>
                <w:rFonts w:ascii="宋体" w:hAnsi="宋体"/>
                <w:sz w:val="18"/>
                <w:szCs w:val="18"/>
              </w:rPr>
            </w:pPr>
            <w:r>
              <w:rPr>
                <w:rFonts w:hint="eastAsia" w:ascii="宋体" w:hAnsi="宋体"/>
                <w:spacing w:val="-3"/>
                <w:sz w:val="18"/>
                <w:szCs w:val="18"/>
              </w:rPr>
              <w:t>预算</w:t>
            </w:r>
          </w:p>
          <w:p w14:paraId="1ADB9A3F">
            <w:pPr>
              <w:spacing w:before="16" w:line="242" w:lineRule="auto"/>
              <w:ind w:left="160" w:right="134" w:hanging="39"/>
              <w:jc w:val="both"/>
              <w:rPr>
                <w:rFonts w:ascii="宋体" w:hAnsi="宋体"/>
                <w:sz w:val="18"/>
                <w:szCs w:val="18"/>
              </w:rPr>
            </w:pPr>
            <w:r>
              <w:rPr>
                <w:rFonts w:hint="eastAsia" w:ascii="宋体" w:hAnsi="宋体"/>
                <w:spacing w:val="-4"/>
                <w:sz w:val="18"/>
                <w:szCs w:val="18"/>
              </w:rPr>
              <w:t>执行</w:t>
            </w:r>
            <w:r>
              <w:rPr>
                <w:rFonts w:hint="eastAsia" w:ascii="宋体" w:hAnsi="宋体"/>
                <w:sz w:val="18"/>
                <w:szCs w:val="18"/>
              </w:rPr>
              <w:t xml:space="preserve"> </w:t>
            </w:r>
            <w:r>
              <w:rPr>
                <w:rFonts w:hint="eastAsia" w:ascii="宋体" w:hAnsi="宋体"/>
                <w:spacing w:val="-3"/>
                <w:sz w:val="18"/>
                <w:szCs w:val="18"/>
              </w:rPr>
              <w:t>(20</w:t>
            </w:r>
            <w:r>
              <w:rPr>
                <w:rFonts w:hint="eastAsia" w:ascii="宋体" w:hAnsi="宋体"/>
                <w:sz w:val="18"/>
                <w:szCs w:val="18"/>
              </w:rPr>
              <w:t xml:space="preserve"> </w:t>
            </w:r>
            <w:r>
              <w:rPr>
                <w:rFonts w:hint="eastAsia" w:ascii="宋体" w:hAnsi="宋体"/>
                <w:spacing w:val="-9"/>
                <w:sz w:val="18"/>
                <w:szCs w:val="18"/>
              </w:rPr>
              <w:t>分</w:t>
            </w:r>
            <w:r>
              <w:rPr>
                <w:rFonts w:hint="eastAsia" w:ascii="宋体" w:hAnsi="宋体"/>
                <w:spacing w:val="-34"/>
                <w:sz w:val="18"/>
                <w:szCs w:val="18"/>
              </w:rPr>
              <w:t xml:space="preserve"> </w:t>
            </w:r>
            <w:r>
              <w:rPr>
                <w:rFonts w:hint="eastAsia" w:ascii="宋体" w:hAnsi="宋体"/>
                <w:spacing w:val="-9"/>
                <w:sz w:val="18"/>
                <w:szCs w:val="18"/>
              </w:rPr>
              <w:t>)</w:t>
            </w:r>
          </w:p>
        </w:tc>
        <w:tc>
          <w:tcPr>
            <w:tcW w:w="669" w:type="dxa"/>
            <w:tcBorders>
              <w:top w:val="single" w:color="000000" w:sz="4" w:space="0"/>
              <w:left w:val="single" w:color="000000" w:sz="4" w:space="0"/>
              <w:bottom w:val="single" w:color="000000" w:sz="4" w:space="0"/>
              <w:right w:val="single" w:color="000000" w:sz="4" w:space="0"/>
            </w:tcBorders>
          </w:tcPr>
          <w:p w14:paraId="23F93964">
            <w:pPr>
              <w:pStyle w:val="10"/>
              <w:spacing w:line="456" w:lineRule="auto"/>
              <w:rPr>
                <w:sz w:val="21"/>
              </w:rPr>
            </w:pPr>
          </w:p>
          <w:p w14:paraId="20E621F5">
            <w:pPr>
              <w:spacing w:before="58"/>
              <w:ind w:left="142"/>
              <w:rPr>
                <w:rFonts w:ascii="宋体" w:hAnsi="宋体"/>
                <w:sz w:val="18"/>
                <w:szCs w:val="18"/>
              </w:rPr>
            </w:pPr>
            <w:r>
              <w:rPr>
                <w:rFonts w:hint="eastAsia" w:ascii="宋体" w:hAnsi="宋体"/>
                <w:spacing w:val="-3"/>
                <w:sz w:val="18"/>
                <w:szCs w:val="18"/>
              </w:rPr>
              <w:t>预算</w:t>
            </w:r>
          </w:p>
          <w:p w14:paraId="4C8C2272">
            <w:pPr>
              <w:spacing w:before="45"/>
              <w:ind w:left="231" w:right="165" w:hanging="89"/>
              <w:rPr>
                <w:rFonts w:ascii="宋体" w:hAnsi="宋体"/>
                <w:sz w:val="18"/>
                <w:szCs w:val="18"/>
              </w:rPr>
            </w:pPr>
            <w:r>
              <w:rPr>
                <w:rFonts w:hint="eastAsia" w:ascii="宋体" w:hAnsi="宋体"/>
                <w:spacing w:val="-5"/>
                <w:sz w:val="18"/>
                <w:szCs w:val="18"/>
              </w:rPr>
              <w:t>完成</w:t>
            </w:r>
            <w:r>
              <w:rPr>
                <w:rFonts w:hint="eastAsia" w:ascii="宋体" w:hAnsi="宋体"/>
                <w:sz w:val="18"/>
                <w:szCs w:val="18"/>
              </w:rPr>
              <w:t xml:space="preserve"> 率</w:t>
            </w:r>
          </w:p>
        </w:tc>
        <w:tc>
          <w:tcPr>
            <w:tcW w:w="624" w:type="dxa"/>
            <w:tcBorders>
              <w:top w:val="single" w:color="000000" w:sz="4" w:space="0"/>
              <w:left w:val="single" w:color="000000" w:sz="4" w:space="0"/>
              <w:bottom w:val="single" w:color="000000" w:sz="4" w:space="0"/>
              <w:right w:val="single" w:color="000000" w:sz="4" w:space="0"/>
            </w:tcBorders>
          </w:tcPr>
          <w:p w14:paraId="44D83592">
            <w:pPr>
              <w:pStyle w:val="10"/>
              <w:rPr>
                <w:sz w:val="21"/>
              </w:rPr>
            </w:pPr>
          </w:p>
          <w:p w14:paraId="6B47B4B5">
            <w:pPr>
              <w:pStyle w:val="10"/>
              <w:rPr>
                <w:sz w:val="20"/>
              </w:rPr>
            </w:pPr>
          </w:p>
          <w:p w14:paraId="1872DEB5">
            <w:pPr>
              <w:pStyle w:val="10"/>
              <w:rPr>
                <w:sz w:val="20"/>
              </w:rPr>
            </w:pPr>
          </w:p>
          <w:p w14:paraId="7271261C">
            <w:pPr>
              <w:spacing w:before="59"/>
              <w:ind w:left="182"/>
              <w:rPr>
                <w:rFonts w:ascii="宋体" w:hAnsi="宋体"/>
                <w:sz w:val="18"/>
                <w:szCs w:val="18"/>
              </w:rPr>
            </w:pPr>
            <w:r>
              <w:rPr>
                <w:rFonts w:hint="eastAsia" w:ascii="宋体" w:hAnsi="宋体"/>
                <w:sz w:val="18"/>
                <w:szCs w:val="18"/>
              </w:rPr>
              <w:t>3</w:t>
            </w:r>
          </w:p>
        </w:tc>
        <w:tc>
          <w:tcPr>
            <w:tcW w:w="3962" w:type="dxa"/>
            <w:tcBorders>
              <w:top w:val="single" w:color="000000" w:sz="4" w:space="0"/>
              <w:left w:val="single" w:color="000000" w:sz="4" w:space="0"/>
              <w:bottom w:val="single" w:color="000000" w:sz="4" w:space="0"/>
              <w:right w:val="single" w:color="000000" w:sz="4" w:space="0"/>
            </w:tcBorders>
          </w:tcPr>
          <w:p w14:paraId="775AF9D0">
            <w:pPr>
              <w:spacing w:before="85"/>
              <w:ind w:left="123" w:right="112" w:firstLine="79"/>
              <w:jc w:val="both"/>
              <w:rPr>
                <w:rFonts w:ascii="宋体" w:hAnsi="宋体"/>
                <w:sz w:val="18"/>
                <w:szCs w:val="18"/>
              </w:rPr>
            </w:pPr>
            <w:r>
              <w:rPr>
                <w:rFonts w:hint="eastAsia" w:ascii="宋体" w:hAnsi="宋体"/>
                <w:sz w:val="18"/>
                <w:szCs w:val="18"/>
              </w:rPr>
              <w:t xml:space="preserve">部门(单位)本年度预算完成数与预算数的比率， </w:t>
            </w:r>
            <w:r>
              <w:rPr>
                <w:rFonts w:hint="eastAsia" w:ascii="宋体" w:hAnsi="宋体"/>
                <w:spacing w:val="1"/>
                <w:sz w:val="18"/>
                <w:szCs w:val="18"/>
              </w:rPr>
              <w:t>用以反映和考核部门(单位)预算完成程度。</w:t>
            </w:r>
            <w:r>
              <w:rPr>
                <w:rFonts w:hint="eastAsia" w:ascii="宋体" w:hAnsi="宋体"/>
                <w:sz w:val="18"/>
                <w:szCs w:val="18"/>
              </w:rPr>
              <w:t>预算 完成率=(预算完成数/预算数)×100</w:t>
            </w:r>
            <w:r>
              <w:rPr>
                <w:rFonts w:hint="eastAsia" w:ascii="宋体" w:hAnsi="宋体"/>
                <w:spacing w:val="-1"/>
                <w:sz w:val="18"/>
                <w:szCs w:val="18"/>
              </w:rPr>
              <w:t>%。</w:t>
            </w:r>
          </w:p>
          <w:p w14:paraId="78BA13C7">
            <w:pPr>
              <w:spacing w:before="5"/>
              <w:ind w:left="83" w:right="171" w:firstLine="69"/>
              <w:rPr>
                <w:rFonts w:hint="eastAsia" w:ascii="宋体" w:hAnsi="宋体"/>
                <w:sz w:val="18"/>
                <w:szCs w:val="18"/>
              </w:rPr>
            </w:pPr>
            <w:r>
              <w:rPr>
                <w:rFonts w:hint="eastAsia" w:ascii="宋体" w:hAnsi="宋体"/>
                <w:spacing w:val="-1"/>
                <w:sz w:val="18"/>
                <w:szCs w:val="18"/>
              </w:rPr>
              <w:t>预算完成数：部门(单位)本年度实际完成的预算</w:t>
            </w:r>
            <w:r>
              <w:rPr>
                <w:rFonts w:hint="eastAsia" w:ascii="宋体" w:hAnsi="宋体"/>
                <w:spacing w:val="12"/>
                <w:sz w:val="18"/>
                <w:szCs w:val="18"/>
              </w:rPr>
              <w:t xml:space="preserve"> </w:t>
            </w:r>
            <w:r>
              <w:rPr>
                <w:rFonts w:hint="eastAsia" w:ascii="宋体" w:hAnsi="宋体"/>
                <w:sz w:val="18"/>
                <w:szCs w:val="18"/>
              </w:rPr>
              <w:t>数。</w:t>
            </w:r>
          </w:p>
          <w:p w14:paraId="3E2658C6">
            <w:pPr>
              <w:ind w:left="93" w:right="171" w:firstLine="59"/>
              <w:rPr>
                <w:rFonts w:ascii="宋体" w:hAnsi="宋体"/>
                <w:sz w:val="18"/>
                <w:szCs w:val="18"/>
              </w:rPr>
            </w:pPr>
            <w:r>
              <w:rPr>
                <w:rFonts w:hint="eastAsia" w:ascii="宋体" w:hAnsi="宋体"/>
                <w:spacing w:val="-1"/>
                <w:sz w:val="18"/>
                <w:szCs w:val="18"/>
              </w:rPr>
              <w:t>预算数：财政部门批复的本年度部门(单位)预算</w:t>
            </w:r>
            <w:r>
              <w:rPr>
                <w:rFonts w:hint="eastAsia" w:ascii="宋体" w:hAnsi="宋体"/>
                <w:spacing w:val="12"/>
                <w:sz w:val="18"/>
                <w:szCs w:val="18"/>
              </w:rPr>
              <w:t xml:space="preserve"> </w:t>
            </w:r>
            <w:r>
              <w:rPr>
                <w:rFonts w:hint="eastAsia" w:ascii="宋体" w:hAnsi="宋体"/>
                <w:sz w:val="18"/>
                <w:szCs w:val="18"/>
              </w:rPr>
              <w:t>数。</w:t>
            </w:r>
          </w:p>
        </w:tc>
        <w:tc>
          <w:tcPr>
            <w:tcW w:w="2967" w:type="dxa"/>
            <w:tcBorders>
              <w:top w:val="single" w:color="000000" w:sz="4" w:space="0"/>
              <w:left w:val="single" w:color="000000" w:sz="4" w:space="0"/>
              <w:bottom w:val="single" w:color="000000" w:sz="4" w:space="0"/>
              <w:right w:val="single" w:color="000000" w:sz="4" w:space="0"/>
            </w:tcBorders>
          </w:tcPr>
          <w:p w14:paraId="7E63FC75">
            <w:pPr>
              <w:pStyle w:val="10"/>
              <w:spacing w:line="244" w:lineRule="auto"/>
              <w:rPr>
                <w:sz w:val="21"/>
              </w:rPr>
            </w:pPr>
          </w:p>
          <w:p w14:paraId="5ECF8C39">
            <w:pPr>
              <w:spacing w:before="58"/>
              <w:ind w:left="266" w:right="80" w:hanging="89"/>
              <w:rPr>
                <w:rFonts w:ascii="宋体" w:hAnsi="宋体"/>
                <w:sz w:val="18"/>
                <w:szCs w:val="18"/>
              </w:rPr>
            </w:pPr>
            <w:r>
              <w:rPr>
                <w:rFonts w:hint="eastAsia" w:ascii="宋体" w:hAnsi="宋体"/>
                <w:spacing w:val="4"/>
                <w:sz w:val="18"/>
                <w:szCs w:val="18"/>
              </w:rPr>
              <w:t>目标值=100%;达到目标值计3分；</w:t>
            </w:r>
            <w:r>
              <w:rPr>
                <w:rFonts w:hint="eastAsia" w:ascii="宋体" w:hAnsi="宋体"/>
                <w:spacing w:val="16"/>
                <w:sz w:val="18"/>
                <w:szCs w:val="18"/>
              </w:rPr>
              <w:t xml:space="preserve"> </w:t>
            </w:r>
            <w:r>
              <w:rPr>
                <w:rFonts w:hint="eastAsia" w:ascii="宋体" w:hAnsi="宋体"/>
                <w:sz w:val="18"/>
                <w:szCs w:val="18"/>
              </w:rPr>
              <w:t>100%&gt;结果≥90%,计2.5分；90%</w:t>
            </w:r>
            <w:r>
              <w:rPr>
                <w:rFonts w:hint="eastAsia" w:ascii="宋体" w:hAnsi="宋体"/>
                <w:spacing w:val="1"/>
                <w:sz w:val="18"/>
                <w:szCs w:val="18"/>
              </w:rPr>
              <w:t xml:space="preserve">   </w:t>
            </w:r>
            <w:r>
              <w:rPr>
                <w:rFonts w:hint="eastAsia" w:ascii="宋体" w:hAnsi="宋体"/>
                <w:spacing w:val="2"/>
                <w:sz w:val="18"/>
                <w:szCs w:val="18"/>
              </w:rPr>
              <w:t>&gt;结果≥80%,计2分；80%&gt;结果</w:t>
            </w:r>
          </w:p>
          <w:p w14:paraId="05240CB4">
            <w:pPr>
              <w:spacing w:before="4"/>
              <w:ind w:left="87" w:right="300" w:firstLine="219"/>
              <w:rPr>
                <w:rFonts w:ascii="宋体" w:hAnsi="宋体"/>
                <w:sz w:val="18"/>
                <w:szCs w:val="18"/>
              </w:rPr>
            </w:pPr>
            <w:r>
              <w:rPr>
                <w:rFonts w:hint="eastAsia" w:ascii="宋体" w:hAnsi="宋体"/>
                <w:sz w:val="18"/>
                <w:szCs w:val="18"/>
              </w:rPr>
              <w:t>≥70%,计1.5分；结果&lt;70%计0</w:t>
            </w:r>
            <w:r>
              <w:rPr>
                <w:rFonts w:hint="eastAsia" w:ascii="宋体" w:hAnsi="宋体"/>
                <w:spacing w:val="8"/>
                <w:sz w:val="18"/>
                <w:szCs w:val="18"/>
              </w:rPr>
              <w:t xml:space="preserve"> </w:t>
            </w:r>
            <w:r>
              <w:rPr>
                <w:rFonts w:hint="eastAsia" w:ascii="宋体" w:hAnsi="宋体"/>
                <w:spacing w:val="-1"/>
                <w:sz w:val="18"/>
                <w:szCs w:val="18"/>
              </w:rPr>
              <w:t>分。</w:t>
            </w:r>
          </w:p>
        </w:tc>
        <w:tc>
          <w:tcPr>
            <w:tcW w:w="654" w:type="dxa"/>
            <w:tcBorders>
              <w:top w:val="single" w:color="000000" w:sz="4" w:space="0"/>
              <w:left w:val="single" w:color="000000" w:sz="4" w:space="0"/>
              <w:bottom w:val="single" w:color="000000" w:sz="4" w:space="0"/>
              <w:right w:val="single" w:color="000000" w:sz="4" w:space="0"/>
            </w:tcBorders>
            <w:vAlign w:val="center"/>
          </w:tcPr>
          <w:p w14:paraId="01FF06B9">
            <w:pPr>
              <w:pStyle w:val="10"/>
              <w:jc w:val="center"/>
              <w:rPr>
                <w:rFonts w:hint="eastAsia" w:eastAsia="宋体"/>
                <w:sz w:val="20"/>
                <w:lang w:val="en-US" w:eastAsia="zh-CN"/>
              </w:rPr>
            </w:pPr>
            <w:r>
              <w:rPr>
                <w:rFonts w:hint="eastAsia"/>
                <w:color w:val="FF0000"/>
                <w:sz w:val="20"/>
                <w:lang w:val="en-US" w:eastAsia="zh-CN"/>
              </w:rPr>
              <w:t>2</w:t>
            </w:r>
          </w:p>
        </w:tc>
      </w:tr>
    </w:tbl>
    <w:p w14:paraId="314F3F1A">
      <w:r>
        <w:t xml:space="preserve"> </w:t>
      </w:r>
    </w:p>
    <w:p w14:paraId="4F22AF88">
      <w:pPr>
        <w:kinsoku/>
        <w:autoSpaceDE/>
        <w:autoSpaceDN/>
        <w:adjustRightInd/>
        <w:snapToGrid/>
        <w:textAlignment w:val="auto"/>
        <w:sectPr>
          <w:pgSz w:w="11900" w:h="16830"/>
          <w:pgMar w:top="1094" w:right="1429" w:bottom="1020" w:left="850" w:header="0" w:footer="957" w:gutter="0"/>
          <w:cols w:space="720" w:num="1"/>
        </w:sectPr>
      </w:pPr>
    </w:p>
    <w:tbl>
      <w:tblPr>
        <w:tblStyle w:val="12"/>
        <w:tblW w:w="10210"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630"/>
        <w:gridCol w:w="679"/>
        <w:gridCol w:w="479"/>
        <w:gridCol w:w="4106"/>
        <w:gridCol w:w="2997"/>
        <w:gridCol w:w="645"/>
      </w:tblGrid>
      <w:tr w14:paraId="2ED5D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674" w:type="dxa"/>
            <w:tcBorders>
              <w:top w:val="single" w:color="000000" w:sz="4" w:space="0"/>
              <w:left w:val="single" w:color="000000" w:sz="4" w:space="0"/>
              <w:bottom w:val="single" w:color="000000" w:sz="4" w:space="0"/>
              <w:right w:val="single" w:color="000000" w:sz="4" w:space="0"/>
            </w:tcBorders>
          </w:tcPr>
          <w:p w14:paraId="7302B997">
            <w:pPr>
              <w:spacing w:before="12"/>
              <w:ind w:left="137"/>
              <w:rPr>
                <w:rFonts w:ascii="宋体" w:hAnsi="宋体"/>
                <w:sz w:val="19"/>
                <w:szCs w:val="19"/>
              </w:rPr>
            </w:pPr>
            <w:r>
              <w:rPr>
                <w:rFonts w:hint="eastAsia" w:ascii="宋体" w:hAnsi="宋体"/>
                <w:b/>
                <w:bCs/>
                <w:spacing w:val="-8"/>
                <w:sz w:val="19"/>
                <w:szCs w:val="19"/>
              </w:rPr>
              <w:t>一级</w:t>
            </w:r>
          </w:p>
          <w:p w14:paraId="73FF5C42">
            <w:pPr>
              <w:ind w:left="147"/>
              <w:rPr>
                <w:rFonts w:ascii="宋体" w:hAnsi="宋体"/>
                <w:sz w:val="19"/>
                <w:szCs w:val="19"/>
              </w:rPr>
            </w:pPr>
            <w:r>
              <w:rPr>
                <w:rFonts w:hint="eastAsia" w:ascii="宋体" w:hAnsi="宋体"/>
                <w:b/>
                <w:bCs/>
                <w:spacing w:val="-5"/>
                <w:sz w:val="19"/>
                <w:szCs w:val="19"/>
              </w:rPr>
              <w:t>指标</w:t>
            </w:r>
          </w:p>
        </w:tc>
        <w:tc>
          <w:tcPr>
            <w:tcW w:w="630" w:type="dxa"/>
            <w:tcBorders>
              <w:top w:val="single" w:color="000000" w:sz="4" w:space="0"/>
              <w:left w:val="single" w:color="000000" w:sz="4" w:space="0"/>
              <w:bottom w:val="single" w:color="000000" w:sz="4" w:space="0"/>
              <w:right w:val="single" w:color="000000" w:sz="4" w:space="0"/>
            </w:tcBorders>
          </w:tcPr>
          <w:p w14:paraId="2B022891">
            <w:pPr>
              <w:spacing w:before="22"/>
              <w:ind w:left="113"/>
              <w:rPr>
                <w:rFonts w:ascii="宋体" w:hAnsi="宋体"/>
                <w:sz w:val="19"/>
                <w:szCs w:val="19"/>
              </w:rPr>
            </w:pPr>
            <w:r>
              <w:rPr>
                <w:rFonts w:hint="eastAsia" w:ascii="宋体" w:hAnsi="宋体"/>
                <w:b/>
                <w:bCs/>
                <w:spacing w:val="-5"/>
                <w:sz w:val="19"/>
                <w:szCs w:val="19"/>
              </w:rPr>
              <w:t>二级</w:t>
            </w:r>
          </w:p>
          <w:p w14:paraId="32AB00FE">
            <w:pPr>
              <w:ind w:left="113"/>
              <w:rPr>
                <w:rFonts w:ascii="宋体" w:hAnsi="宋体"/>
                <w:sz w:val="19"/>
                <w:szCs w:val="19"/>
              </w:rPr>
            </w:pPr>
            <w:r>
              <w:rPr>
                <w:rFonts w:hint="eastAsia" w:ascii="宋体" w:hAnsi="宋体"/>
                <w:b/>
                <w:bCs/>
                <w:spacing w:val="-5"/>
                <w:sz w:val="19"/>
                <w:szCs w:val="19"/>
              </w:rPr>
              <w:t>指标</w:t>
            </w:r>
          </w:p>
        </w:tc>
        <w:tc>
          <w:tcPr>
            <w:tcW w:w="679" w:type="dxa"/>
            <w:tcBorders>
              <w:top w:val="single" w:color="000000" w:sz="4" w:space="0"/>
              <w:left w:val="single" w:color="000000" w:sz="4" w:space="0"/>
              <w:bottom w:val="single" w:color="000000" w:sz="4" w:space="0"/>
              <w:right w:val="single" w:color="000000" w:sz="4" w:space="0"/>
            </w:tcBorders>
          </w:tcPr>
          <w:p w14:paraId="012E19A4">
            <w:pPr>
              <w:spacing w:before="22"/>
              <w:ind w:left="143"/>
              <w:rPr>
                <w:rFonts w:ascii="宋体" w:hAnsi="宋体"/>
                <w:sz w:val="19"/>
                <w:szCs w:val="19"/>
              </w:rPr>
            </w:pPr>
            <w:r>
              <w:rPr>
                <w:rFonts w:hint="eastAsia" w:ascii="宋体" w:hAnsi="宋体"/>
                <w:b/>
                <w:bCs/>
                <w:spacing w:val="-4"/>
                <w:sz w:val="19"/>
                <w:szCs w:val="19"/>
              </w:rPr>
              <w:t>三级</w:t>
            </w:r>
          </w:p>
          <w:p w14:paraId="10BDB558">
            <w:pPr>
              <w:ind w:left="143"/>
              <w:rPr>
                <w:rFonts w:ascii="宋体" w:hAnsi="宋体"/>
                <w:sz w:val="19"/>
                <w:szCs w:val="19"/>
              </w:rPr>
            </w:pPr>
            <w:r>
              <w:rPr>
                <w:rFonts w:hint="eastAsia" w:ascii="宋体" w:hAnsi="宋体"/>
                <w:b/>
                <w:bCs/>
                <w:spacing w:val="-5"/>
                <w:sz w:val="19"/>
                <w:szCs w:val="19"/>
              </w:rPr>
              <w:t>指标</w:t>
            </w:r>
          </w:p>
        </w:tc>
        <w:tc>
          <w:tcPr>
            <w:tcW w:w="479" w:type="dxa"/>
            <w:tcBorders>
              <w:top w:val="single" w:color="000000" w:sz="4" w:space="0"/>
              <w:left w:val="single" w:color="000000" w:sz="4" w:space="0"/>
              <w:bottom w:val="single" w:color="000000" w:sz="4" w:space="0"/>
              <w:right w:val="single" w:color="000000" w:sz="4" w:space="0"/>
            </w:tcBorders>
          </w:tcPr>
          <w:p w14:paraId="5A315811">
            <w:pPr>
              <w:spacing w:before="154"/>
              <w:ind w:left="31"/>
              <w:rPr>
                <w:rFonts w:ascii="宋体" w:hAnsi="宋体"/>
                <w:sz w:val="19"/>
                <w:szCs w:val="19"/>
              </w:rPr>
            </w:pPr>
            <w:r>
              <w:rPr>
                <w:rFonts w:hint="eastAsia" w:ascii="宋体" w:hAnsi="宋体"/>
                <w:b/>
                <w:bCs/>
                <w:spacing w:val="-2"/>
                <w:sz w:val="19"/>
                <w:szCs w:val="19"/>
              </w:rPr>
              <w:t>分值</w:t>
            </w:r>
          </w:p>
        </w:tc>
        <w:tc>
          <w:tcPr>
            <w:tcW w:w="4106" w:type="dxa"/>
            <w:tcBorders>
              <w:top w:val="single" w:color="000000" w:sz="4" w:space="0"/>
              <w:left w:val="single" w:color="000000" w:sz="4" w:space="0"/>
              <w:bottom w:val="single" w:color="000000" w:sz="4" w:space="0"/>
              <w:right w:val="single" w:color="000000" w:sz="4" w:space="0"/>
            </w:tcBorders>
          </w:tcPr>
          <w:p w14:paraId="798B0998">
            <w:pPr>
              <w:spacing w:before="150"/>
              <w:ind w:left="1045"/>
              <w:rPr>
                <w:rFonts w:ascii="宋体" w:hAnsi="宋体"/>
                <w:sz w:val="19"/>
                <w:szCs w:val="19"/>
              </w:rPr>
            </w:pPr>
            <w:r>
              <w:rPr>
                <w:rFonts w:hint="eastAsia" w:ascii="宋体" w:hAnsi="宋体"/>
                <w:b/>
                <w:bCs/>
                <w:spacing w:val="-3"/>
                <w:sz w:val="19"/>
                <w:szCs w:val="19"/>
              </w:rPr>
              <w:t>指标解释/绩效目标内容</w:t>
            </w:r>
          </w:p>
        </w:tc>
        <w:tc>
          <w:tcPr>
            <w:tcW w:w="2997" w:type="dxa"/>
            <w:tcBorders>
              <w:top w:val="single" w:color="000000" w:sz="4" w:space="0"/>
              <w:left w:val="single" w:color="000000" w:sz="4" w:space="0"/>
              <w:bottom w:val="single" w:color="000000" w:sz="4" w:space="0"/>
              <w:right w:val="single" w:color="000000" w:sz="4" w:space="0"/>
            </w:tcBorders>
          </w:tcPr>
          <w:p w14:paraId="0C087A65">
            <w:pPr>
              <w:spacing w:before="150"/>
              <w:ind w:left="1119"/>
              <w:rPr>
                <w:rFonts w:ascii="宋体" w:hAnsi="宋体"/>
                <w:sz w:val="19"/>
                <w:szCs w:val="19"/>
              </w:rPr>
            </w:pPr>
            <w:r>
              <w:rPr>
                <w:rFonts w:hint="eastAsia" w:ascii="宋体" w:hAnsi="宋体"/>
                <w:b/>
                <w:bCs/>
                <w:spacing w:val="-4"/>
                <w:sz w:val="19"/>
                <w:szCs w:val="19"/>
              </w:rPr>
              <w:t>评分标准</w:t>
            </w:r>
          </w:p>
        </w:tc>
        <w:tc>
          <w:tcPr>
            <w:tcW w:w="645" w:type="dxa"/>
            <w:tcBorders>
              <w:top w:val="single" w:color="000000" w:sz="4" w:space="0"/>
              <w:left w:val="single" w:color="000000" w:sz="4" w:space="0"/>
              <w:bottom w:val="single" w:color="000000" w:sz="4" w:space="0"/>
              <w:right w:val="single" w:color="000000" w:sz="4" w:space="0"/>
            </w:tcBorders>
          </w:tcPr>
          <w:p w14:paraId="6EA07F4E">
            <w:pPr>
              <w:spacing w:before="20"/>
              <w:ind w:left="132"/>
              <w:rPr>
                <w:rFonts w:ascii="宋体" w:hAnsi="宋体"/>
                <w:sz w:val="19"/>
                <w:szCs w:val="19"/>
              </w:rPr>
            </w:pPr>
            <w:r>
              <w:rPr>
                <w:rFonts w:hint="eastAsia" w:ascii="宋体" w:hAnsi="宋体"/>
                <w:b/>
                <w:bCs/>
                <w:spacing w:val="-2"/>
                <w:sz w:val="19"/>
                <w:szCs w:val="19"/>
              </w:rPr>
              <w:t>自评</w:t>
            </w:r>
          </w:p>
          <w:p w14:paraId="1E75D62C">
            <w:pPr>
              <w:spacing w:before="12"/>
              <w:ind w:left="132"/>
              <w:rPr>
                <w:rFonts w:ascii="宋体" w:hAnsi="宋体"/>
                <w:sz w:val="19"/>
                <w:szCs w:val="19"/>
              </w:rPr>
            </w:pPr>
            <w:r>
              <w:rPr>
                <w:rFonts w:hint="eastAsia" w:ascii="宋体" w:hAnsi="宋体"/>
                <w:b/>
                <w:bCs/>
                <w:spacing w:val="-5"/>
                <w:sz w:val="19"/>
                <w:szCs w:val="19"/>
              </w:rPr>
              <w:t>得分</w:t>
            </w:r>
          </w:p>
        </w:tc>
      </w:tr>
      <w:tr w14:paraId="5F2FF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4" w:type="dxa"/>
            <w:vMerge w:val="restart"/>
            <w:tcBorders>
              <w:top w:val="nil"/>
              <w:left w:val="single" w:color="000000" w:sz="4" w:space="0"/>
              <w:bottom w:val="nil"/>
              <w:right w:val="single" w:color="000000" w:sz="4" w:space="0"/>
            </w:tcBorders>
          </w:tcPr>
          <w:p w14:paraId="1C9E79E4">
            <w:pPr>
              <w:spacing w:before="245"/>
              <w:ind w:left="5940"/>
              <w:rPr>
                <w:rFonts w:ascii="宋体" w:hAnsi="宋体"/>
                <w:sz w:val="19"/>
                <w:szCs w:val="19"/>
              </w:rPr>
            </w:pPr>
            <w:r>
              <w:rPr>
                <w:rFonts w:hint="eastAsia" w:ascii="宋体" w:hAnsi="宋体"/>
                <w:sz w:val="19"/>
                <w:szCs w:val="19"/>
              </w:rPr>
              <w:t>过程</w:t>
            </w:r>
          </w:p>
        </w:tc>
        <w:tc>
          <w:tcPr>
            <w:tcW w:w="630" w:type="dxa"/>
            <w:vMerge w:val="restart"/>
            <w:tcBorders>
              <w:top w:val="nil"/>
              <w:left w:val="single" w:color="000000" w:sz="4" w:space="0"/>
              <w:bottom w:val="nil"/>
              <w:right w:val="single" w:color="000000" w:sz="4" w:space="0"/>
            </w:tcBorders>
          </w:tcPr>
          <w:p w14:paraId="0FD92E69">
            <w:pPr>
              <w:pStyle w:val="10"/>
              <w:spacing w:line="256" w:lineRule="auto"/>
              <w:rPr>
                <w:sz w:val="21"/>
              </w:rPr>
            </w:pPr>
          </w:p>
          <w:p w14:paraId="586110AF">
            <w:pPr>
              <w:pStyle w:val="10"/>
              <w:spacing w:line="256" w:lineRule="auto"/>
              <w:rPr>
                <w:sz w:val="20"/>
              </w:rPr>
            </w:pPr>
          </w:p>
          <w:p w14:paraId="32E3EB8A">
            <w:pPr>
              <w:pStyle w:val="10"/>
              <w:spacing w:line="256" w:lineRule="auto"/>
              <w:rPr>
                <w:sz w:val="20"/>
              </w:rPr>
            </w:pPr>
          </w:p>
          <w:p w14:paraId="56A9813E">
            <w:pPr>
              <w:pStyle w:val="10"/>
              <w:spacing w:line="256" w:lineRule="auto"/>
              <w:rPr>
                <w:sz w:val="20"/>
              </w:rPr>
            </w:pPr>
          </w:p>
          <w:p w14:paraId="072C54E5">
            <w:pPr>
              <w:pStyle w:val="10"/>
              <w:spacing w:line="259" w:lineRule="auto"/>
              <w:rPr>
                <w:sz w:val="20"/>
              </w:rPr>
            </w:pPr>
          </w:p>
          <w:p w14:paraId="3266E295">
            <w:pPr>
              <w:pStyle w:val="10"/>
              <w:spacing w:line="259" w:lineRule="auto"/>
              <w:rPr>
                <w:sz w:val="20"/>
              </w:rPr>
            </w:pPr>
          </w:p>
          <w:p w14:paraId="7E549FA9">
            <w:pPr>
              <w:pStyle w:val="10"/>
              <w:spacing w:line="259" w:lineRule="auto"/>
              <w:rPr>
                <w:sz w:val="20"/>
              </w:rPr>
            </w:pPr>
          </w:p>
          <w:p w14:paraId="6643E03B">
            <w:pPr>
              <w:pStyle w:val="10"/>
              <w:spacing w:line="259" w:lineRule="auto"/>
              <w:rPr>
                <w:sz w:val="20"/>
              </w:rPr>
            </w:pPr>
          </w:p>
          <w:p w14:paraId="6674F35A">
            <w:pPr>
              <w:pStyle w:val="10"/>
              <w:spacing w:line="259" w:lineRule="auto"/>
              <w:rPr>
                <w:sz w:val="20"/>
              </w:rPr>
            </w:pPr>
          </w:p>
          <w:p w14:paraId="01E24CD5">
            <w:pPr>
              <w:pStyle w:val="10"/>
              <w:spacing w:line="259" w:lineRule="auto"/>
              <w:rPr>
                <w:sz w:val="20"/>
              </w:rPr>
            </w:pPr>
          </w:p>
          <w:p w14:paraId="254B92E5">
            <w:pPr>
              <w:pStyle w:val="10"/>
              <w:spacing w:line="259" w:lineRule="auto"/>
              <w:rPr>
                <w:sz w:val="20"/>
              </w:rPr>
            </w:pPr>
          </w:p>
          <w:p w14:paraId="34FC8A23">
            <w:pPr>
              <w:pStyle w:val="10"/>
              <w:spacing w:line="259" w:lineRule="auto"/>
              <w:rPr>
                <w:sz w:val="20"/>
              </w:rPr>
            </w:pPr>
          </w:p>
          <w:p w14:paraId="2C259295">
            <w:pPr>
              <w:spacing w:before="62"/>
              <w:ind w:left="111"/>
              <w:rPr>
                <w:rFonts w:ascii="宋体" w:hAnsi="宋体"/>
                <w:spacing w:val="-3"/>
                <w:sz w:val="19"/>
                <w:szCs w:val="19"/>
              </w:rPr>
            </w:pPr>
            <w:r>
              <w:rPr>
                <w:rFonts w:hint="eastAsia" w:ascii="宋体" w:hAnsi="宋体"/>
                <w:spacing w:val="-3"/>
                <w:sz w:val="19"/>
                <w:szCs w:val="19"/>
              </w:rPr>
              <w:t>预</w:t>
            </w:r>
          </w:p>
          <w:p w14:paraId="46CA8AD9">
            <w:pPr>
              <w:spacing w:before="62"/>
              <w:ind w:left="111"/>
              <w:rPr>
                <w:rFonts w:hint="eastAsia" w:ascii="宋体" w:hAnsi="宋体"/>
                <w:sz w:val="19"/>
                <w:szCs w:val="19"/>
              </w:rPr>
            </w:pPr>
            <w:r>
              <w:rPr>
                <w:rFonts w:hint="eastAsia" w:ascii="宋体" w:hAnsi="宋体"/>
                <w:spacing w:val="-3"/>
                <w:sz w:val="19"/>
                <w:szCs w:val="19"/>
              </w:rPr>
              <w:t>算</w:t>
            </w:r>
          </w:p>
          <w:p w14:paraId="13E62D02">
            <w:pPr>
              <w:spacing w:before="5"/>
              <w:ind w:left="120" w:right="136" w:hanging="9"/>
              <w:jc w:val="both"/>
              <w:rPr>
                <w:rFonts w:hint="eastAsia" w:ascii="宋体" w:hAnsi="宋体"/>
                <w:spacing w:val="-4"/>
                <w:sz w:val="19"/>
                <w:szCs w:val="19"/>
              </w:rPr>
            </w:pPr>
            <w:r>
              <w:rPr>
                <w:rFonts w:hint="eastAsia" w:ascii="宋体" w:hAnsi="宋体"/>
                <w:spacing w:val="-4"/>
                <w:sz w:val="19"/>
                <w:szCs w:val="19"/>
              </w:rPr>
              <w:t>执</w:t>
            </w:r>
          </w:p>
          <w:p w14:paraId="219FA246">
            <w:pPr>
              <w:spacing w:before="5"/>
              <w:ind w:left="120" w:right="136" w:hanging="9"/>
              <w:jc w:val="both"/>
              <w:rPr>
                <w:rFonts w:ascii="宋体" w:hAnsi="宋体"/>
                <w:sz w:val="19"/>
                <w:szCs w:val="19"/>
              </w:rPr>
            </w:pPr>
            <w:r>
              <w:rPr>
                <w:rFonts w:hint="eastAsia" w:ascii="宋体" w:hAnsi="宋体"/>
                <w:spacing w:val="-4"/>
                <w:sz w:val="19"/>
                <w:szCs w:val="19"/>
              </w:rPr>
              <w:t>行</w:t>
            </w:r>
            <w:r>
              <w:rPr>
                <w:rFonts w:hint="eastAsia" w:ascii="宋体" w:hAnsi="宋体"/>
                <w:sz w:val="19"/>
                <w:szCs w:val="19"/>
              </w:rPr>
              <w:t xml:space="preserve"> </w:t>
            </w:r>
            <w:r>
              <w:rPr>
                <w:rFonts w:hint="eastAsia" w:ascii="宋体" w:hAnsi="宋体"/>
                <w:spacing w:val="-1"/>
                <w:sz w:val="19"/>
                <w:szCs w:val="19"/>
              </w:rPr>
              <w:t>(20</w:t>
            </w:r>
            <w:r>
              <w:rPr>
                <w:rFonts w:hint="eastAsia" w:ascii="宋体" w:hAnsi="宋体"/>
                <w:sz w:val="19"/>
                <w:szCs w:val="19"/>
              </w:rPr>
              <w:t xml:space="preserve">  </w:t>
            </w:r>
            <w:r>
              <w:rPr>
                <w:rFonts w:hint="eastAsia" w:ascii="宋体" w:hAnsi="宋体"/>
                <w:spacing w:val="-5"/>
                <w:sz w:val="19"/>
                <w:szCs w:val="19"/>
              </w:rPr>
              <w:t>分</w:t>
            </w:r>
            <w:r>
              <w:rPr>
                <w:rFonts w:hint="eastAsia" w:ascii="宋体" w:hAnsi="宋体"/>
                <w:spacing w:val="-41"/>
                <w:sz w:val="19"/>
                <w:szCs w:val="19"/>
              </w:rPr>
              <w:t xml:space="preserve"> </w:t>
            </w:r>
            <w:r>
              <w:rPr>
                <w:rFonts w:hint="eastAsia" w:ascii="宋体" w:hAnsi="宋体"/>
                <w:spacing w:val="-5"/>
                <w:sz w:val="19"/>
                <w:szCs w:val="19"/>
              </w:rPr>
              <w:t>)</w:t>
            </w:r>
          </w:p>
        </w:tc>
        <w:tc>
          <w:tcPr>
            <w:tcW w:w="679" w:type="dxa"/>
            <w:tcBorders>
              <w:top w:val="single" w:color="000000" w:sz="4" w:space="0"/>
              <w:left w:val="single" w:color="000000" w:sz="4" w:space="0"/>
              <w:bottom w:val="single" w:color="000000" w:sz="4" w:space="0"/>
              <w:right w:val="single" w:color="000000" w:sz="4" w:space="0"/>
            </w:tcBorders>
          </w:tcPr>
          <w:p w14:paraId="37A562D2">
            <w:pPr>
              <w:pStyle w:val="10"/>
              <w:rPr>
                <w:sz w:val="21"/>
              </w:rPr>
            </w:pPr>
          </w:p>
          <w:p w14:paraId="47BCDFFA">
            <w:pPr>
              <w:pStyle w:val="10"/>
              <w:rPr>
                <w:sz w:val="20"/>
              </w:rPr>
            </w:pPr>
          </w:p>
          <w:p w14:paraId="3CBF2FEC">
            <w:pPr>
              <w:spacing w:before="62"/>
              <w:ind w:left="141"/>
              <w:rPr>
                <w:rFonts w:ascii="宋体" w:hAnsi="宋体"/>
                <w:sz w:val="19"/>
                <w:szCs w:val="19"/>
              </w:rPr>
            </w:pPr>
            <w:r>
              <w:rPr>
                <w:rFonts w:hint="eastAsia" w:ascii="宋体" w:hAnsi="宋体"/>
                <w:spacing w:val="-3"/>
                <w:sz w:val="19"/>
                <w:szCs w:val="19"/>
              </w:rPr>
              <w:t>预算</w:t>
            </w:r>
          </w:p>
          <w:p w14:paraId="180FE188">
            <w:pPr>
              <w:spacing w:before="27"/>
              <w:ind w:left="230" w:right="156" w:hanging="89"/>
              <w:rPr>
                <w:rFonts w:ascii="宋体" w:hAnsi="宋体"/>
                <w:sz w:val="19"/>
                <w:szCs w:val="19"/>
              </w:rPr>
            </w:pPr>
            <w:r>
              <w:rPr>
                <w:rFonts w:hint="eastAsia" w:ascii="宋体" w:hAnsi="宋体"/>
                <w:spacing w:val="-5"/>
                <w:sz w:val="19"/>
                <w:szCs w:val="19"/>
              </w:rPr>
              <w:t>调整</w:t>
            </w:r>
            <w:r>
              <w:rPr>
                <w:rFonts w:hint="eastAsia" w:ascii="宋体" w:hAnsi="宋体"/>
                <w:sz w:val="19"/>
                <w:szCs w:val="19"/>
              </w:rPr>
              <w:t xml:space="preserve"> 率</w:t>
            </w:r>
          </w:p>
        </w:tc>
        <w:tc>
          <w:tcPr>
            <w:tcW w:w="479" w:type="dxa"/>
            <w:tcBorders>
              <w:top w:val="single" w:color="000000" w:sz="4" w:space="0"/>
              <w:left w:val="single" w:color="000000" w:sz="4" w:space="0"/>
              <w:bottom w:val="single" w:color="000000" w:sz="4" w:space="0"/>
              <w:right w:val="single" w:color="000000" w:sz="4" w:space="0"/>
            </w:tcBorders>
          </w:tcPr>
          <w:p w14:paraId="37618EF7">
            <w:pPr>
              <w:pStyle w:val="10"/>
              <w:spacing w:line="242" w:lineRule="auto"/>
              <w:rPr>
                <w:sz w:val="21"/>
              </w:rPr>
            </w:pPr>
          </w:p>
          <w:p w14:paraId="271E1166">
            <w:pPr>
              <w:pStyle w:val="10"/>
              <w:spacing w:line="242" w:lineRule="auto"/>
              <w:rPr>
                <w:sz w:val="20"/>
              </w:rPr>
            </w:pPr>
          </w:p>
          <w:p w14:paraId="56323580">
            <w:pPr>
              <w:pStyle w:val="10"/>
              <w:spacing w:line="242" w:lineRule="auto"/>
              <w:rPr>
                <w:sz w:val="20"/>
              </w:rPr>
            </w:pPr>
          </w:p>
          <w:p w14:paraId="5F90A3C6">
            <w:pPr>
              <w:spacing w:before="61"/>
              <w:ind w:left="182"/>
              <w:rPr>
                <w:rFonts w:ascii="宋体" w:hAnsi="宋体"/>
                <w:sz w:val="19"/>
                <w:szCs w:val="19"/>
              </w:rPr>
            </w:pPr>
            <w:r>
              <w:rPr>
                <w:rFonts w:hint="eastAsia" w:ascii="宋体" w:hAnsi="宋体"/>
                <w:sz w:val="19"/>
                <w:szCs w:val="19"/>
              </w:rPr>
              <w:t>3</w:t>
            </w:r>
          </w:p>
        </w:tc>
        <w:tc>
          <w:tcPr>
            <w:tcW w:w="4106" w:type="dxa"/>
            <w:tcBorders>
              <w:top w:val="single" w:color="000000" w:sz="4" w:space="0"/>
              <w:left w:val="single" w:color="000000" w:sz="4" w:space="0"/>
              <w:bottom w:val="single" w:color="000000" w:sz="4" w:space="0"/>
              <w:right w:val="single" w:color="000000" w:sz="4" w:space="0"/>
            </w:tcBorders>
          </w:tcPr>
          <w:p w14:paraId="24FEAE6B">
            <w:pPr>
              <w:spacing w:before="66"/>
              <w:ind w:left="53" w:right="7" w:firstLine="39"/>
              <w:jc w:val="both"/>
              <w:rPr>
                <w:rFonts w:ascii="宋体" w:hAnsi="宋体"/>
                <w:sz w:val="19"/>
                <w:szCs w:val="19"/>
              </w:rPr>
            </w:pPr>
            <w:r>
              <w:rPr>
                <w:rFonts w:hint="eastAsia" w:ascii="宋体" w:hAnsi="宋体"/>
                <w:sz w:val="19"/>
                <w:szCs w:val="19"/>
              </w:rPr>
              <w:t>部门(单位)本年度预算调整数与预算数的比率，</w:t>
            </w:r>
            <w:r>
              <w:rPr>
                <w:rFonts w:hint="eastAsia" w:ascii="宋体" w:hAnsi="宋体"/>
                <w:spacing w:val="4"/>
                <w:sz w:val="19"/>
                <w:szCs w:val="19"/>
              </w:rPr>
              <w:t xml:space="preserve"> </w:t>
            </w:r>
            <w:r>
              <w:rPr>
                <w:rFonts w:hint="eastAsia" w:ascii="宋体" w:hAnsi="宋体"/>
                <w:spacing w:val="-1"/>
                <w:sz w:val="19"/>
                <w:szCs w:val="19"/>
              </w:rPr>
              <w:t>用以反映和考核部门(单位)预算的调整程度。预</w:t>
            </w:r>
            <w:r>
              <w:rPr>
                <w:rFonts w:hint="eastAsia" w:ascii="宋体" w:hAnsi="宋体"/>
                <w:spacing w:val="12"/>
                <w:sz w:val="19"/>
                <w:szCs w:val="19"/>
              </w:rPr>
              <w:t xml:space="preserve"> </w:t>
            </w:r>
            <w:r>
              <w:rPr>
                <w:rFonts w:hint="eastAsia" w:ascii="宋体" w:hAnsi="宋体"/>
                <w:spacing w:val="3"/>
                <w:sz w:val="19"/>
                <w:szCs w:val="19"/>
              </w:rPr>
              <w:t>算调整率=(预算调整数/预算数)×10</w:t>
            </w:r>
            <w:r>
              <w:rPr>
                <w:rFonts w:hint="eastAsia" w:ascii="宋体" w:hAnsi="宋体"/>
                <w:spacing w:val="2"/>
                <w:sz w:val="19"/>
                <w:szCs w:val="19"/>
              </w:rPr>
              <w:t>0%。</w:t>
            </w:r>
          </w:p>
          <w:p w14:paraId="2AEA1BB2">
            <w:pPr>
              <w:spacing w:before="3"/>
              <w:ind w:left="102" w:hanging="49"/>
              <w:jc w:val="both"/>
              <w:rPr>
                <w:rFonts w:ascii="宋体" w:hAnsi="宋体"/>
                <w:sz w:val="19"/>
                <w:szCs w:val="19"/>
              </w:rPr>
            </w:pPr>
            <w:r>
              <w:rPr>
                <w:rFonts w:hint="eastAsia" w:ascii="宋体" w:hAnsi="宋体"/>
                <w:sz w:val="19"/>
                <w:szCs w:val="19"/>
              </w:rPr>
              <w:t>预算调整数：部门(单位)在本年度内涉及预算的</w:t>
            </w:r>
            <w:r>
              <w:rPr>
                <w:rFonts w:hint="eastAsia" w:ascii="宋体" w:hAnsi="宋体"/>
                <w:spacing w:val="5"/>
                <w:sz w:val="19"/>
                <w:szCs w:val="19"/>
              </w:rPr>
              <w:t xml:space="preserve"> </w:t>
            </w:r>
            <w:r>
              <w:rPr>
                <w:rFonts w:hint="eastAsia" w:ascii="宋体" w:hAnsi="宋体"/>
                <w:spacing w:val="-5"/>
                <w:sz w:val="19"/>
                <w:szCs w:val="19"/>
              </w:rPr>
              <w:t>追加、追减或结构调整的资金总和(因落实国家政</w:t>
            </w:r>
            <w:r>
              <w:rPr>
                <w:rFonts w:hint="eastAsia" w:ascii="宋体" w:hAnsi="宋体"/>
                <w:spacing w:val="14"/>
                <w:sz w:val="19"/>
                <w:szCs w:val="19"/>
              </w:rPr>
              <w:t xml:space="preserve"> </w:t>
            </w:r>
            <w:r>
              <w:rPr>
                <w:rFonts w:hint="eastAsia" w:ascii="宋体" w:hAnsi="宋体"/>
                <w:spacing w:val="-9"/>
                <w:sz w:val="19"/>
                <w:szCs w:val="19"/>
              </w:rPr>
              <w:t>策、发生不可抗力、上级部门或本级党委政府临时</w:t>
            </w:r>
            <w:r>
              <w:rPr>
                <w:rFonts w:hint="eastAsia" w:ascii="宋体" w:hAnsi="宋体"/>
                <w:spacing w:val="10"/>
                <w:sz w:val="19"/>
                <w:szCs w:val="19"/>
              </w:rPr>
              <w:t xml:space="preserve"> </w:t>
            </w:r>
            <w:r>
              <w:rPr>
                <w:rFonts w:hint="eastAsia" w:ascii="宋体" w:hAnsi="宋体"/>
                <w:spacing w:val="1"/>
                <w:sz w:val="19"/>
                <w:szCs w:val="19"/>
              </w:rPr>
              <w:t>交办而产生的调整除外)。</w:t>
            </w:r>
          </w:p>
        </w:tc>
        <w:tc>
          <w:tcPr>
            <w:tcW w:w="2997" w:type="dxa"/>
            <w:tcBorders>
              <w:top w:val="single" w:color="000000" w:sz="4" w:space="0"/>
              <w:left w:val="single" w:color="000000" w:sz="4" w:space="0"/>
              <w:bottom w:val="single" w:color="000000" w:sz="4" w:space="0"/>
              <w:right w:val="single" w:color="000000" w:sz="4" w:space="0"/>
            </w:tcBorders>
          </w:tcPr>
          <w:p w14:paraId="1F0DC32B">
            <w:pPr>
              <w:pStyle w:val="10"/>
              <w:spacing w:line="360" w:lineRule="auto"/>
              <w:rPr>
                <w:sz w:val="21"/>
              </w:rPr>
            </w:pPr>
          </w:p>
          <w:p w14:paraId="342F800E">
            <w:pPr>
              <w:spacing w:before="61"/>
              <w:ind w:left="166" w:right="11" w:hanging="99"/>
              <w:rPr>
                <w:rFonts w:ascii="宋体" w:hAnsi="宋体"/>
                <w:sz w:val="19"/>
                <w:szCs w:val="19"/>
              </w:rPr>
            </w:pPr>
            <w:r>
              <w:rPr>
                <w:rFonts w:hint="eastAsia" w:ascii="宋体" w:hAnsi="宋体"/>
                <w:spacing w:val="2"/>
                <w:sz w:val="19"/>
                <w:szCs w:val="19"/>
              </w:rPr>
              <w:t>预算调整率=0,计3分；0-10%(含),</w:t>
            </w:r>
            <w:r>
              <w:rPr>
                <w:rFonts w:hint="eastAsia" w:ascii="宋体" w:hAnsi="宋体"/>
                <w:spacing w:val="15"/>
                <w:sz w:val="19"/>
                <w:szCs w:val="19"/>
              </w:rPr>
              <w:t xml:space="preserve"> </w:t>
            </w:r>
            <w:r>
              <w:rPr>
                <w:rFonts w:hint="eastAsia" w:ascii="宋体" w:hAnsi="宋体"/>
                <w:spacing w:val="4"/>
                <w:sz w:val="19"/>
                <w:szCs w:val="19"/>
              </w:rPr>
              <w:t>计2.5分；10%-20%(含),计2分；</w:t>
            </w:r>
          </w:p>
          <w:p w14:paraId="378977E1">
            <w:pPr>
              <w:spacing w:before="37"/>
              <w:ind w:left="117" w:right="61"/>
              <w:rPr>
                <w:rFonts w:ascii="宋体" w:hAnsi="宋体"/>
                <w:sz w:val="19"/>
                <w:szCs w:val="19"/>
              </w:rPr>
            </w:pPr>
            <w:r>
              <w:rPr>
                <w:rFonts w:hint="eastAsia" w:ascii="宋体" w:hAnsi="宋体"/>
                <w:spacing w:val="2"/>
                <w:sz w:val="19"/>
                <w:szCs w:val="19"/>
              </w:rPr>
              <w:t>20%-30%(含),计1.5分；大于30%,</w:t>
            </w:r>
            <w:r>
              <w:rPr>
                <w:rFonts w:hint="eastAsia" w:ascii="宋体" w:hAnsi="宋体"/>
                <w:spacing w:val="6"/>
                <w:sz w:val="19"/>
                <w:szCs w:val="19"/>
              </w:rPr>
              <w:t xml:space="preserve"> </w:t>
            </w:r>
            <w:r>
              <w:rPr>
                <w:rFonts w:hint="eastAsia" w:ascii="宋体" w:hAnsi="宋体"/>
                <w:sz w:val="19"/>
                <w:szCs w:val="19"/>
              </w:rPr>
              <w:t>计0分。</w:t>
            </w:r>
          </w:p>
        </w:tc>
        <w:tc>
          <w:tcPr>
            <w:tcW w:w="645" w:type="dxa"/>
            <w:tcBorders>
              <w:top w:val="single" w:color="000000" w:sz="4" w:space="0"/>
              <w:left w:val="single" w:color="000000" w:sz="4" w:space="0"/>
              <w:bottom w:val="single" w:color="000000" w:sz="4" w:space="0"/>
              <w:right w:val="single" w:color="000000" w:sz="4" w:space="0"/>
            </w:tcBorders>
            <w:vAlign w:val="center"/>
          </w:tcPr>
          <w:p w14:paraId="04D42C27">
            <w:pPr>
              <w:pStyle w:val="10"/>
              <w:jc w:val="center"/>
              <w:rPr>
                <w:rFonts w:hint="eastAsia" w:eastAsia="宋体"/>
                <w:sz w:val="20"/>
                <w:lang w:val="en-US" w:eastAsia="zh-CN"/>
              </w:rPr>
            </w:pPr>
            <w:r>
              <w:rPr>
                <w:rFonts w:hint="eastAsia"/>
                <w:sz w:val="20"/>
                <w:lang w:val="en-US" w:eastAsia="zh-CN"/>
              </w:rPr>
              <w:t>3</w:t>
            </w:r>
          </w:p>
        </w:tc>
      </w:tr>
      <w:tr w14:paraId="583752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674" w:type="dxa"/>
            <w:vMerge w:val="continue"/>
            <w:tcBorders>
              <w:top w:val="nil"/>
              <w:left w:val="single" w:color="000000" w:sz="4" w:space="0"/>
              <w:bottom w:val="nil"/>
              <w:right w:val="single" w:color="000000" w:sz="4" w:space="0"/>
            </w:tcBorders>
            <w:vAlign w:val="center"/>
          </w:tcPr>
          <w:p w14:paraId="7506BA8C">
            <w:pPr>
              <w:kinsoku/>
              <w:autoSpaceDE/>
              <w:autoSpaceDN/>
              <w:adjustRightInd/>
              <w:snapToGrid/>
              <w:textAlignment w:val="auto"/>
              <w:rPr>
                <w:rFonts w:ascii="宋体" w:hAnsi="宋体"/>
                <w:sz w:val="19"/>
                <w:szCs w:val="19"/>
              </w:rPr>
            </w:pPr>
          </w:p>
        </w:tc>
        <w:tc>
          <w:tcPr>
            <w:tcW w:w="630" w:type="dxa"/>
            <w:vMerge w:val="continue"/>
            <w:tcBorders>
              <w:top w:val="nil"/>
              <w:left w:val="single" w:color="000000" w:sz="4" w:space="0"/>
              <w:bottom w:val="nil"/>
              <w:right w:val="single" w:color="000000" w:sz="4" w:space="0"/>
            </w:tcBorders>
            <w:vAlign w:val="center"/>
          </w:tcPr>
          <w:p w14:paraId="08857E4A">
            <w:pPr>
              <w:kinsoku/>
              <w:autoSpaceDE/>
              <w:autoSpaceDN/>
              <w:adjustRightInd/>
              <w:snapToGrid/>
              <w:textAlignment w:val="auto"/>
              <w:rPr>
                <w:rFonts w:ascii="宋体" w:hAnsi="宋体"/>
                <w:sz w:val="19"/>
                <w:szCs w:val="19"/>
              </w:rPr>
            </w:pPr>
          </w:p>
        </w:tc>
        <w:tc>
          <w:tcPr>
            <w:tcW w:w="679" w:type="dxa"/>
            <w:tcBorders>
              <w:top w:val="single" w:color="000000" w:sz="4" w:space="0"/>
              <w:left w:val="single" w:color="000000" w:sz="4" w:space="0"/>
              <w:bottom w:val="single" w:color="000000" w:sz="4" w:space="0"/>
              <w:right w:val="single" w:color="000000" w:sz="4" w:space="0"/>
            </w:tcBorders>
          </w:tcPr>
          <w:p w14:paraId="6E521B90">
            <w:pPr>
              <w:spacing w:before="119"/>
              <w:ind w:left="141"/>
              <w:rPr>
                <w:rFonts w:ascii="宋体" w:hAnsi="宋体"/>
                <w:sz w:val="19"/>
                <w:szCs w:val="19"/>
              </w:rPr>
            </w:pPr>
            <w:r>
              <w:rPr>
                <w:rFonts w:hint="eastAsia" w:ascii="宋体" w:hAnsi="宋体"/>
                <w:spacing w:val="-3"/>
                <w:sz w:val="19"/>
                <w:szCs w:val="19"/>
              </w:rPr>
              <w:t>支付</w:t>
            </w:r>
          </w:p>
          <w:p w14:paraId="79623566">
            <w:pPr>
              <w:spacing w:before="14"/>
              <w:ind w:left="230" w:right="153" w:hanging="89"/>
              <w:rPr>
                <w:rFonts w:ascii="宋体" w:hAnsi="宋体"/>
                <w:sz w:val="19"/>
                <w:szCs w:val="19"/>
              </w:rPr>
            </w:pPr>
            <w:r>
              <w:rPr>
                <w:rFonts w:hint="eastAsia" w:ascii="宋体" w:hAnsi="宋体"/>
                <w:spacing w:val="-3"/>
                <w:sz w:val="19"/>
                <w:szCs w:val="19"/>
              </w:rPr>
              <w:t>进度</w:t>
            </w:r>
            <w:r>
              <w:rPr>
                <w:rFonts w:hint="eastAsia" w:ascii="宋体" w:hAnsi="宋体"/>
                <w:sz w:val="19"/>
                <w:szCs w:val="19"/>
              </w:rPr>
              <w:t xml:space="preserve"> 率</w:t>
            </w:r>
          </w:p>
        </w:tc>
        <w:tc>
          <w:tcPr>
            <w:tcW w:w="479" w:type="dxa"/>
            <w:tcBorders>
              <w:top w:val="single" w:color="000000" w:sz="4" w:space="0"/>
              <w:left w:val="single" w:color="000000" w:sz="4" w:space="0"/>
              <w:bottom w:val="single" w:color="000000" w:sz="4" w:space="0"/>
              <w:right w:val="single" w:color="000000" w:sz="4" w:space="0"/>
            </w:tcBorders>
          </w:tcPr>
          <w:p w14:paraId="4B6D422E">
            <w:pPr>
              <w:pStyle w:val="10"/>
              <w:spacing w:line="283" w:lineRule="auto"/>
              <w:rPr>
                <w:sz w:val="21"/>
              </w:rPr>
            </w:pPr>
          </w:p>
          <w:p w14:paraId="4379DD69">
            <w:pPr>
              <w:spacing w:before="62"/>
              <w:ind w:left="182"/>
              <w:rPr>
                <w:rFonts w:ascii="宋体" w:hAnsi="宋体"/>
                <w:sz w:val="19"/>
                <w:szCs w:val="19"/>
              </w:rPr>
            </w:pPr>
            <w:r>
              <w:rPr>
                <w:rFonts w:hint="eastAsia" w:ascii="宋体" w:hAnsi="宋体"/>
                <w:sz w:val="19"/>
                <w:szCs w:val="19"/>
              </w:rPr>
              <w:t>5</w:t>
            </w:r>
          </w:p>
        </w:tc>
        <w:tc>
          <w:tcPr>
            <w:tcW w:w="4106" w:type="dxa"/>
            <w:tcBorders>
              <w:top w:val="single" w:color="000000" w:sz="4" w:space="0"/>
              <w:left w:val="single" w:color="000000" w:sz="4" w:space="0"/>
              <w:bottom w:val="single" w:color="000000" w:sz="4" w:space="0"/>
              <w:right w:val="single" w:color="000000" w:sz="4" w:space="0"/>
            </w:tcBorders>
          </w:tcPr>
          <w:p w14:paraId="50D3D9AA">
            <w:pPr>
              <w:spacing w:before="89"/>
              <w:ind w:left="53" w:right="38"/>
              <w:jc w:val="both"/>
              <w:rPr>
                <w:rFonts w:ascii="宋体" w:hAnsi="宋体"/>
                <w:sz w:val="19"/>
                <w:szCs w:val="19"/>
              </w:rPr>
            </w:pPr>
            <w:r>
              <w:rPr>
                <w:rFonts w:hint="eastAsia" w:ascii="宋体" w:hAnsi="宋体"/>
                <w:sz w:val="19"/>
                <w:szCs w:val="19"/>
              </w:rPr>
              <w:t>部门(单位)项目实际支付进度与序时支付进度的</w:t>
            </w:r>
            <w:r>
              <w:rPr>
                <w:rFonts w:hint="eastAsia" w:ascii="宋体" w:hAnsi="宋体"/>
                <w:spacing w:val="13"/>
                <w:sz w:val="19"/>
                <w:szCs w:val="19"/>
              </w:rPr>
              <w:t xml:space="preserve"> </w:t>
            </w:r>
            <w:r>
              <w:rPr>
                <w:rFonts w:hint="eastAsia" w:ascii="宋体" w:hAnsi="宋体"/>
                <w:sz w:val="19"/>
                <w:szCs w:val="19"/>
              </w:rPr>
              <w:t>比率，用以反映和考核部门(单位)预算执行的及</w:t>
            </w:r>
            <w:r>
              <w:rPr>
                <w:rFonts w:hint="eastAsia" w:ascii="宋体" w:hAnsi="宋体"/>
                <w:spacing w:val="9"/>
                <w:sz w:val="19"/>
                <w:szCs w:val="19"/>
              </w:rPr>
              <w:t xml:space="preserve"> </w:t>
            </w:r>
            <w:r>
              <w:rPr>
                <w:rFonts w:hint="eastAsia" w:ascii="宋体" w:hAnsi="宋体"/>
                <w:spacing w:val="2"/>
                <w:sz w:val="19"/>
                <w:szCs w:val="19"/>
              </w:rPr>
              <w:t>时性和均衡性程度(不考核基本运行支出)。</w:t>
            </w:r>
          </w:p>
        </w:tc>
        <w:tc>
          <w:tcPr>
            <w:tcW w:w="2997" w:type="dxa"/>
            <w:tcBorders>
              <w:top w:val="single" w:color="000000" w:sz="4" w:space="0"/>
              <w:left w:val="single" w:color="000000" w:sz="4" w:space="0"/>
              <w:bottom w:val="single" w:color="000000" w:sz="4" w:space="0"/>
              <w:right w:val="single" w:color="000000" w:sz="4" w:space="0"/>
            </w:tcBorders>
          </w:tcPr>
          <w:p w14:paraId="19729B99">
            <w:pPr>
              <w:spacing w:before="208"/>
              <w:ind w:left="106" w:right="77" w:hanging="39"/>
              <w:rPr>
                <w:rFonts w:ascii="宋体" w:hAnsi="宋体"/>
                <w:sz w:val="19"/>
                <w:szCs w:val="19"/>
              </w:rPr>
            </w:pPr>
            <w:r>
              <w:rPr>
                <w:rFonts w:hint="eastAsia" w:ascii="宋体" w:hAnsi="宋体"/>
                <w:spacing w:val="-1"/>
                <w:sz w:val="19"/>
                <w:szCs w:val="19"/>
              </w:rPr>
              <w:t>每发生一个项目未达到支付进度率</w:t>
            </w:r>
            <w:r>
              <w:rPr>
                <w:rFonts w:hint="eastAsia" w:ascii="宋体" w:hAnsi="宋体"/>
                <w:spacing w:val="6"/>
                <w:sz w:val="19"/>
                <w:szCs w:val="19"/>
              </w:rPr>
              <w:t xml:space="preserve"> </w:t>
            </w:r>
            <w:r>
              <w:rPr>
                <w:rFonts w:hint="eastAsia" w:ascii="宋体" w:hAnsi="宋体"/>
                <w:spacing w:val="-1"/>
                <w:sz w:val="19"/>
                <w:szCs w:val="19"/>
              </w:rPr>
              <w:t>的，扣1分，扣完为止。</w:t>
            </w:r>
          </w:p>
        </w:tc>
        <w:tc>
          <w:tcPr>
            <w:tcW w:w="645" w:type="dxa"/>
            <w:tcBorders>
              <w:top w:val="single" w:color="000000" w:sz="4" w:space="0"/>
              <w:left w:val="single" w:color="000000" w:sz="4" w:space="0"/>
              <w:bottom w:val="single" w:color="000000" w:sz="4" w:space="0"/>
              <w:right w:val="single" w:color="000000" w:sz="4" w:space="0"/>
            </w:tcBorders>
            <w:vAlign w:val="center"/>
          </w:tcPr>
          <w:p w14:paraId="1E3A12D1">
            <w:pPr>
              <w:pStyle w:val="10"/>
              <w:jc w:val="center"/>
              <w:rPr>
                <w:rFonts w:hint="eastAsia" w:eastAsia="宋体"/>
                <w:sz w:val="20"/>
                <w:lang w:val="en-US" w:eastAsia="zh-CN"/>
              </w:rPr>
            </w:pPr>
            <w:r>
              <w:rPr>
                <w:rFonts w:hint="eastAsia"/>
                <w:color w:val="auto"/>
                <w:sz w:val="20"/>
                <w:lang w:val="en-US" w:eastAsia="zh-CN"/>
              </w:rPr>
              <w:t>5</w:t>
            </w:r>
          </w:p>
        </w:tc>
      </w:tr>
      <w:tr w14:paraId="68982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9" w:hRule="atLeast"/>
        </w:trPr>
        <w:tc>
          <w:tcPr>
            <w:tcW w:w="674" w:type="dxa"/>
            <w:vMerge w:val="continue"/>
            <w:tcBorders>
              <w:top w:val="nil"/>
              <w:left w:val="single" w:color="000000" w:sz="4" w:space="0"/>
              <w:bottom w:val="nil"/>
              <w:right w:val="single" w:color="000000" w:sz="4" w:space="0"/>
            </w:tcBorders>
            <w:vAlign w:val="center"/>
          </w:tcPr>
          <w:p w14:paraId="75566ED4">
            <w:pPr>
              <w:kinsoku/>
              <w:autoSpaceDE/>
              <w:autoSpaceDN/>
              <w:adjustRightInd/>
              <w:snapToGrid/>
              <w:textAlignment w:val="auto"/>
              <w:rPr>
                <w:rFonts w:ascii="宋体" w:hAnsi="宋体"/>
                <w:sz w:val="19"/>
                <w:szCs w:val="19"/>
              </w:rPr>
            </w:pPr>
          </w:p>
        </w:tc>
        <w:tc>
          <w:tcPr>
            <w:tcW w:w="630" w:type="dxa"/>
            <w:vMerge w:val="continue"/>
            <w:tcBorders>
              <w:top w:val="nil"/>
              <w:left w:val="single" w:color="000000" w:sz="4" w:space="0"/>
              <w:bottom w:val="nil"/>
              <w:right w:val="single" w:color="000000" w:sz="4" w:space="0"/>
            </w:tcBorders>
            <w:vAlign w:val="center"/>
          </w:tcPr>
          <w:p w14:paraId="74C46125">
            <w:pPr>
              <w:kinsoku/>
              <w:autoSpaceDE/>
              <w:autoSpaceDN/>
              <w:adjustRightInd/>
              <w:snapToGrid/>
              <w:textAlignment w:val="auto"/>
              <w:rPr>
                <w:rFonts w:ascii="宋体" w:hAnsi="宋体"/>
                <w:sz w:val="19"/>
                <w:szCs w:val="19"/>
              </w:rPr>
            </w:pPr>
          </w:p>
        </w:tc>
        <w:tc>
          <w:tcPr>
            <w:tcW w:w="679" w:type="dxa"/>
            <w:tcBorders>
              <w:top w:val="single" w:color="000000" w:sz="4" w:space="0"/>
              <w:left w:val="single" w:color="000000" w:sz="4" w:space="0"/>
              <w:bottom w:val="single" w:color="000000" w:sz="4" w:space="0"/>
              <w:right w:val="single" w:color="000000" w:sz="4" w:space="0"/>
            </w:tcBorders>
          </w:tcPr>
          <w:p w14:paraId="1F13D2B0">
            <w:pPr>
              <w:pStyle w:val="10"/>
              <w:spacing w:line="364" w:lineRule="auto"/>
              <w:rPr>
                <w:sz w:val="21"/>
              </w:rPr>
            </w:pPr>
          </w:p>
          <w:p w14:paraId="0B923BB3">
            <w:pPr>
              <w:spacing w:before="62"/>
              <w:ind w:left="141"/>
              <w:rPr>
                <w:rFonts w:ascii="宋体" w:hAnsi="宋体"/>
                <w:sz w:val="19"/>
                <w:szCs w:val="19"/>
              </w:rPr>
            </w:pPr>
            <w:r>
              <w:rPr>
                <w:rFonts w:hint="eastAsia" w:ascii="宋体" w:hAnsi="宋体"/>
                <w:spacing w:val="4"/>
                <w:sz w:val="19"/>
                <w:szCs w:val="19"/>
              </w:rPr>
              <w:t>结转</w:t>
            </w:r>
          </w:p>
          <w:p w14:paraId="01D1EB02">
            <w:pPr>
              <w:spacing w:before="23"/>
              <w:ind w:left="230" w:right="139" w:hanging="89"/>
              <w:rPr>
                <w:rFonts w:ascii="宋体" w:hAnsi="宋体"/>
                <w:sz w:val="19"/>
                <w:szCs w:val="19"/>
              </w:rPr>
            </w:pPr>
            <w:r>
              <w:rPr>
                <w:rFonts w:hint="eastAsia" w:ascii="宋体" w:hAnsi="宋体"/>
                <w:spacing w:val="4"/>
                <w:sz w:val="19"/>
                <w:szCs w:val="19"/>
              </w:rPr>
              <w:t>结余</w:t>
            </w:r>
            <w:r>
              <w:rPr>
                <w:rFonts w:hint="eastAsia" w:ascii="宋体" w:hAnsi="宋体"/>
                <w:sz w:val="19"/>
                <w:szCs w:val="19"/>
              </w:rPr>
              <w:t xml:space="preserve"> 率</w:t>
            </w:r>
          </w:p>
        </w:tc>
        <w:tc>
          <w:tcPr>
            <w:tcW w:w="479" w:type="dxa"/>
            <w:tcBorders>
              <w:top w:val="single" w:color="000000" w:sz="4" w:space="0"/>
              <w:left w:val="single" w:color="000000" w:sz="4" w:space="0"/>
              <w:bottom w:val="single" w:color="000000" w:sz="4" w:space="0"/>
              <w:right w:val="single" w:color="000000" w:sz="4" w:space="0"/>
            </w:tcBorders>
          </w:tcPr>
          <w:p w14:paraId="23FF67E6">
            <w:pPr>
              <w:pStyle w:val="10"/>
              <w:spacing w:line="304" w:lineRule="auto"/>
              <w:rPr>
                <w:sz w:val="21"/>
              </w:rPr>
            </w:pPr>
          </w:p>
          <w:p w14:paraId="65F42178">
            <w:pPr>
              <w:pStyle w:val="10"/>
              <w:spacing w:line="304" w:lineRule="auto"/>
              <w:rPr>
                <w:sz w:val="20"/>
              </w:rPr>
            </w:pPr>
          </w:p>
          <w:p w14:paraId="7B6DC3E5">
            <w:pPr>
              <w:spacing w:before="62"/>
              <w:ind w:left="182"/>
              <w:rPr>
                <w:rFonts w:ascii="宋体" w:hAnsi="宋体"/>
                <w:sz w:val="19"/>
                <w:szCs w:val="19"/>
              </w:rPr>
            </w:pPr>
            <w:r>
              <w:rPr>
                <w:rFonts w:hint="eastAsia" w:ascii="宋体" w:hAnsi="宋体"/>
                <w:sz w:val="19"/>
                <w:szCs w:val="19"/>
              </w:rPr>
              <w:t>3</w:t>
            </w:r>
          </w:p>
        </w:tc>
        <w:tc>
          <w:tcPr>
            <w:tcW w:w="4106" w:type="dxa"/>
            <w:tcBorders>
              <w:top w:val="single" w:color="000000" w:sz="4" w:space="0"/>
              <w:left w:val="single" w:color="000000" w:sz="4" w:space="0"/>
              <w:bottom w:val="single" w:color="000000" w:sz="4" w:space="0"/>
              <w:right w:val="single" w:color="000000" w:sz="4" w:space="0"/>
            </w:tcBorders>
          </w:tcPr>
          <w:p w14:paraId="63DC7B57">
            <w:pPr>
              <w:spacing w:before="58"/>
              <w:ind w:left="53"/>
              <w:jc w:val="both"/>
              <w:rPr>
                <w:rFonts w:ascii="宋体" w:hAnsi="宋体"/>
                <w:sz w:val="19"/>
                <w:szCs w:val="19"/>
              </w:rPr>
            </w:pPr>
            <w:r>
              <w:rPr>
                <w:rFonts w:hint="eastAsia" w:ascii="宋体" w:hAnsi="宋体"/>
                <w:sz w:val="19"/>
                <w:szCs w:val="19"/>
              </w:rPr>
              <w:t>部门(单位)本年度结转结余总额与支出预算数的</w:t>
            </w:r>
            <w:r>
              <w:rPr>
                <w:rFonts w:hint="eastAsia" w:ascii="宋体" w:hAnsi="宋体"/>
                <w:spacing w:val="8"/>
                <w:sz w:val="19"/>
                <w:szCs w:val="19"/>
              </w:rPr>
              <w:t xml:space="preserve"> </w:t>
            </w:r>
            <w:r>
              <w:rPr>
                <w:rFonts w:hint="eastAsia" w:ascii="宋体" w:hAnsi="宋体"/>
                <w:sz w:val="19"/>
                <w:szCs w:val="19"/>
              </w:rPr>
              <w:t>比率，用以反映和考核部门(单位)对本年度结转</w:t>
            </w:r>
            <w:r>
              <w:rPr>
                <w:rFonts w:hint="eastAsia" w:ascii="宋体" w:hAnsi="宋体"/>
                <w:spacing w:val="2"/>
                <w:sz w:val="19"/>
                <w:szCs w:val="19"/>
              </w:rPr>
              <w:t xml:space="preserve"> </w:t>
            </w:r>
            <w:r>
              <w:rPr>
                <w:rFonts w:hint="eastAsia" w:ascii="宋体" w:hAnsi="宋体"/>
                <w:spacing w:val="-2"/>
                <w:sz w:val="19"/>
                <w:szCs w:val="19"/>
              </w:rPr>
              <w:t>结余资金的实际控制程度。结转结余率=结转结余</w:t>
            </w:r>
            <w:r>
              <w:rPr>
                <w:rFonts w:hint="eastAsia" w:ascii="宋体" w:hAnsi="宋体"/>
                <w:sz w:val="19"/>
                <w:szCs w:val="19"/>
              </w:rPr>
              <w:t xml:space="preserve"> </w:t>
            </w:r>
            <w:r>
              <w:rPr>
                <w:rFonts w:hint="eastAsia" w:ascii="宋体" w:hAnsi="宋体"/>
                <w:spacing w:val="4"/>
                <w:sz w:val="19"/>
                <w:szCs w:val="19"/>
              </w:rPr>
              <w:t>总额/支出预算数×100%。</w:t>
            </w:r>
          </w:p>
          <w:p w14:paraId="6F733C1C">
            <w:pPr>
              <w:spacing w:before="1"/>
              <w:ind w:left="122" w:right="37" w:hanging="69"/>
              <w:jc w:val="both"/>
              <w:rPr>
                <w:rFonts w:ascii="宋体" w:hAnsi="宋体"/>
                <w:sz w:val="19"/>
                <w:szCs w:val="19"/>
              </w:rPr>
            </w:pPr>
            <w:r>
              <w:rPr>
                <w:rFonts w:hint="eastAsia" w:ascii="宋体" w:hAnsi="宋体"/>
                <w:sz w:val="19"/>
                <w:szCs w:val="19"/>
              </w:rPr>
              <w:t>结转结余总额：部门(单位)本年度的结转资金与</w:t>
            </w:r>
            <w:r>
              <w:rPr>
                <w:rFonts w:hint="eastAsia" w:ascii="宋体" w:hAnsi="宋体"/>
                <w:spacing w:val="14"/>
                <w:sz w:val="19"/>
                <w:szCs w:val="19"/>
              </w:rPr>
              <w:t xml:space="preserve"> </w:t>
            </w:r>
            <w:r>
              <w:rPr>
                <w:rFonts w:hint="eastAsia" w:ascii="宋体" w:hAnsi="宋体"/>
                <w:spacing w:val="-1"/>
                <w:sz w:val="19"/>
                <w:szCs w:val="19"/>
              </w:rPr>
              <w:t>结余资金之和(以决算数为准)。</w:t>
            </w:r>
          </w:p>
        </w:tc>
        <w:tc>
          <w:tcPr>
            <w:tcW w:w="2997" w:type="dxa"/>
            <w:tcBorders>
              <w:top w:val="single" w:color="000000" w:sz="4" w:space="0"/>
              <w:left w:val="single" w:color="000000" w:sz="4" w:space="0"/>
              <w:bottom w:val="single" w:color="000000" w:sz="4" w:space="0"/>
              <w:right w:val="single" w:color="000000" w:sz="4" w:space="0"/>
            </w:tcBorders>
          </w:tcPr>
          <w:p w14:paraId="31D6889D">
            <w:pPr>
              <w:pStyle w:val="10"/>
              <w:spacing w:line="374" w:lineRule="auto"/>
              <w:rPr>
                <w:sz w:val="21"/>
              </w:rPr>
            </w:pPr>
          </w:p>
          <w:p w14:paraId="72523447">
            <w:pPr>
              <w:spacing w:before="62"/>
              <w:ind w:left="117" w:right="125" w:firstLine="139"/>
              <w:jc w:val="both"/>
              <w:rPr>
                <w:rFonts w:ascii="宋体" w:hAnsi="宋体"/>
                <w:sz w:val="19"/>
                <w:szCs w:val="19"/>
              </w:rPr>
            </w:pPr>
            <w:r>
              <w:rPr>
                <w:rFonts w:hint="eastAsia" w:ascii="宋体" w:hAnsi="宋体"/>
                <w:sz w:val="19"/>
                <w:szCs w:val="19"/>
              </w:rPr>
              <w:t xml:space="preserve">目标值=0%;达到目标值计3分， </w:t>
            </w:r>
            <w:r>
              <w:rPr>
                <w:rFonts w:hint="eastAsia" w:ascii="宋体" w:hAnsi="宋体"/>
                <w:spacing w:val="-1"/>
                <w:sz w:val="19"/>
                <w:szCs w:val="19"/>
              </w:rPr>
              <w:t>未达到目标值的每增加0.1个百分</w:t>
            </w:r>
            <w:r>
              <w:rPr>
                <w:rFonts w:hint="eastAsia" w:ascii="宋体" w:hAnsi="宋体"/>
                <w:spacing w:val="4"/>
                <w:sz w:val="19"/>
                <w:szCs w:val="19"/>
              </w:rPr>
              <w:t xml:space="preserve"> </w:t>
            </w:r>
            <w:r>
              <w:rPr>
                <w:rFonts w:hint="eastAsia" w:ascii="宋体" w:hAnsi="宋体"/>
                <w:sz w:val="19"/>
                <w:szCs w:val="19"/>
              </w:rPr>
              <w:t>点扣0.1分，扣完为止。</w:t>
            </w:r>
          </w:p>
        </w:tc>
        <w:tc>
          <w:tcPr>
            <w:tcW w:w="645" w:type="dxa"/>
            <w:tcBorders>
              <w:top w:val="single" w:color="000000" w:sz="4" w:space="0"/>
              <w:left w:val="single" w:color="000000" w:sz="4" w:space="0"/>
              <w:bottom w:val="single" w:color="000000" w:sz="4" w:space="0"/>
              <w:right w:val="single" w:color="000000" w:sz="4" w:space="0"/>
            </w:tcBorders>
            <w:vAlign w:val="center"/>
          </w:tcPr>
          <w:p w14:paraId="7874F65E">
            <w:pPr>
              <w:pStyle w:val="10"/>
              <w:jc w:val="center"/>
              <w:rPr>
                <w:rFonts w:hint="eastAsia" w:eastAsia="宋体"/>
                <w:sz w:val="20"/>
                <w:lang w:val="en-US" w:eastAsia="zh-CN"/>
              </w:rPr>
            </w:pPr>
            <w:r>
              <w:rPr>
                <w:rFonts w:hint="eastAsia"/>
                <w:color w:val="auto"/>
                <w:sz w:val="20"/>
                <w:lang w:val="en-US" w:eastAsia="zh-CN"/>
              </w:rPr>
              <w:t>3</w:t>
            </w:r>
          </w:p>
        </w:tc>
      </w:tr>
      <w:tr w14:paraId="04845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9" w:hRule="atLeast"/>
        </w:trPr>
        <w:tc>
          <w:tcPr>
            <w:tcW w:w="674" w:type="dxa"/>
            <w:vMerge w:val="continue"/>
            <w:tcBorders>
              <w:top w:val="nil"/>
              <w:left w:val="single" w:color="000000" w:sz="4" w:space="0"/>
              <w:bottom w:val="nil"/>
              <w:right w:val="single" w:color="000000" w:sz="4" w:space="0"/>
            </w:tcBorders>
            <w:vAlign w:val="center"/>
          </w:tcPr>
          <w:p w14:paraId="11378E3F">
            <w:pPr>
              <w:kinsoku/>
              <w:autoSpaceDE/>
              <w:autoSpaceDN/>
              <w:adjustRightInd/>
              <w:snapToGrid/>
              <w:textAlignment w:val="auto"/>
              <w:rPr>
                <w:rFonts w:ascii="宋体" w:hAnsi="宋体"/>
                <w:sz w:val="19"/>
                <w:szCs w:val="19"/>
              </w:rPr>
            </w:pPr>
          </w:p>
        </w:tc>
        <w:tc>
          <w:tcPr>
            <w:tcW w:w="630" w:type="dxa"/>
            <w:vMerge w:val="continue"/>
            <w:tcBorders>
              <w:top w:val="nil"/>
              <w:left w:val="single" w:color="000000" w:sz="4" w:space="0"/>
              <w:bottom w:val="nil"/>
              <w:right w:val="single" w:color="000000" w:sz="4" w:space="0"/>
            </w:tcBorders>
            <w:vAlign w:val="center"/>
          </w:tcPr>
          <w:p w14:paraId="434B41F1">
            <w:pPr>
              <w:kinsoku/>
              <w:autoSpaceDE/>
              <w:autoSpaceDN/>
              <w:adjustRightInd/>
              <w:snapToGrid/>
              <w:textAlignment w:val="auto"/>
              <w:rPr>
                <w:rFonts w:ascii="宋体" w:hAnsi="宋体"/>
                <w:sz w:val="19"/>
                <w:szCs w:val="19"/>
              </w:rPr>
            </w:pPr>
          </w:p>
        </w:tc>
        <w:tc>
          <w:tcPr>
            <w:tcW w:w="679" w:type="dxa"/>
            <w:tcBorders>
              <w:top w:val="single" w:color="000000" w:sz="4" w:space="0"/>
              <w:left w:val="single" w:color="000000" w:sz="4" w:space="0"/>
              <w:bottom w:val="single" w:color="000000" w:sz="4" w:space="0"/>
              <w:right w:val="single" w:color="000000" w:sz="4" w:space="0"/>
            </w:tcBorders>
          </w:tcPr>
          <w:p w14:paraId="1277AA07">
            <w:pPr>
              <w:spacing w:before="239"/>
              <w:ind w:left="46"/>
              <w:rPr>
                <w:rFonts w:ascii="宋体" w:hAnsi="宋体"/>
                <w:sz w:val="19"/>
                <w:szCs w:val="19"/>
              </w:rPr>
            </w:pPr>
            <w:r>
              <w:rPr>
                <w:rFonts w:hint="eastAsia" w:ascii="宋体" w:hAnsi="宋体"/>
                <w:spacing w:val="2"/>
                <w:sz w:val="19"/>
                <w:szCs w:val="19"/>
              </w:rPr>
              <w:t>“</w:t>
            </w:r>
            <w:r>
              <w:rPr>
                <w:rFonts w:hint="eastAsia" w:ascii="宋体" w:hAnsi="宋体"/>
                <w:spacing w:val="9"/>
                <w:sz w:val="19"/>
                <w:szCs w:val="19"/>
              </w:rPr>
              <w:t xml:space="preserve"> </w:t>
            </w:r>
            <w:r>
              <w:rPr>
                <w:rFonts w:hint="eastAsia" w:ascii="宋体" w:hAnsi="宋体"/>
                <w:spacing w:val="2"/>
                <w:sz w:val="19"/>
                <w:szCs w:val="19"/>
              </w:rPr>
              <w:t>三</w:t>
            </w:r>
          </w:p>
          <w:p w14:paraId="444E8434">
            <w:pPr>
              <w:ind w:left="91" w:right="99" w:firstLine="49"/>
              <w:jc w:val="both"/>
              <w:rPr>
                <w:rFonts w:ascii="宋体" w:hAnsi="宋体"/>
                <w:sz w:val="19"/>
                <w:szCs w:val="19"/>
              </w:rPr>
            </w:pPr>
            <w:r>
              <w:rPr>
                <w:rFonts w:hint="eastAsia" w:ascii="宋体" w:hAnsi="宋体"/>
                <w:spacing w:val="4"/>
                <w:sz w:val="19"/>
                <w:szCs w:val="19"/>
              </w:rPr>
              <w:t>公经</w:t>
            </w:r>
            <w:r>
              <w:rPr>
                <w:rFonts w:hint="eastAsia" w:ascii="宋体" w:hAnsi="宋体"/>
                <w:sz w:val="19"/>
                <w:szCs w:val="19"/>
              </w:rPr>
              <w:t xml:space="preserve"> </w:t>
            </w:r>
            <w:r>
              <w:rPr>
                <w:rFonts w:hint="eastAsia" w:ascii="宋体" w:hAnsi="宋体"/>
                <w:spacing w:val="1"/>
                <w:sz w:val="19"/>
                <w:szCs w:val="19"/>
              </w:rPr>
              <w:t>费"控</w:t>
            </w:r>
            <w:r>
              <w:rPr>
                <w:rFonts w:hint="eastAsia" w:ascii="宋体" w:hAnsi="宋体"/>
                <w:sz w:val="19"/>
                <w:szCs w:val="19"/>
              </w:rPr>
              <w:t xml:space="preserve"> </w:t>
            </w:r>
            <w:r>
              <w:rPr>
                <w:rFonts w:hint="eastAsia" w:ascii="宋体" w:hAnsi="宋体"/>
                <w:spacing w:val="20"/>
                <w:sz w:val="19"/>
                <w:szCs w:val="19"/>
              </w:rPr>
              <w:t>制率</w:t>
            </w:r>
          </w:p>
        </w:tc>
        <w:tc>
          <w:tcPr>
            <w:tcW w:w="479" w:type="dxa"/>
            <w:tcBorders>
              <w:top w:val="single" w:color="000000" w:sz="4" w:space="0"/>
              <w:left w:val="single" w:color="000000" w:sz="4" w:space="0"/>
              <w:bottom w:val="single" w:color="000000" w:sz="4" w:space="0"/>
              <w:right w:val="single" w:color="000000" w:sz="4" w:space="0"/>
            </w:tcBorders>
          </w:tcPr>
          <w:p w14:paraId="3B5CA8D0">
            <w:pPr>
              <w:pStyle w:val="10"/>
              <w:spacing w:line="261" w:lineRule="auto"/>
              <w:rPr>
                <w:sz w:val="21"/>
              </w:rPr>
            </w:pPr>
          </w:p>
          <w:p w14:paraId="7D9AC9EB">
            <w:pPr>
              <w:pStyle w:val="10"/>
              <w:spacing w:line="261" w:lineRule="auto"/>
              <w:rPr>
                <w:sz w:val="20"/>
              </w:rPr>
            </w:pPr>
          </w:p>
          <w:p w14:paraId="724054CE">
            <w:pPr>
              <w:spacing w:before="62"/>
              <w:ind w:left="182"/>
              <w:rPr>
                <w:rFonts w:ascii="宋体" w:hAnsi="宋体"/>
                <w:sz w:val="19"/>
                <w:szCs w:val="19"/>
              </w:rPr>
            </w:pPr>
            <w:r>
              <w:rPr>
                <w:rFonts w:hint="eastAsia" w:ascii="宋体" w:hAnsi="宋体"/>
                <w:sz w:val="19"/>
                <w:szCs w:val="19"/>
              </w:rPr>
              <w:t>3</w:t>
            </w:r>
          </w:p>
        </w:tc>
        <w:tc>
          <w:tcPr>
            <w:tcW w:w="4106" w:type="dxa"/>
            <w:tcBorders>
              <w:top w:val="single" w:color="000000" w:sz="4" w:space="0"/>
              <w:left w:val="single" w:color="000000" w:sz="4" w:space="0"/>
              <w:bottom w:val="single" w:color="000000" w:sz="4" w:space="0"/>
              <w:right w:val="single" w:color="000000" w:sz="4" w:space="0"/>
            </w:tcBorders>
          </w:tcPr>
          <w:p w14:paraId="3ADAC7E1">
            <w:pPr>
              <w:spacing w:before="80"/>
              <w:ind w:left="53"/>
              <w:jc w:val="both"/>
              <w:rPr>
                <w:rFonts w:ascii="宋体" w:hAnsi="宋体"/>
                <w:sz w:val="19"/>
                <w:szCs w:val="19"/>
              </w:rPr>
            </w:pPr>
            <w:r>
              <w:rPr>
                <w:rFonts w:hint="eastAsia" w:ascii="宋体" w:hAnsi="宋体"/>
                <w:spacing w:val="-1"/>
                <w:sz w:val="19"/>
                <w:szCs w:val="19"/>
              </w:rPr>
              <w:t>部门(单位)本年度“三公经费”实际支出数</w:t>
            </w:r>
            <w:r>
              <w:rPr>
                <w:rFonts w:hint="eastAsia" w:ascii="宋体" w:hAnsi="宋体"/>
                <w:spacing w:val="-2"/>
                <w:sz w:val="19"/>
                <w:szCs w:val="19"/>
              </w:rPr>
              <w:t>与预</w:t>
            </w:r>
            <w:r>
              <w:rPr>
                <w:rFonts w:hint="eastAsia" w:ascii="宋体" w:hAnsi="宋体"/>
                <w:sz w:val="19"/>
                <w:szCs w:val="19"/>
              </w:rPr>
              <w:t xml:space="preserve">  </w:t>
            </w:r>
            <w:r>
              <w:rPr>
                <w:rFonts w:hint="eastAsia" w:ascii="宋体" w:hAnsi="宋体"/>
                <w:spacing w:val="-1"/>
                <w:sz w:val="19"/>
                <w:szCs w:val="19"/>
              </w:rPr>
              <w:t>算安排数的比率，用以反映和考核部门(单位)对</w:t>
            </w:r>
            <w:r>
              <w:rPr>
                <w:rFonts w:hint="eastAsia" w:ascii="宋体" w:hAnsi="宋体"/>
                <w:sz w:val="19"/>
                <w:szCs w:val="19"/>
              </w:rPr>
              <w:t xml:space="preserve"> </w:t>
            </w:r>
            <w:r>
              <w:rPr>
                <w:rFonts w:hint="eastAsia" w:ascii="宋体" w:hAnsi="宋体"/>
                <w:spacing w:val="-7"/>
                <w:sz w:val="19"/>
                <w:szCs w:val="19"/>
              </w:rPr>
              <w:t>“三公经费”的实际控制程度。“三公经费”控制</w:t>
            </w:r>
          </w:p>
          <w:p w14:paraId="12BE3164">
            <w:pPr>
              <w:spacing w:before="1"/>
              <w:ind w:left="112" w:right="16" w:hanging="109"/>
              <w:rPr>
                <w:rFonts w:ascii="宋体" w:hAnsi="宋体"/>
                <w:sz w:val="19"/>
                <w:szCs w:val="19"/>
              </w:rPr>
            </w:pPr>
            <w:r>
              <w:rPr>
                <w:rFonts w:hint="eastAsia" w:ascii="宋体" w:hAnsi="宋体"/>
                <w:spacing w:val="-1"/>
                <w:sz w:val="19"/>
                <w:szCs w:val="19"/>
              </w:rPr>
              <w:t>率=(“三公经费”实际支出数/“三公经费”预算</w:t>
            </w:r>
            <w:r>
              <w:rPr>
                <w:rFonts w:hint="eastAsia" w:ascii="宋体" w:hAnsi="宋体"/>
                <w:spacing w:val="13"/>
                <w:sz w:val="19"/>
                <w:szCs w:val="19"/>
              </w:rPr>
              <w:t xml:space="preserve"> </w:t>
            </w:r>
            <w:r>
              <w:rPr>
                <w:rFonts w:hint="eastAsia" w:ascii="宋体" w:hAnsi="宋体"/>
                <w:spacing w:val="-1"/>
                <w:sz w:val="19"/>
                <w:szCs w:val="19"/>
              </w:rPr>
              <w:t>安排数)×100%。</w:t>
            </w:r>
          </w:p>
        </w:tc>
        <w:tc>
          <w:tcPr>
            <w:tcW w:w="2997" w:type="dxa"/>
            <w:tcBorders>
              <w:top w:val="single" w:color="000000" w:sz="4" w:space="0"/>
              <w:left w:val="single" w:color="000000" w:sz="4" w:space="0"/>
              <w:bottom w:val="single" w:color="000000" w:sz="4" w:space="0"/>
              <w:right w:val="single" w:color="000000" w:sz="4" w:space="0"/>
            </w:tcBorders>
          </w:tcPr>
          <w:p w14:paraId="27948FCE">
            <w:pPr>
              <w:pStyle w:val="10"/>
              <w:spacing w:line="412" w:lineRule="auto"/>
              <w:rPr>
                <w:sz w:val="21"/>
              </w:rPr>
            </w:pPr>
          </w:p>
          <w:p w14:paraId="3625F6D3">
            <w:pPr>
              <w:spacing w:before="61"/>
              <w:ind w:left="137" w:right="148" w:hanging="65"/>
              <w:rPr>
                <w:rFonts w:ascii="宋体" w:hAnsi="宋体"/>
                <w:sz w:val="19"/>
                <w:szCs w:val="19"/>
              </w:rPr>
            </w:pPr>
            <w:r>
              <w:rPr>
                <w:rFonts w:hint="eastAsia" w:ascii="宋体" w:hAnsi="宋体"/>
                <w:spacing w:val="6"/>
                <w:sz w:val="19"/>
                <w:szCs w:val="19"/>
              </w:rPr>
              <w:t>“三公经费”控制率≤100%,计3</w:t>
            </w:r>
            <w:r>
              <w:rPr>
                <w:rFonts w:hint="eastAsia" w:ascii="宋体" w:hAnsi="宋体"/>
                <w:spacing w:val="3"/>
                <w:sz w:val="19"/>
                <w:szCs w:val="19"/>
              </w:rPr>
              <w:t xml:space="preserve"> </w:t>
            </w:r>
            <w:r>
              <w:rPr>
                <w:rFonts w:hint="eastAsia" w:ascii="宋体" w:hAnsi="宋体"/>
                <w:spacing w:val="-1"/>
                <w:sz w:val="19"/>
                <w:szCs w:val="19"/>
              </w:rPr>
              <w:t>分；超过100%的，计0分。</w:t>
            </w:r>
          </w:p>
        </w:tc>
        <w:tc>
          <w:tcPr>
            <w:tcW w:w="645" w:type="dxa"/>
            <w:tcBorders>
              <w:top w:val="single" w:color="000000" w:sz="4" w:space="0"/>
              <w:left w:val="single" w:color="000000" w:sz="4" w:space="0"/>
              <w:bottom w:val="single" w:color="000000" w:sz="4" w:space="0"/>
              <w:right w:val="single" w:color="000000" w:sz="4" w:space="0"/>
            </w:tcBorders>
            <w:vAlign w:val="center"/>
          </w:tcPr>
          <w:p w14:paraId="0318FA53">
            <w:pPr>
              <w:pStyle w:val="10"/>
              <w:jc w:val="center"/>
              <w:rPr>
                <w:rFonts w:hint="eastAsia" w:eastAsia="宋体"/>
                <w:sz w:val="20"/>
                <w:lang w:val="en-US" w:eastAsia="zh-CN"/>
              </w:rPr>
            </w:pPr>
            <w:r>
              <w:rPr>
                <w:rFonts w:hint="eastAsia"/>
                <w:sz w:val="20"/>
                <w:lang w:val="en-US" w:eastAsia="zh-CN"/>
              </w:rPr>
              <w:t>3</w:t>
            </w:r>
          </w:p>
        </w:tc>
      </w:tr>
      <w:tr w14:paraId="08EE1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9" w:hRule="atLeast"/>
        </w:trPr>
        <w:tc>
          <w:tcPr>
            <w:tcW w:w="674" w:type="dxa"/>
            <w:vMerge w:val="continue"/>
            <w:tcBorders>
              <w:top w:val="nil"/>
              <w:left w:val="single" w:color="000000" w:sz="4" w:space="0"/>
              <w:bottom w:val="nil"/>
              <w:right w:val="single" w:color="000000" w:sz="4" w:space="0"/>
            </w:tcBorders>
            <w:vAlign w:val="center"/>
          </w:tcPr>
          <w:p w14:paraId="7487D9D0">
            <w:pPr>
              <w:kinsoku/>
              <w:autoSpaceDE/>
              <w:autoSpaceDN/>
              <w:adjustRightInd/>
              <w:snapToGrid/>
              <w:textAlignment w:val="auto"/>
              <w:rPr>
                <w:rFonts w:ascii="宋体" w:hAnsi="宋体"/>
                <w:sz w:val="19"/>
                <w:szCs w:val="19"/>
              </w:rPr>
            </w:pPr>
          </w:p>
        </w:tc>
        <w:tc>
          <w:tcPr>
            <w:tcW w:w="630" w:type="dxa"/>
            <w:vMerge w:val="continue"/>
            <w:tcBorders>
              <w:top w:val="nil"/>
              <w:left w:val="single" w:color="000000" w:sz="4" w:space="0"/>
              <w:bottom w:val="nil"/>
              <w:right w:val="single" w:color="000000" w:sz="4" w:space="0"/>
            </w:tcBorders>
            <w:vAlign w:val="center"/>
          </w:tcPr>
          <w:p w14:paraId="0CE88063">
            <w:pPr>
              <w:kinsoku/>
              <w:autoSpaceDE/>
              <w:autoSpaceDN/>
              <w:adjustRightInd/>
              <w:snapToGrid/>
              <w:textAlignment w:val="auto"/>
              <w:rPr>
                <w:rFonts w:ascii="宋体" w:hAnsi="宋体"/>
                <w:sz w:val="19"/>
                <w:szCs w:val="19"/>
              </w:rPr>
            </w:pPr>
          </w:p>
        </w:tc>
        <w:tc>
          <w:tcPr>
            <w:tcW w:w="679" w:type="dxa"/>
            <w:tcBorders>
              <w:top w:val="single" w:color="000000" w:sz="4" w:space="0"/>
              <w:left w:val="single" w:color="000000" w:sz="4" w:space="0"/>
              <w:bottom w:val="single" w:color="000000" w:sz="4" w:space="0"/>
              <w:right w:val="single" w:color="000000" w:sz="4" w:space="0"/>
            </w:tcBorders>
          </w:tcPr>
          <w:p w14:paraId="248F34BF">
            <w:pPr>
              <w:pStyle w:val="10"/>
              <w:spacing w:line="386" w:lineRule="auto"/>
              <w:rPr>
                <w:sz w:val="21"/>
              </w:rPr>
            </w:pPr>
          </w:p>
          <w:p w14:paraId="5AC1C1B2">
            <w:pPr>
              <w:spacing w:before="62"/>
              <w:ind w:left="141" w:right="124"/>
              <w:jc w:val="both"/>
              <w:rPr>
                <w:rFonts w:ascii="宋体" w:hAnsi="宋体"/>
                <w:sz w:val="19"/>
                <w:szCs w:val="19"/>
              </w:rPr>
            </w:pPr>
            <w:r>
              <w:rPr>
                <w:rFonts w:hint="eastAsia" w:ascii="宋体" w:hAnsi="宋体"/>
                <w:spacing w:val="-4"/>
                <w:sz w:val="19"/>
                <w:szCs w:val="19"/>
              </w:rPr>
              <w:t>政府</w:t>
            </w:r>
            <w:r>
              <w:rPr>
                <w:rFonts w:hint="eastAsia" w:ascii="宋体" w:hAnsi="宋体"/>
                <w:sz w:val="19"/>
                <w:szCs w:val="19"/>
              </w:rPr>
              <w:t xml:space="preserve"> </w:t>
            </w:r>
            <w:r>
              <w:rPr>
                <w:rFonts w:hint="eastAsia" w:ascii="宋体" w:hAnsi="宋体"/>
                <w:spacing w:val="11"/>
                <w:sz w:val="19"/>
                <w:szCs w:val="19"/>
              </w:rPr>
              <w:t>采购</w:t>
            </w:r>
            <w:r>
              <w:rPr>
                <w:rFonts w:hint="eastAsia" w:ascii="宋体" w:hAnsi="宋体"/>
                <w:sz w:val="19"/>
                <w:szCs w:val="19"/>
              </w:rPr>
              <w:t xml:space="preserve"> </w:t>
            </w:r>
            <w:r>
              <w:rPr>
                <w:rFonts w:hint="eastAsia" w:ascii="宋体" w:hAnsi="宋体"/>
                <w:spacing w:val="-4"/>
                <w:sz w:val="19"/>
                <w:szCs w:val="19"/>
              </w:rPr>
              <w:t>执行</w:t>
            </w:r>
            <w:r>
              <w:rPr>
                <w:rFonts w:hint="eastAsia" w:ascii="宋体" w:hAnsi="宋体"/>
                <w:sz w:val="19"/>
                <w:szCs w:val="19"/>
              </w:rPr>
              <w:t xml:space="preserve"> </w:t>
            </w:r>
            <w:r>
              <w:rPr>
                <w:rFonts w:hint="eastAsia" w:ascii="宋体" w:hAnsi="宋体"/>
                <w:spacing w:val="33"/>
                <w:sz w:val="19"/>
                <w:szCs w:val="19"/>
              </w:rPr>
              <w:t>率</w:t>
            </w:r>
          </w:p>
        </w:tc>
        <w:tc>
          <w:tcPr>
            <w:tcW w:w="479" w:type="dxa"/>
            <w:tcBorders>
              <w:top w:val="single" w:color="000000" w:sz="4" w:space="0"/>
              <w:left w:val="single" w:color="000000" w:sz="4" w:space="0"/>
              <w:bottom w:val="single" w:color="000000" w:sz="4" w:space="0"/>
              <w:right w:val="single" w:color="000000" w:sz="4" w:space="0"/>
            </w:tcBorders>
          </w:tcPr>
          <w:p w14:paraId="4A8512D8">
            <w:pPr>
              <w:pStyle w:val="10"/>
              <w:spacing w:line="249" w:lineRule="auto"/>
              <w:rPr>
                <w:sz w:val="21"/>
              </w:rPr>
            </w:pPr>
          </w:p>
          <w:p w14:paraId="4308CB0B">
            <w:pPr>
              <w:pStyle w:val="10"/>
              <w:spacing w:line="249" w:lineRule="auto"/>
              <w:rPr>
                <w:sz w:val="20"/>
              </w:rPr>
            </w:pPr>
          </w:p>
          <w:p w14:paraId="7DEC4414">
            <w:pPr>
              <w:pStyle w:val="10"/>
              <w:spacing w:line="252" w:lineRule="auto"/>
              <w:rPr>
                <w:sz w:val="20"/>
              </w:rPr>
            </w:pPr>
          </w:p>
          <w:p w14:paraId="1E6FC0AA">
            <w:pPr>
              <w:spacing w:before="62"/>
              <w:ind w:left="182"/>
              <w:rPr>
                <w:rFonts w:ascii="宋体" w:hAnsi="宋体"/>
                <w:sz w:val="19"/>
                <w:szCs w:val="19"/>
              </w:rPr>
            </w:pPr>
            <w:r>
              <w:rPr>
                <w:rFonts w:hint="eastAsia" w:ascii="宋体" w:hAnsi="宋体"/>
                <w:sz w:val="19"/>
                <w:szCs w:val="19"/>
              </w:rPr>
              <w:t>3</w:t>
            </w:r>
          </w:p>
        </w:tc>
        <w:tc>
          <w:tcPr>
            <w:tcW w:w="4106" w:type="dxa"/>
            <w:tcBorders>
              <w:top w:val="single" w:color="000000" w:sz="4" w:space="0"/>
              <w:left w:val="single" w:color="000000" w:sz="4" w:space="0"/>
              <w:bottom w:val="single" w:color="000000" w:sz="4" w:space="0"/>
              <w:right w:val="single" w:color="000000" w:sz="4" w:space="0"/>
            </w:tcBorders>
          </w:tcPr>
          <w:p w14:paraId="4D61224E">
            <w:pPr>
              <w:spacing w:before="84"/>
              <w:ind w:left="53" w:right="59"/>
              <w:jc w:val="both"/>
              <w:rPr>
                <w:rFonts w:ascii="宋体" w:hAnsi="宋体"/>
                <w:sz w:val="19"/>
                <w:szCs w:val="19"/>
              </w:rPr>
            </w:pPr>
            <w:r>
              <w:rPr>
                <w:rFonts w:hint="eastAsia" w:ascii="宋体" w:hAnsi="宋体"/>
                <w:spacing w:val="-1"/>
                <w:sz w:val="19"/>
                <w:szCs w:val="19"/>
              </w:rPr>
              <w:t>部门(单位)本年度实际政府采购金额与年初政府</w:t>
            </w:r>
            <w:r>
              <w:rPr>
                <w:rFonts w:hint="eastAsia" w:ascii="宋体" w:hAnsi="宋体"/>
                <w:spacing w:val="11"/>
                <w:sz w:val="19"/>
                <w:szCs w:val="19"/>
              </w:rPr>
              <w:t xml:space="preserve"> </w:t>
            </w:r>
            <w:r>
              <w:rPr>
                <w:rFonts w:hint="eastAsia" w:ascii="宋体" w:hAnsi="宋体"/>
                <w:spacing w:val="-1"/>
                <w:sz w:val="19"/>
                <w:szCs w:val="19"/>
              </w:rPr>
              <w:t>采购预算的比率，用以反映和考核部门(单位)政</w:t>
            </w:r>
            <w:r>
              <w:rPr>
                <w:rFonts w:hint="eastAsia" w:ascii="宋体" w:hAnsi="宋体"/>
                <w:spacing w:val="14"/>
                <w:sz w:val="19"/>
                <w:szCs w:val="19"/>
              </w:rPr>
              <w:t xml:space="preserve"> </w:t>
            </w:r>
            <w:r>
              <w:rPr>
                <w:rFonts w:hint="eastAsia" w:ascii="宋体" w:hAnsi="宋体"/>
                <w:spacing w:val="-1"/>
                <w:sz w:val="19"/>
                <w:szCs w:val="19"/>
              </w:rPr>
              <w:t>府采购预算执行情况。政府采购执行率=(实际政</w:t>
            </w:r>
            <w:r>
              <w:rPr>
                <w:rFonts w:hint="eastAsia" w:ascii="宋体" w:hAnsi="宋体"/>
                <w:spacing w:val="14"/>
                <w:sz w:val="19"/>
                <w:szCs w:val="19"/>
              </w:rPr>
              <w:t xml:space="preserve"> </w:t>
            </w:r>
            <w:r>
              <w:rPr>
                <w:rFonts w:hint="eastAsia" w:ascii="宋体" w:hAnsi="宋体"/>
                <w:spacing w:val="4"/>
                <w:sz w:val="19"/>
                <w:szCs w:val="19"/>
              </w:rPr>
              <w:t>府采购金额/政府采购预算数)×100%;</w:t>
            </w:r>
          </w:p>
          <w:p w14:paraId="36BFDD39">
            <w:pPr>
              <w:spacing w:before="2"/>
              <w:ind w:left="103" w:firstLine="19"/>
              <w:jc w:val="both"/>
              <w:rPr>
                <w:rFonts w:ascii="宋体" w:hAnsi="宋体"/>
                <w:sz w:val="19"/>
                <w:szCs w:val="19"/>
              </w:rPr>
            </w:pPr>
            <w:r>
              <w:rPr>
                <w:rFonts w:hint="eastAsia" w:ascii="宋体" w:hAnsi="宋体"/>
                <w:spacing w:val="-10"/>
                <w:sz w:val="19"/>
                <w:szCs w:val="19"/>
              </w:rPr>
              <w:t>政府采购预算：采购机关根据事业发展计划和行政</w:t>
            </w:r>
            <w:r>
              <w:rPr>
                <w:rFonts w:hint="eastAsia" w:ascii="宋体" w:hAnsi="宋体"/>
                <w:spacing w:val="10"/>
                <w:sz w:val="19"/>
                <w:szCs w:val="19"/>
              </w:rPr>
              <w:t xml:space="preserve"> </w:t>
            </w:r>
            <w:r>
              <w:rPr>
                <w:rFonts w:hint="eastAsia" w:ascii="宋体" w:hAnsi="宋体"/>
                <w:spacing w:val="-9"/>
                <w:sz w:val="19"/>
                <w:szCs w:val="19"/>
              </w:rPr>
              <w:t>任务编制的、并经过规定程序批准的年度政府采购</w:t>
            </w:r>
            <w:r>
              <w:rPr>
                <w:rFonts w:hint="eastAsia" w:ascii="宋体" w:hAnsi="宋体"/>
                <w:spacing w:val="9"/>
                <w:sz w:val="19"/>
                <w:szCs w:val="19"/>
              </w:rPr>
              <w:t xml:space="preserve"> </w:t>
            </w:r>
            <w:r>
              <w:rPr>
                <w:rFonts w:hint="eastAsia" w:ascii="宋体" w:hAnsi="宋体"/>
                <w:spacing w:val="-2"/>
                <w:sz w:val="19"/>
                <w:szCs w:val="19"/>
              </w:rPr>
              <w:t>计划。</w:t>
            </w:r>
          </w:p>
        </w:tc>
        <w:tc>
          <w:tcPr>
            <w:tcW w:w="2997" w:type="dxa"/>
            <w:tcBorders>
              <w:top w:val="single" w:color="000000" w:sz="4" w:space="0"/>
              <w:left w:val="single" w:color="000000" w:sz="4" w:space="0"/>
              <w:bottom w:val="single" w:color="000000" w:sz="4" w:space="0"/>
              <w:right w:val="single" w:color="000000" w:sz="4" w:space="0"/>
            </w:tcBorders>
          </w:tcPr>
          <w:p w14:paraId="6F9AD6EF">
            <w:pPr>
              <w:pStyle w:val="10"/>
              <w:spacing w:line="256" w:lineRule="auto"/>
              <w:rPr>
                <w:sz w:val="21"/>
              </w:rPr>
            </w:pPr>
          </w:p>
          <w:p w14:paraId="333E888E">
            <w:pPr>
              <w:pStyle w:val="10"/>
              <w:spacing w:line="256" w:lineRule="auto"/>
              <w:rPr>
                <w:sz w:val="20"/>
              </w:rPr>
            </w:pPr>
          </w:p>
          <w:p w14:paraId="20301B30">
            <w:pPr>
              <w:spacing w:before="62"/>
              <w:ind w:left="67" w:right="53" w:firstLine="99"/>
              <w:jc w:val="both"/>
              <w:rPr>
                <w:rFonts w:ascii="宋体" w:hAnsi="宋体"/>
                <w:sz w:val="19"/>
                <w:szCs w:val="19"/>
              </w:rPr>
            </w:pPr>
            <w:r>
              <w:rPr>
                <w:rFonts w:hint="eastAsia" w:ascii="宋体" w:hAnsi="宋体"/>
                <w:spacing w:val="-1"/>
                <w:sz w:val="19"/>
                <w:szCs w:val="19"/>
              </w:rPr>
              <w:t>目标值=100%;达到目标值计3分，</w:t>
            </w:r>
            <w:r>
              <w:rPr>
                <w:rFonts w:hint="eastAsia" w:ascii="宋体" w:hAnsi="宋体"/>
                <w:spacing w:val="16"/>
                <w:sz w:val="19"/>
                <w:szCs w:val="19"/>
              </w:rPr>
              <w:t xml:space="preserve"> </w:t>
            </w:r>
            <w:r>
              <w:rPr>
                <w:rFonts w:hint="eastAsia" w:ascii="宋体" w:hAnsi="宋体"/>
                <w:spacing w:val="1"/>
                <w:sz w:val="19"/>
                <w:szCs w:val="19"/>
              </w:rPr>
              <w:t>未达到目标值的每欠一个百分点扣</w:t>
            </w:r>
            <w:r>
              <w:rPr>
                <w:rFonts w:hint="eastAsia" w:ascii="宋体" w:hAnsi="宋体"/>
                <w:sz w:val="19"/>
                <w:szCs w:val="19"/>
              </w:rPr>
              <w:t xml:space="preserve"> </w:t>
            </w:r>
            <w:r>
              <w:rPr>
                <w:rFonts w:hint="eastAsia" w:ascii="宋体" w:hAnsi="宋体"/>
                <w:spacing w:val="5"/>
                <w:sz w:val="19"/>
                <w:szCs w:val="19"/>
              </w:rPr>
              <w:t>0.1分，扣完为止。</w:t>
            </w:r>
          </w:p>
        </w:tc>
        <w:tc>
          <w:tcPr>
            <w:tcW w:w="645" w:type="dxa"/>
            <w:tcBorders>
              <w:top w:val="single" w:color="000000" w:sz="4" w:space="0"/>
              <w:left w:val="single" w:color="000000" w:sz="4" w:space="0"/>
              <w:bottom w:val="single" w:color="000000" w:sz="4" w:space="0"/>
              <w:right w:val="single" w:color="000000" w:sz="4" w:space="0"/>
            </w:tcBorders>
            <w:vAlign w:val="center"/>
          </w:tcPr>
          <w:p w14:paraId="5C4424F9">
            <w:pPr>
              <w:pStyle w:val="10"/>
              <w:jc w:val="center"/>
              <w:rPr>
                <w:rFonts w:hint="eastAsia" w:eastAsia="宋体"/>
                <w:sz w:val="20"/>
                <w:lang w:val="en-US" w:eastAsia="zh-CN"/>
              </w:rPr>
            </w:pPr>
            <w:r>
              <w:rPr>
                <w:rFonts w:hint="eastAsia"/>
                <w:sz w:val="20"/>
                <w:lang w:val="en-US" w:eastAsia="zh-CN"/>
              </w:rPr>
              <w:t>3</w:t>
            </w:r>
          </w:p>
        </w:tc>
      </w:tr>
      <w:tr w14:paraId="4B30C6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9" w:hRule="atLeast"/>
        </w:trPr>
        <w:tc>
          <w:tcPr>
            <w:tcW w:w="674" w:type="dxa"/>
            <w:vMerge w:val="continue"/>
            <w:tcBorders>
              <w:top w:val="nil"/>
              <w:left w:val="single" w:color="000000" w:sz="4" w:space="0"/>
              <w:bottom w:val="nil"/>
              <w:right w:val="single" w:color="000000" w:sz="4" w:space="0"/>
            </w:tcBorders>
            <w:vAlign w:val="center"/>
          </w:tcPr>
          <w:p w14:paraId="1EE82679">
            <w:pPr>
              <w:kinsoku/>
              <w:autoSpaceDE/>
              <w:autoSpaceDN/>
              <w:adjustRightInd/>
              <w:snapToGrid/>
              <w:textAlignment w:val="auto"/>
              <w:rPr>
                <w:rFonts w:ascii="宋体" w:hAnsi="宋体"/>
                <w:sz w:val="19"/>
                <w:szCs w:val="19"/>
              </w:rPr>
            </w:pPr>
          </w:p>
        </w:tc>
        <w:tc>
          <w:tcPr>
            <w:tcW w:w="630" w:type="dxa"/>
            <w:vMerge w:val="restart"/>
            <w:tcBorders>
              <w:top w:val="nil"/>
              <w:left w:val="single" w:color="000000" w:sz="4" w:space="0"/>
              <w:bottom w:val="nil"/>
              <w:right w:val="single" w:color="000000" w:sz="4" w:space="0"/>
            </w:tcBorders>
          </w:tcPr>
          <w:p w14:paraId="6FE29507">
            <w:pPr>
              <w:pStyle w:val="10"/>
              <w:spacing w:line="247" w:lineRule="auto"/>
              <w:rPr>
                <w:sz w:val="21"/>
              </w:rPr>
            </w:pPr>
          </w:p>
          <w:p w14:paraId="1D1C627F">
            <w:pPr>
              <w:pStyle w:val="10"/>
              <w:spacing w:line="249" w:lineRule="auto"/>
              <w:rPr>
                <w:sz w:val="20"/>
              </w:rPr>
            </w:pPr>
          </w:p>
          <w:p w14:paraId="1FE1DA81">
            <w:pPr>
              <w:pStyle w:val="10"/>
              <w:spacing w:line="249" w:lineRule="auto"/>
              <w:rPr>
                <w:sz w:val="20"/>
              </w:rPr>
            </w:pPr>
          </w:p>
          <w:p w14:paraId="2E6F3CB6">
            <w:pPr>
              <w:pStyle w:val="10"/>
              <w:spacing w:line="249" w:lineRule="auto"/>
              <w:rPr>
                <w:sz w:val="20"/>
              </w:rPr>
            </w:pPr>
          </w:p>
          <w:p w14:paraId="25436609">
            <w:pPr>
              <w:pStyle w:val="10"/>
              <w:spacing w:line="249" w:lineRule="auto"/>
              <w:rPr>
                <w:sz w:val="20"/>
              </w:rPr>
            </w:pPr>
          </w:p>
          <w:p w14:paraId="20F5A7CC">
            <w:pPr>
              <w:pStyle w:val="10"/>
              <w:spacing w:line="249" w:lineRule="auto"/>
              <w:rPr>
                <w:sz w:val="20"/>
              </w:rPr>
            </w:pPr>
          </w:p>
          <w:p w14:paraId="67157FD2">
            <w:pPr>
              <w:pStyle w:val="10"/>
              <w:spacing w:line="249" w:lineRule="auto"/>
              <w:rPr>
                <w:sz w:val="20"/>
              </w:rPr>
            </w:pPr>
          </w:p>
          <w:p w14:paraId="01BFA601">
            <w:pPr>
              <w:pStyle w:val="10"/>
              <w:spacing w:line="249" w:lineRule="auto"/>
              <w:rPr>
                <w:sz w:val="20"/>
              </w:rPr>
            </w:pPr>
          </w:p>
          <w:p w14:paraId="7FA92EDE">
            <w:pPr>
              <w:spacing w:before="62"/>
              <w:ind w:left="111"/>
              <w:rPr>
                <w:rFonts w:ascii="宋体" w:hAnsi="宋体"/>
                <w:spacing w:val="-3"/>
                <w:sz w:val="19"/>
                <w:szCs w:val="19"/>
              </w:rPr>
            </w:pPr>
            <w:r>
              <w:rPr>
                <w:rFonts w:hint="eastAsia" w:ascii="宋体" w:hAnsi="宋体"/>
                <w:spacing w:val="-3"/>
                <w:sz w:val="19"/>
                <w:szCs w:val="19"/>
              </w:rPr>
              <w:t>预</w:t>
            </w:r>
          </w:p>
          <w:p w14:paraId="1C1C2F0A">
            <w:pPr>
              <w:spacing w:before="62"/>
              <w:ind w:left="111"/>
              <w:rPr>
                <w:rFonts w:hint="eastAsia" w:ascii="宋体" w:hAnsi="宋体"/>
                <w:sz w:val="19"/>
                <w:szCs w:val="19"/>
              </w:rPr>
            </w:pPr>
            <w:r>
              <w:rPr>
                <w:rFonts w:hint="eastAsia" w:ascii="宋体" w:hAnsi="宋体"/>
                <w:spacing w:val="-3"/>
                <w:sz w:val="19"/>
                <w:szCs w:val="19"/>
              </w:rPr>
              <w:t>算</w:t>
            </w:r>
          </w:p>
          <w:p w14:paraId="3828E5C5">
            <w:pPr>
              <w:spacing w:before="35"/>
              <w:ind w:left="160" w:right="137" w:hanging="49"/>
              <w:jc w:val="both"/>
              <w:rPr>
                <w:rFonts w:hint="eastAsia" w:ascii="宋体" w:hAnsi="宋体"/>
                <w:spacing w:val="-6"/>
                <w:sz w:val="19"/>
                <w:szCs w:val="19"/>
              </w:rPr>
            </w:pPr>
            <w:r>
              <w:rPr>
                <w:rFonts w:hint="eastAsia" w:ascii="宋体" w:hAnsi="宋体"/>
                <w:spacing w:val="-6"/>
                <w:sz w:val="19"/>
                <w:szCs w:val="19"/>
              </w:rPr>
              <w:t>管</w:t>
            </w:r>
          </w:p>
          <w:p w14:paraId="63DF9687">
            <w:pPr>
              <w:spacing w:before="35"/>
              <w:ind w:left="160" w:right="137" w:hanging="49"/>
              <w:jc w:val="both"/>
              <w:rPr>
                <w:rFonts w:ascii="宋体" w:hAnsi="宋体"/>
                <w:sz w:val="19"/>
                <w:szCs w:val="19"/>
              </w:rPr>
            </w:pPr>
            <w:r>
              <w:rPr>
                <w:rFonts w:hint="eastAsia" w:ascii="宋体" w:hAnsi="宋体"/>
                <w:spacing w:val="-6"/>
                <w:sz w:val="19"/>
                <w:szCs w:val="19"/>
              </w:rPr>
              <w:t>理</w:t>
            </w:r>
            <w:r>
              <w:rPr>
                <w:rFonts w:hint="eastAsia" w:ascii="宋体" w:hAnsi="宋体"/>
                <w:sz w:val="19"/>
                <w:szCs w:val="19"/>
              </w:rPr>
              <w:t xml:space="preserve"> </w:t>
            </w:r>
            <w:r>
              <w:rPr>
                <w:rFonts w:hint="eastAsia" w:ascii="宋体" w:hAnsi="宋体"/>
                <w:spacing w:val="-14"/>
                <w:sz w:val="19"/>
                <w:szCs w:val="19"/>
              </w:rPr>
              <w:t>(15</w:t>
            </w:r>
            <w:r>
              <w:rPr>
                <w:rFonts w:hint="eastAsia" w:ascii="宋体" w:hAnsi="宋体"/>
                <w:sz w:val="19"/>
                <w:szCs w:val="19"/>
              </w:rPr>
              <w:t xml:space="preserve">  </w:t>
            </w:r>
            <w:r>
              <w:rPr>
                <w:rFonts w:hint="eastAsia" w:ascii="宋体" w:hAnsi="宋体"/>
                <w:spacing w:val="-9"/>
                <w:sz w:val="19"/>
                <w:szCs w:val="19"/>
              </w:rPr>
              <w:t>分</w:t>
            </w:r>
            <w:r>
              <w:rPr>
                <w:rFonts w:hint="eastAsia" w:ascii="宋体" w:hAnsi="宋体"/>
                <w:spacing w:val="-41"/>
                <w:sz w:val="19"/>
                <w:szCs w:val="19"/>
              </w:rPr>
              <w:t xml:space="preserve"> </w:t>
            </w:r>
            <w:r>
              <w:rPr>
                <w:rFonts w:hint="eastAsia" w:ascii="宋体" w:hAnsi="宋体"/>
                <w:spacing w:val="-9"/>
                <w:sz w:val="19"/>
                <w:szCs w:val="19"/>
              </w:rPr>
              <w:t>)</w:t>
            </w:r>
          </w:p>
        </w:tc>
        <w:tc>
          <w:tcPr>
            <w:tcW w:w="679" w:type="dxa"/>
            <w:tcBorders>
              <w:top w:val="single" w:color="000000" w:sz="4" w:space="0"/>
              <w:left w:val="single" w:color="000000" w:sz="4" w:space="0"/>
              <w:bottom w:val="single" w:color="000000" w:sz="4" w:space="0"/>
              <w:right w:val="single" w:color="000000" w:sz="4" w:space="0"/>
            </w:tcBorders>
          </w:tcPr>
          <w:p w14:paraId="044619B9">
            <w:pPr>
              <w:pStyle w:val="10"/>
              <w:spacing w:line="288" w:lineRule="auto"/>
              <w:rPr>
                <w:sz w:val="21"/>
              </w:rPr>
            </w:pPr>
          </w:p>
          <w:p w14:paraId="107C3275">
            <w:pPr>
              <w:spacing w:before="62"/>
              <w:ind w:left="160" w:right="136" w:hanging="19"/>
              <w:rPr>
                <w:rFonts w:ascii="宋体" w:hAnsi="宋体"/>
                <w:sz w:val="19"/>
                <w:szCs w:val="19"/>
              </w:rPr>
            </w:pPr>
            <w:r>
              <w:rPr>
                <w:rFonts w:hint="eastAsia" w:ascii="宋体" w:hAnsi="宋体"/>
                <w:spacing w:val="-6"/>
                <w:sz w:val="19"/>
                <w:szCs w:val="19"/>
              </w:rPr>
              <w:t>管理</w:t>
            </w:r>
            <w:r>
              <w:rPr>
                <w:rFonts w:hint="eastAsia" w:ascii="宋体" w:hAnsi="宋体"/>
                <w:sz w:val="19"/>
                <w:szCs w:val="19"/>
              </w:rPr>
              <w:t xml:space="preserve"> </w:t>
            </w:r>
            <w:r>
              <w:rPr>
                <w:rFonts w:hint="eastAsia" w:ascii="宋体" w:hAnsi="宋体"/>
                <w:spacing w:val="-5"/>
                <w:sz w:val="19"/>
                <w:szCs w:val="19"/>
              </w:rPr>
              <w:t>制度</w:t>
            </w:r>
          </w:p>
          <w:p w14:paraId="4A42EC74">
            <w:pPr>
              <w:spacing w:before="4"/>
              <w:ind w:left="230" w:right="155" w:hanging="89"/>
              <w:rPr>
                <w:rFonts w:ascii="宋体" w:hAnsi="宋体"/>
                <w:sz w:val="19"/>
                <w:szCs w:val="19"/>
              </w:rPr>
            </w:pPr>
            <w:r>
              <w:rPr>
                <w:rFonts w:hint="eastAsia" w:ascii="宋体" w:hAnsi="宋体"/>
                <w:spacing w:val="-4"/>
                <w:sz w:val="19"/>
                <w:szCs w:val="19"/>
              </w:rPr>
              <w:t>健全</w:t>
            </w:r>
            <w:r>
              <w:rPr>
                <w:rFonts w:hint="eastAsia" w:ascii="宋体" w:hAnsi="宋体"/>
                <w:sz w:val="19"/>
                <w:szCs w:val="19"/>
              </w:rPr>
              <w:t xml:space="preserve"> 性</w:t>
            </w:r>
          </w:p>
        </w:tc>
        <w:tc>
          <w:tcPr>
            <w:tcW w:w="479" w:type="dxa"/>
            <w:tcBorders>
              <w:top w:val="single" w:color="000000" w:sz="4" w:space="0"/>
              <w:left w:val="single" w:color="000000" w:sz="4" w:space="0"/>
              <w:bottom w:val="single" w:color="000000" w:sz="4" w:space="0"/>
              <w:right w:val="single" w:color="000000" w:sz="4" w:space="0"/>
            </w:tcBorders>
          </w:tcPr>
          <w:p w14:paraId="02A87410">
            <w:pPr>
              <w:pStyle w:val="10"/>
              <w:spacing w:line="321" w:lineRule="auto"/>
              <w:rPr>
                <w:sz w:val="21"/>
              </w:rPr>
            </w:pPr>
          </w:p>
          <w:p w14:paraId="61B40982">
            <w:pPr>
              <w:pStyle w:val="10"/>
              <w:spacing w:line="321" w:lineRule="auto"/>
              <w:rPr>
                <w:sz w:val="20"/>
              </w:rPr>
            </w:pPr>
          </w:p>
          <w:p w14:paraId="3FB67939">
            <w:pPr>
              <w:spacing w:before="62"/>
              <w:ind w:left="182"/>
              <w:rPr>
                <w:rFonts w:ascii="宋体" w:hAnsi="宋体"/>
                <w:sz w:val="19"/>
                <w:szCs w:val="19"/>
              </w:rPr>
            </w:pPr>
            <w:r>
              <w:rPr>
                <w:rFonts w:hint="eastAsia" w:ascii="宋体" w:hAnsi="宋体"/>
                <w:sz w:val="19"/>
                <w:szCs w:val="19"/>
              </w:rPr>
              <w:t>6</w:t>
            </w:r>
          </w:p>
        </w:tc>
        <w:tc>
          <w:tcPr>
            <w:tcW w:w="4106" w:type="dxa"/>
            <w:tcBorders>
              <w:top w:val="single" w:color="000000" w:sz="4" w:space="0"/>
              <w:left w:val="single" w:color="000000" w:sz="4" w:space="0"/>
              <w:bottom w:val="single" w:color="000000" w:sz="4" w:space="0"/>
              <w:right w:val="single" w:color="000000" w:sz="4" w:space="0"/>
            </w:tcBorders>
          </w:tcPr>
          <w:p w14:paraId="71F3B8BD">
            <w:pPr>
              <w:pStyle w:val="10"/>
              <w:spacing w:line="278" w:lineRule="auto"/>
              <w:rPr>
                <w:sz w:val="21"/>
              </w:rPr>
            </w:pPr>
          </w:p>
          <w:p w14:paraId="204C09C8">
            <w:pPr>
              <w:spacing w:before="62"/>
              <w:ind w:left="53"/>
              <w:rPr>
                <w:rFonts w:ascii="宋体" w:hAnsi="宋体"/>
                <w:sz w:val="19"/>
                <w:szCs w:val="19"/>
              </w:rPr>
            </w:pPr>
            <w:r>
              <w:rPr>
                <w:rFonts w:hint="eastAsia" w:ascii="宋体" w:hAnsi="宋体"/>
                <w:sz w:val="19"/>
                <w:szCs w:val="19"/>
              </w:rPr>
              <w:t>部门(单位)为加强预算管理、规范财务行为而制</w:t>
            </w:r>
          </w:p>
          <w:p w14:paraId="22CBB5D1">
            <w:pPr>
              <w:spacing w:before="25" w:line="242" w:lineRule="auto"/>
              <w:ind w:left="122" w:hanging="109"/>
              <w:rPr>
                <w:rFonts w:ascii="宋体" w:hAnsi="宋体"/>
                <w:sz w:val="19"/>
                <w:szCs w:val="19"/>
              </w:rPr>
            </w:pPr>
            <w:r>
              <w:rPr>
                <w:rFonts w:hint="eastAsia" w:ascii="宋体" w:hAnsi="宋体"/>
                <w:spacing w:val="-5"/>
                <w:sz w:val="19"/>
                <w:szCs w:val="19"/>
              </w:rPr>
              <w:t>定的管理制度是否健全完整，用以反映和考核部门</w:t>
            </w:r>
            <w:r>
              <w:rPr>
                <w:rFonts w:hint="eastAsia" w:ascii="宋体" w:hAnsi="宋体"/>
                <w:spacing w:val="11"/>
                <w:sz w:val="19"/>
                <w:szCs w:val="19"/>
              </w:rPr>
              <w:t xml:space="preserve"> </w:t>
            </w:r>
            <w:r>
              <w:rPr>
                <w:rFonts w:hint="eastAsia" w:ascii="宋体" w:hAnsi="宋体"/>
                <w:spacing w:val="-2"/>
                <w:sz w:val="19"/>
                <w:szCs w:val="19"/>
              </w:rPr>
              <w:t>(单位)预算管理制度对完成主要职责或促进事业</w:t>
            </w:r>
            <w:r>
              <w:rPr>
                <w:rFonts w:hint="eastAsia" w:ascii="宋体" w:hAnsi="宋体"/>
                <w:spacing w:val="11"/>
                <w:sz w:val="19"/>
                <w:szCs w:val="19"/>
              </w:rPr>
              <w:t xml:space="preserve"> </w:t>
            </w:r>
            <w:r>
              <w:rPr>
                <w:rFonts w:hint="eastAsia" w:ascii="宋体" w:hAnsi="宋体"/>
                <w:spacing w:val="-2"/>
                <w:sz w:val="19"/>
                <w:szCs w:val="19"/>
              </w:rPr>
              <w:t>发展的保障情况。</w:t>
            </w:r>
          </w:p>
        </w:tc>
        <w:tc>
          <w:tcPr>
            <w:tcW w:w="2997" w:type="dxa"/>
            <w:tcBorders>
              <w:top w:val="single" w:color="000000" w:sz="4" w:space="0"/>
              <w:left w:val="single" w:color="000000" w:sz="4" w:space="0"/>
              <w:bottom w:val="single" w:color="000000" w:sz="4" w:space="0"/>
              <w:right w:val="single" w:color="000000" w:sz="4" w:space="0"/>
            </w:tcBorders>
          </w:tcPr>
          <w:p w14:paraId="777C8FB4">
            <w:pPr>
              <w:spacing w:before="101"/>
              <w:ind w:left="67" w:right="24" w:firstLine="99"/>
              <w:jc w:val="both"/>
              <w:rPr>
                <w:rFonts w:ascii="宋体" w:hAnsi="宋体"/>
                <w:sz w:val="19"/>
                <w:szCs w:val="19"/>
              </w:rPr>
            </w:pPr>
            <w:r>
              <w:rPr>
                <w:rFonts w:hint="eastAsia" w:ascii="宋体" w:hAnsi="宋体"/>
                <w:spacing w:val="-1"/>
                <w:sz w:val="19"/>
                <w:szCs w:val="19"/>
              </w:rPr>
              <w:t>①已制定或具有预算资金管理办</w:t>
            </w:r>
            <w:r>
              <w:rPr>
                <w:rFonts w:hint="eastAsia" w:ascii="宋体" w:hAnsi="宋体"/>
                <w:spacing w:val="3"/>
                <w:sz w:val="19"/>
                <w:szCs w:val="19"/>
              </w:rPr>
              <w:t xml:space="preserve">  </w:t>
            </w:r>
            <w:r>
              <w:rPr>
                <w:rFonts w:hint="eastAsia" w:ascii="宋体" w:hAnsi="宋体"/>
                <w:spacing w:val="-1"/>
                <w:sz w:val="19"/>
                <w:szCs w:val="19"/>
              </w:rPr>
              <w:t>法、内部财务管理制度、会计核算</w:t>
            </w:r>
            <w:r>
              <w:rPr>
                <w:rFonts w:hint="eastAsia" w:ascii="宋体" w:hAnsi="宋体"/>
                <w:spacing w:val="5"/>
                <w:sz w:val="19"/>
                <w:szCs w:val="19"/>
              </w:rPr>
              <w:t xml:space="preserve"> </w:t>
            </w:r>
            <w:r>
              <w:rPr>
                <w:rFonts w:hint="eastAsia" w:ascii="宋体" w:hAnsi="宋体"/>
                <w:spacing w:val="2"/>
                <w:sz w:val="19"/>
                <w:szCs w:val="19"/>
              </w:rPr>
              <w:t>制度等管理制度的，计2分；②相</w:t>
            </w:r>
            <w:r>
              <w:rPr>
                <w:rFonts w:hint="eastAsia" w:ascii="宋体" w:hAnsi="宋体"/>
                <w:spacing w:val="5"/>
                <w:sz w:val="19"/>
                <w:szCs w:val="19"/>
              </w:rPr>
              <w:t xml:space="preserve">  </w:t>
            </w:r>
            <w:r>
              <w:rPr>
                <w:rFonts w:hint="eastAsia" w:ascii="宋体" w:hAnsi="宋体"/>
                <w:spacing w:val="3"/>
                <w:sz w:val="19"/>
                <w:szCs w:val="19"/>
              </w:rPr>
              <w:t>关管理制度合法、合规、完整的，</w:t>
            </w:r>
            <w:r>
              <w:rPr>
                <w:rFonts w:hint="eastAsia" w:ascii="宋体" w:hAnsi="宋体"/>
                <w:sz w:val="19"/>
                <w:szCs w:val="19"/>
              </w:rPr>
              <w:t xml:space="preserve"> </w:t>
            </w:r>
            <w:r>
              <w:rPr>
                <w:rFonts w:hint="eastAsia" w:ascii="宋体" w:hAnsi="宋体"/>
                <w:spacing w:val="2"/>
                <w:sz w:val="19"/>
                <w:szCs w:val="19"/>
              </w:rPr>
              <w:t>计2分；③相关管理制度得到有效</w:t>
            </w:r>
            <w:r>
              <w:rPr>
                <w:rFonts w:hint="eastAsia" w:ascii="宋体" w:hAnsi="宋体"/>
                <w:spacing w:val="5"/>
                <w:sz w:val="19"/>
                <w:szCs w:val="19"/>
              </w:rPr>
              <w:t xml:space="preserve">  </w:t>
            </w:r>
            <w:r>
              <w:rPr>
                <w:rFonts w:hint="eastAsia" w:ascii="宋体" w:hAnsi="宋体"/>
                <w:spacing w:val="7"/>
                <w:sz w:val="19"/>
                <w:szCs w:val="19"/>
              </w:rPr>
              <w:t>执行的，计2分。</w:t>
            </w:r>
          </w:p>
        </w:tc>
        <w:tc>
          <w:tcPr>
            <w:tcW w:w="645" w:type="dxa"/>
            <w:tcBorders>
              <w:top w:val="single" w:color="000000" w:sz="4" w:space="0"/>
              <w:left w:val="single" w:color="000000" w:sz="4" w:space="0"/>
              <w:bottom w:val="single" w:color="000000" w:sz="4" w:space="0"/>
              <w:right w:val="single" w:color="000000" w:sz="4" w:space="0"/>
            </w:tcBorders>
            <w:vAlign w:val="center"/>
          </w:tcPr>
          <w:p w14:paraId="79ED4168">
            <w:pPr>
              <w:pStyle w:val="10"/>
              <w:jc w:val="center"/>
              <w:rPr>
                <w:rFonts w:hint="eastAsia" w:eastAsia="宋体"/>
                <w:sz w:val="20"/>
                <w:lang w:val="en-US" w:eastAsia="zh-CN"/>
              </w:rPr>
            </w:pPr>
            <w:r>
              <w:rPr>
                <w:rFonts w:hint="eastAsia"/>
                <w:color w:val="FF0000"/>
                <w:sz w:val="20"/>
                <w:lang w:val="en-US" w:eastAsia="zh-CN"/>
              </w:rPr>
              <w:t>5</w:t>
            </w:r>
          </w:p>
        </w:tc>
      </w:tr>
      <w:tr w14:paraId="27E31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8" w:hRule="atLeast"/>
        </w:trPr>
        <w:tc>
          <w:tcPr>
            <w:tcW w:w="674" w:type="dxa"/>
            <w:vMerge w:val="continue"/>
            <w:tcBorders>
              <w:top w:val="nil"/>
              <w:left w:val="single" w:color="000000" w:sz="4" w:space="0"/>
              <w:bottom w:val="nil"/>
              <w:right w:val="single" w:color="000000" w:sz="4" w:space="0"/>
            </w:tcBorders>
            <w:vAlign w:val="center"/>
          </w:tcPr>
          <w:p w14:paraId="4AC36830">
            <w:pPr>
              <w:kinsoku/>
              <w:autoSpaceDE/>
              <w:autoSpaceDN/>
              <w:adjustRightInd/>
              <w:snapToGrid/>
              <w:textAlignment w:val="auto"/>
              <w:rPr>
                <w:rFonts w:ascii="宋体" w:hAnsi="宋体"/>
                <w:sz w:val="19"/>
                <w:szCs w:val="19"/>
              </w:rPr>
            </w:pPr>
          </w:p>
        </w:tc>
        <w:tc>
          <w:tcPr>
            <w:tcW w:w="630" w:type="dxa"/>
            <w:vMerge w:val="continue"/>
            <w:tcBorders>
              <w:top w:val="nil"/>
              <w:left w:val="single" w:color="000000" w:sz="4" w:space="0"/>
              <w:bottom w:val="nil"/>
              <w:right w:val="single" w:color="000000" w:sz="4" w:space="0"/>
            </w:tcBorders>
            <w:vAlign w:val="center"/>
          </w:tcPr>
          <w:p w14:paraId="19565997">
            <w:pPr>
              <w:kinsoku/>
              <w:autoSpaceDE/>
              <w:autoSpaceDN/>
              <w:adjustRightInd/>
              <w:snapToGrid/>
              <w:textAlignment w:val="auto"/>
              <w:rPr>
                <w:rFonts w:ascii="宋体" w:hAnsi="宋体"/>
                <w:sz w:val="19"/>
                <w:szCs w:val="19"/>
              </w:rPr>
            </w:pPr>
          </w:p>
        </w:tc>
        <w:tc>
          <w:tcPr>
            <w:tcW w:w="679" w:type="dxa"/>
            <w:tcBorders>
              <w:top w:val="single" w:color="000000" w:sz="4" w:space="0"/>
              <w:left w:val="single" w:color="000000" w:sz="4" w:space="0"/>
              <w:bottom w:val="single" w:color="000000" w:sz="4" w:space="0"/>
              <w:right w:val="single" w:color="000000" w:sz="4" w:space="0"/>
            </w:tcBorders>
          </w:tcPr>
          <w:p w14:paraId="16087B92">
            <w:pPr>
              <w:pStyle w:val="10"/>
              <w:spacing w:line="292" w:lineRule="auto"/>
              <w:rPr>
                <w:sz w:val="21"/>
              </w:rPr>
            </w:pPr>
          </w:p>
          <w:p w14:paraId="3A9F8137">
            <w:pPr>
              <w:pStyle w:val="10"/>
              <w:spacing w:line="295" w:lineRule="auto"/>
              <w:rPr>
                <w:sz w:val="20"/>
              </w:rPr>
            </w:pPr>
          </w:p>
          <w:p w14:paraId="228321CE">
            <w:pPr>
              <w:spacing w:before="62"/>
              <w:ind w:left="141" w:right="105"/>
              <w:jc w:val="both"/>
              <w:rPr>
                <w:rFonts w:ascii="宋体" w:hAnsi="宋体"/>
                <w:sz w:val="19"/>
                <w:szCs w:val="19"/>
              </w:rPr>
            </w:pPr>
            <w:r>
              <w:rPr>
                <w:rFonts w:hint="eastAsia" w:ascii="宋体" w:hAnsi="宋体"/>
                <w:spacing w:val="4"/>
                <w:sz w:val="19"/>
                <w:szCs w:val="19"/>
              </w:rPr>
              <w:t>资金</w:t>
            </w:r>
            <w:r>
              <w:rPr>
                <w:rFonts w:hint="eastAsia" w:ascii="宋体" w:hAnsi="宋体"/>
                <w:sz w:val="19"/>
                <w:szCs w:val="19"/>
              </w:rPr>
              <w:t xml:space="preserve"> </w:t>
            </w:r>
            <w:r>
              <w:rPr>
                <w:rFonts w:hint="eastAsia" w:ascii="宋体" w:hAnsi="宋体"/>
                <w:spacing w:val="21"/>
                <w:sz w:val="19"/>
                <w:szCs w:val="19"/>
              </w:rPr>
              <w:t>使用</w:t>
            </w:r>
            <w:r>
              <w:rPr>
                <w:rFonts w:hint="eastAsia" w:ascii="宋体" w:hAnsi="宋体"/>
                <w:sz w:val="19"/>
                <w:szCs w:val="19"/>
              </w:rPr>
              <w:t xml:space="preserve"> </w:t>
            </w:r>
            <w:r>
              <w:rPr>
                <w:rFonts w:hint="eastAsia" w:ascii="宋体" w:hAnsi="宋体"/>
                <w:spacing w:val="-5"/>
                <w:sz w:val="19"/>
                <w:szCs w:val="19"/>
              </w:rPr>
              <w:t>合规</w:t>
            </w:r>
            <w:r>
              <w:rPr>
                <w:rFonts w:hint="eastAsia" w:ascii="宋体" w:hAnsi="宋体"/>
                <w:sz w:val="19"/>
                <w:szCs w:val="19"/>
              </w:rPr>
              <w:t xml:space="preserve"> </w:t>
            </w:r>
            <w:r>
              <w:rPr>
                <w:rFonts w:hint="eastAsia" w:ascii="宋体" w:hAnsi="宋体"/>
                <w:spacing w:val="30"/>
                <w:sz w:val="19"/>
                <w:szCs w:val="19"/>
              </w:rPr>
              <w:t>性</w:t>
            </w:r>
          </w:p>
        </w:tc>
        <w:tc>
          <w:tcPr>
            <w:tcW w:w="479" w:type="dxa"/>
            <w:tcBorders>
              <w:top w:val="single" w:color="000000" w:sz="4" w:space="0"/>
              <w:left w:val="single" w:color="000000" w:sz="4" w:space="0"/>
              <w:bottom w:val="single" w:color="000000" w:sz="4" w:space="0"/>
              <w:right w:val="single" w:color="000000" w:sz="4" w:space="0"/>
            </w:tcBorders>
          </w:tcPr>
          <w:p w14:paraId="363484FD">
            <w:pPr>
              <w:pStyle w:val="10"/>
              <w:spacing w:line="316" w:lineRule="auto"/>
              <w:rPr>
                <w:sz w:val="21"/>
              </w:rPr>
            </w:pPr>
          </w:p>
          <w:p w14:paraId="65E42772">
            <w:pPr>
              <w:pStyle w:val="10"/>
              <w:spacing w:line="316" w:lineRule="auto"/>
              <w:rPr>
                <w:sz w:val="20"/>
              </w:rPr>
            </w:pPr>
          </w:p>
          <w:p w14:paraId="12DB10E5">
            <w:pPr>
              <w:pStyle w:val="10"/>
              <w:spacing w:line="316" w:lineRule="auto"/>
              <w:rPr>
                <w:sz w:val="20"/>
              </w:rPr>
            </w:pPr>
          </w:p>
          <w:p w14:paraId="0ED023F0">
            <w:pPr>
              <w:spacing w:before="62"/>
              <w:ind w:left="182"/>
              <w:rPr>
                <w:rFonts w:ascii="宋体" w:hAnsi="宋体"/>
                <w:sz w:val="19"/>
                <w:szCs w:val="19"/>
              </w:rPr>
            </w:pPr>
            <w:r>
              <w:rPr>
                <w:rFonts w:hint="eastAsia" w:ascii="宋体" w:hAnsi="宋体"/>
                <w:sz w:val="19"/>
                <w:szCs w:val="19"/>
              </w:rPr>
              <w:t>5</w:t>
            </w:r>
          </w:p>
        </w:tc>
        <w:tc>
          <w:tcPr>
            <w:tcW w:w="4106" w:type="dxa"/>
            <w:tcBorders>
              <w:top w:val="single" w:color="000000" w:sz="4" w:space="0"/>
              <w:left w:val="single" w:color="000000" w:sz="4" w:space="0"/>
              <w:bottom w:val="single" w:color="000000" w:sz="4" w:space="0"/>
              <w:right w:val="single" w:color="000000" w:sz="4" w:space="0"/>
            </w:tcBorders>
          </w:tcPr>
          <w:p w14:paraId="7AF89B42">
            <w:pPr>
              <w:pStyle w:val="10"/>
              <w:spacing w:line="357" w:lineRule="auto"/>
              <w:rPr>
                <w:sz w:val="21"/>
              </w:rPr>
            </w:pPr>
          </w:p>
          <w:p w14:paraId="0337ADB6">
            <w:pPr>
              <w:pStyle w:val="10"/>
              <w:spacing w:line="360" w:lineRule="auto"/>
              <w:rPr>
                <w:sz w:val="20"/>
              </w:rPr>
            </w:pPr>
          </w:p>
          <w:p w14:paraId="5061730E">
            <w:pPr>
              <w:spacing w:before="62" w:line="242" w:lineRule="auto"/>
              <w:ind w:left="53" w:right="11"/>
              <w:jc w:val="both"/>
              <w:rPr>
                <w:rFonts w:ascii="宋体" w:hAnsi="宋体"/>
                <w:sz w:val="19"/>
                <w:szCs w:val="19"/>
              </w:rPr>
            </w:pPr>
            <w:r>
              <w:rPr>
                <w:rFonts w:hint="eastAsia" w:ascii="宋体" w:hAnsi="宋体"/>
                <w:spacing w:val="-1"/>
                <w:sz w:val="19"/>
                <w:szCs w:val="19"/>
              </w:rPr>
              <w:t>部门(单位)使用预算资金是否符合相关的预算财</w:t>
            </w:r>
            <w:r>
              <w:rPr>
                <w:rFonts w:hint="eastAsia" w:ascii="宋体" w:hAnsi="宋体"/>
                <w:spacing w:val="11"/>
                <w:sz w:val="19"/>
                <w:szCs w:val="19"/>
              </w:rPr>
              <w:t xml:space="preserve"> </w:t>
            </w:r>
            <w:r>
              <w:rPr>
                <w:rFonts w:hint="eastAsia" w:ascii="宋体" w:hAnsi="宋体"/>
                <w:spacing w:val="1"/>
                <w:sz w:val="19"/>
                <w:szCs w:val="19"/>
              </w:rPr>
              <w:t>务管理制度的规定，用以反映和考核部门(单位)</w:t>
            </w:r>
            <w:r>
              <w:rPr>
                <w:rFonts w:hint="eastAsia" w:ascii="宋体" w:hAnsi="宋体"/>
                <w:spacing w:val="18"/>
                <w:sz w:val="19"/>
                <w:szCs w:val="19"/>
              </w:rPr>
              <w:t xml:space="preserve"> </w:t>
            </w:r>
            <w:r>
              <w:rPr>
                <w:rFonts w:hint="eastAsia" w:ascii="宋体" w:hAnsi="宋体"/>
                <w:spacing w:val="5"/>
                <w:sz w:val="19"/>
                <w:szCs w:val="19"/>
              </w:rPr>
              <w:t>预算资金的规范运行情况。</w:t>
            </w:r>
          </w:p>
        </w:tc>
        <w:tc>
          <w:tcPr>
            <w:tcW w:w="2997" w:type="dxa"/>
            <w:tcBorders>
              <w:top w:val="single" w:color="000000" w:sz="4" w:space="0"/>
              <w:left w:val="single" w:color="000000" w:sz="4" w:space="0"/>
              <w:bottom w:val="single" w:color="000000" w:sz="4" w:space="0"/>
              <w:right w:val="single" w:color="000000" w:sz="4" w:space="0"/>
            </w:tcBorders>
          </w:tcPr>
          <w:p w14:paraId="0893F2F1">
            <w:pPr>
              <w:spacing w:before="28"/>
              <w:ind w:left="67" w:right="53"/>
              <w:jc w:val="both"/>
              <w:rPr>
                <w:rFonts w:ascii="宋体" w:hAnsi="宋体"/>
                <w:sz w:val="19"/>
                <w:szCs w:val="19"/>
              </w:rPr>
            </w:pPr>
            <w:r>
              <w:rPr>
                <w:rFonts w:hint="eastAsia" w:ascii="宋体" w:hAnsi="宋体"/>
                <w:spacing w:val="1"/>
                <w:sz w:val="19"/>
                <w:szCs w:val="19"/>
              </w:rPr>
              <w:t>①符合国家财经法规和财务管理制</w:t>
            </w:r>
            <w:r>
              <w:rPr>
                <w:rFonts w:hint="eastAsia" w:ascii="宋体" w:hAnsi="宋体"/>
                <w:sz w:val="19"/>
                <w:szCs w:val="19"/>
              </w:rPr>
              <w:t xml:space="preserve"> </w:t>
            </w:r>
            <w:r>
              <w:rPr>
                <w:rFonts w:hint="eastAsia" w:ascii="宋体" w:hAnsi="宋体"/>
                <w:spacing w:val="-1"/>
                <w:sz w:val="19"/>
                <w:szCs w:val="19"/>
              </w:rPr>
              <w:t>度规定以及有关专项资金管理办法</w:t>
            </w:r>
            <w:r>
              <w:rPr>
                <w:rFonts w:hint="eastAsia" w:ascii="宋体" w:hAnsi="宋体"/>
                <w:spacing w:val="7"/>
                <w:sz w:val="19"/>
                <w:szCs w:val="19"/>
              </w:rPr>
              <w:t xml:space="preserve"> </w:t>
            </w:r>
            <w:r>
              <w:rPr>
                <w:rFonts w:hint="eastAsia" w:ascii="宋体" w:hAnsi="宋体"/>
                <w:spacing w:val="3"/>
                <w:sz w:val="19"/>
                <w:szCs w:val="19"/>
              </w:rPr>
              <w:t>的规定的，计1分；②资金的拨付</w:t>
            </w:r>
            <w:r>
              <w:rPr>
                <w:rFonts w:hint="eastAsia" w:ascii="宋体" w:hAnsi="宋体"/>
                <w:spacing w:val="6"/>
                <w:sz w:val="19"/>
                <w:szCs w:val="19"/>
              </w:rPr>
              <w:t xml:space="preserve"> </w:t>
            </w:r>
            <w:r>
              <w:rPr>
                <w:rFonts w:hint="eastAsia" w:ascii="宋体" w:hAnsi="宋体"/>
                <w:spacing w:val="4"/>
                <w:sz w:val="19"/>
                <w:szCs w:val="19"/>
              </w:rPr>
              <w:t>有完整的审批程序和手续的，计1</w:t>
            </w:r>
            <w:r>
              <w:rPr>
                <w:rFonts w:hint="eastAsia" w:ascii="宋体" w:hAnsi="宋体"/>
                <w:spacing w:val="3"/>
                <w:sz w:val="19"/>
                <w:szCs w:val="19"/>
              </w:rPr>
              <w:t xml:space="preserve"> </w:t>
            </w:r>
            <w:r>
              <w:rPr>
                <w:rFonts w:hint="eastAsia" w:ascii="宋体" w:hAnsi="宋体"/>
                <w:spacing w:val="-1"/>
                <w:sz w:val="19"/>
                <w:szCs w:val="19"/>
              </w:rPr>
              <w:t>分；③项目的重大开支经过评估论</w:t>
            </w:r>
            <w:r>
              <w:rPr>
                <w:rFonts w:hint="eastAsia" w:ascii="宋体" w:hAnsi="宋体"/>
                <w:spacing w:val="4"/>
                <w:sz w:val="19"/>
                <w:szCs w:val="19"/>
              </w:rPr>
              <w:t xml:space="preserve"> </w:t>
            </w:r>
            <w:r>
              <w:rPr>
                <w:rFonts w:hint="eastAsia" w:ascii="宋体" w:hAnsi="宋体"/>
                <w:spacing w:val="2"/>
                <w:sz w:val="19"/>
                <w:szCs w:val="19"/>
              </w:rPr>
              <w:t>证的，计1分；④符合部门预算批</w:t>
            </w:r>
            <w:r>
              <w:rPr>
                <w:rFonts w:hint="eastAsia" w:ascii="宋体" w:hAnsi="宋体"/>
                <w:spacing w:val="11"/>
                <w:sz w:val="19"/>
                <w:szCs w:val="19"/>
              </w:rPr>
              <w:t xml:space="preserve"> </w:t>
            </w:r>
            <w:r>
              <w:rPr>
                <w:rFonts w:hint="eastAsia" w:ascii="宋体" w:hAnsi="宋体"/>
                <w:spacing w:val="2"/>
                <w:sz w:val="19"/>
                <w:szCs w:val="19"/>
              </w:rPr>
              <w:t>复的用途的，计1分；⑤未发生截</w:t>
            </w:r>
            <w:r>
              <w:rPr>
                <w:rFonts w:hint="eastAsia" w:ascii="宋体" w:hAnsi="宋体"/>
                <w:spacing w:val="6"/>
                <w:sz w:val="19"/>
                <w:szCs w:val="19"/>
              </w:rPr>
              <w:t xml:space="preserve"> </w:t>
            </w:r>
            <w:r>
              <w:rPr>
                <w:rFonts w:hint="eastAsia" w:ascii="宋体" w:hAnsi="宋体"/>
                <w:sz w:val="19"/>
                <w:szCs w:val="19"/>
              </w:rPr>
              <w:t>留、挤占、挪用、虚列支出等情况</w:t>
            </w:r>
            <w:r>
              <w:rPr>
                <w:rFonts w:hint="eastAsia" w:ascii="宋体" w:hAnsi="宋体"/>
                <w:spacing w:val="7"/>
                <w:sz w:val="19"/>
                <w:szCs w:val="19"/>
              </w:rPr>
              <w:t xml:space="preserve"> </w:t>
            </w:r>
            <w:r>
              <w:rPr>
                <w:rFonts w:hint="eastAsia" w:ascii="宋体" w:hAnsi="宋体"/>
                <w:spacing w:val="9"/>
                <w:sz w:val="19"/>
                <w:szCs w:val="19"/>
              </w:rPr>
              <w:t>的，计1分。</w:t>
            </w:r>
          </w:p>
        </w:tc>
        <w:tc>
          <w:tcPr>
            <w:tcW w:w="645" w:type="dxa"/>
            <w:tcBorders>
              <w:top w:val="single" w:color="000000" w:sz="4" w:space="0"/>
              <w:left w:val="single" w:color="000000" w:sz="4" w:space="0"/>
              <w:bottom w:val="single" w:color="000000" w:sz="4" w:space="0"/>
              <w:right w:val="single" w:color="000000" w:sz="4" w:space="0"/>
            </w:tcBorders>
            <w:vAlign w:val="center"/>
          </w:tcPr>
          <w:p w14:paraId="4B83C1B4">
            <w:pPr>
              <w:pStyle w:val="10"/>
              <w:jc w:val="center"/>
              <w:rPr>
                <w:rFonts w:hint="eastAsia" w:eastAsia="宋体"/>
                <w:sz w:val="20"/>
                <w:lang w:val="en-US" w:eastAsia="zh-CN"/>
              </w:rPr>
            </w:pPr>
            <w:r>
              <w:rPr>
                <w:rFonts w:hint="eastAsia"/>
                <w:sz w:val="20"/>
                <w:lang w:val="en-US" w:eastAsia="zh-CN"/>
              </w:rPr>
              <w:t>5</w:t>
            </w:r>
          </w:p>
        </w:tc>
      </w:tr>
      <w:tr w14:paraId="29BC1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4" w:hRule="atLeast"/>
        </w:trPr>
        <w:tc>
          <w:tcPr>
            <w:tcW w:w="674" w:type="dxa"/>
            <w:vMerge w:val="continue"/>
            <w:tcBorders>
              <w:top w:val="nil"/>
              <w:left w:val="single" w:color="000000" w:sz="4" w:space="0"/>
              <w:bottom w:val="nil"/>
              <w:right w:val="single" w:color="000000" w:sz="4" w:space="0"/>
            </w:tcBorders>
            <w:vAlign w:val="center"/>
          </w:tcPr>
          <w:p w14:paraId="44C8A8BB">
            <w:pPr>
              <w:kinsoku/>
              <w:autoSpaceDE/>
              <w:autoSpaceDN/>
              <w:adjustRightInd/>
              <w:snapToGrid/>
              <w:textAlignment w:val="auto"/>
              <w:rPr>
                <w:rFonts w:ascii="宋体" w:hAnsi="宋体"/>
                <w:sz w:val="19"/>
                <w:szCs w:val="19"/>
              </w:rPr>
            </w:pPr>
          </w:p>
        </w:tc>
        <w:tc>
          <w:tcPr>
            <w:tcW w:w="630" w:type="dxa"/>
            <w:vMerge w:val="continue"/>
            <w:tcBorders>
              <w:top w:val="nil"/>
              <w:left w:val="single" w:color="000000" w:sz="4" w:space="0"/>
              <w:bottom w:val="nil"/>
              <w:right w:val="single" w:color="000000" w:sz="4" w:space="0"/>
            </w:tcBorders>
            <w:vAlign w:val="center"/>
          </w:tcPr>
          <w:p w14:paraId="6B219997">
            <w:pPr>
              <w:kinsoku/>
              <w:autoSpaceDE/>
              <w:autoSpaceDN/>
              <w:adjustRightInd/>
              <w:snapToGrid/>
              <w:textAlignment w:val="auto"/>
              <w:rPr>
                <w:rFonts w:ascii="宋体" w:hAnsi="宋体"/>
                <w:sz w:val="19"/>
                <w:szCs w:val="19"/>
              </w:rPr>
            </w:pPr>
          </w:p>
        </w:tc>
        <w:tc>
          <w:tcPr>
            <w:tcW w:w="679" w:type="dxa"/>
            <w:tcBorders>
              <w:top w:val="single" w:color="000000" w:sz="4" w:space="0"/>
              <w:left w:val="single" w:color="000000" w:sz="4" w:space="0"/>
              <w:bottom w:val="single" w:color="000000" w:sz="4" w:space="0"/>
              <w:right w:val="single" w:color="000000" w:sz="4" w:space="0"/>
            </w:tcBorders>
          </w:tcPr>
          <w:p w14:paraId="1709E5E1">
            <w:pPr>
              <w:spacing w:before="215"/>
              <w:ind w:left="141" w:right="134"/>
              <w:rPr>
                <w:rFonts w:ascii="宋体" w:hAnsi="宋体"/>
                <w:sz w:val="19"/>
                <w:szCs w:val="19"/>
              </w:rPr>
            </w:pPr>
            <w:r>
              <w:rPr>
                <w:rFonts w:hint="eastAsia" w:ascii="宋体" w:hAnsi="宋体"/>
                <w:spacing w:val="-5"/>
                <w:sz w:val="19"/>
                <w:szCs w:val="19"/>
              </w:rPr>
              <w:t>预决</w:t>
            </w:r>
            <w:r>
              <w:rPr>
                <w:rFonts w:hint="eastAsia" w:ascii="宋体" w:hAnsi="宋体"/>
                <w:sz w:val="19"/>
                <w:szCs w:val="19"/>
              </w:rPr>
              <w:t xml:space="preserve"> </w:t>
            </w:r>
            <w:r>
              <w:rPr>
                <w:rFonts w:hint="eastAsia" w:ascii="宋体" w:hAnsi="宋体"/>
                <w:spacing w:val="6"/>
                <w:sz w:val="19"/>
                <w:szCs w:val="19"/>
              </w:rPr>
              <w:t>算信</w:t>
            </w:r>
          </w:p>
          <w:p w14:paraId="5BD29A62">
            <w:pPr>
              <w:spacing w:before="17" w:line="242" w:lineRule="auto"/>
              <w:ind w:left="141" w:right="136"/>
              <w:rPr>
                <w:rFonts w:ascii="宋体" w:hAnsi="宋体"/>
                <w:sz w:val="19"/>
                <w:szCs w:val="19"/>
              </w:rPr>
            </w:pPr>
            <w:r>
              <w:rPr>
                <w:rFonts w:hint="eastAsia" w:ascii="宋体" w:hAnsi="宋体"/>
                <w:spacing w:val="5"/>
                <w:sz w:val="19"/>
                <w:szCs w:val="19"/>
              </w:rPr>
              <w:t>息公</w:t>
            </w:r>
            <w:r>
              <w:rPr>
                <w:rFonts w:hint="eastAsia" w:ascii="宋体" w:hAnsi="宋体"/>
                <w:sz w:val="19"/>
                <w:szCs w:val="19"/>
              </w:rPr>
              <w:t xml:space="preserve"> </w:t>
            </w:r>
            <w:r>
              <w:rPr>
                <w:rFonts w:hint="eastAsia" w:ascii="宋体" w:hAnsi="宋体"/>
                <w:spacing w:val="-3"/>
                <w:sz w:val="19"/>
                <w:szCs w:val="19"/>
              </w:rPr>
              <w:t>开性</w:t>
            </w:r>
          </w:p>
        </w:tc>
        <w:tc>
          <w:tcPr>
            <w:tcW w:w="479" w:type="dxa"/>
            <w:tcBorders>
              <w:top w:val="single" w:color="000000" w:sz="4" w:space="0"/>
              <w:left w:val="single" w:color="000000" w:sz="4" w:space="0"/>
              <w:bottom w:val="single" w:color="000000" w:sz="4" w:space="0"/>
              <w:right w:val="single" w:color="000000" w:sz="4" w:space="0"/>
            </w:tcBorders>
          </w:tcPr>
          <w:p w14:paraId="22486725">
            <w:pPr>
              <w:pStyle w:val="10"/>
              <w:spacing w:line="244" w:lineRule="auto"/>
              <w:rPr>
                <w:sz w:val="21"/>
              </w:rPr>
            </w:pPr>
          </w:p>
          <w:p w14:paraId="7253275A">
            <w:pPr>
              <w:pStyle w:val="10"/>
              <w:spacing w:line="244" w:lineRule="auto"/>
              <w:rPr>
                <w:sz w:val="20"/>
              </w:rPr>
            </w:pPr>
          </w:p>
          <w:p w14:paraId="54B9953E">
            <w:pPr>
              <w:spacing w:before="61"/>
              <w:ind w:left="182"/>
              <w:rPr>
                <w:rFonts w:ascii="宋体" w:hAnsi="宋体"/>
                <w:sz w:val="19"/>
                <w:szCs w:val="19"/>
              </w:rPr>
            </w:pPr>
            <w:r>
              <w:rPr>
                <w:rFonts w:hint="eastAsia" w:ascii="宋体" w:hAnsi="宋体"/>
                <w:sz w:val="19"/>
                <w:szCs w:val="19"/>
              </w:rPr>
              <w:t>2</w:t>
            </w:r>
          </w:p>
        </w:tc>
        <w:tc>
          <w:tcPr>
            <w:tcW w:w="4106" w:type="dxa"/>
            <w:tcBorders>
              <w:top w:val="single" w:color="000000" w:sz="4" w:space="0"/>
              <w:left w:val="single" w:color="000000" w:sz="4" w:space="0"/>
              <w:bottom w:val="single" w:color="000000" w:sz="4" w:space="0"/>
              <w:right w:val="single" w:color="000000" w:sz="4" w:space="0"/>
            </w:tcBorders>
          </w:tcPr>
          <w:p w14:paraId="211ABCD6">
            <w:pPr>
              <w:spacing w:before="197"/>
              <w:ind w:left="13" w:firstLine="39"/>
              <w:jc w:val="both"/>
              <w:rPr>
                <w:rFonts w:ascii="宋体" w:hAnsi="宋体"/>
                <w:sz w:val="19"/>
                <w:szCs w:val="19"/>
              </w:rPr>
            </w:pPr>
            <w:r>
              <w:rPr>
                <w:rFonts w:hint="eastAsia" w:ascii="宋体" w:hAnsi="宋体"/>
                <w:spacing w:val="-5"/>
                <w:sz w:val="19"/>
                <w:szCs w:val="19"/>
              </w:rPr>
              <w:t>部门(单位)是否按照政府信息公开有关规定公开</w:t>
            </w:r>
            <w:r>
              <w:rPr>
                <w:rFonts w:hint="eastAsia" w:ascii="宋体" w:hAnsi="宋体"/>
                <w:spacing w:val="5"/>
                <w:sz w:val="19"/>
                <w:szCs w:val="19"/>
              </w:rPr>
              <w:t xml:space="preserve">  </w:t>
            </w:r>
            <w:r>
              <w:rPr>
                <w:rFonts w:hint="eastAsia" w:ascii="宋体" w:hAnsi="宋体"/>
                <w:spacing w:val="-3"/>
                <w:sz w:val="19"/>
                <w:szCs w:val="19"/>
              </w:rPr>
              <w:t>相关预决算信息，用以反映和考核部门(单位)预</w:t>
            </w:r>
            <w:r>
              <w:rPr>
                <w:rFonts w:hint="eastAsia" w:ascii="宋体" w:hAnsi="宋体"/>
                <w:spacing w:val="4"/>
                <w:sz w:val="19"/>
                <w:szCs w:val="19"/>
              </w:rPr>
              <w:t xml:space="preserve">  </w:t>
            </w:r>
            <w:r>
              <w:rPr>
                <w:rFonts w:hint="eastAsia" w:ascii="宋体" w:hAnsi="宋体"/>
                <w:spacing w:val="-8"/>
                <w:sz w:val="19"/>
                <w:szCs w:val="19"/>
              </w:rPr>
              <w:t>决算管理的公开透明情况。预决算信息是指与部门</w:t>
            </w:r>
            <w:r>
              <w:rPr>
                <w:rFonts w:hint="eastAsia" w:ascii="宋体" w:hAnsi="宋体"/>
                <w:spacing w:val="5"/>
                <w:sz w:val="19"/>
                <w:szCs w:val="19"/>
              </w:rPr>
              <w:t xml:space="preserve"> </w:t>
            </w:r>
            <w:r>
              <w:rPr>
                <w:rFonts w:hint="eastAsia" w:ascii="宋体" w:hAnsi="宋体"/>
                <w:spacing w:val="-13"/>
                <w:sz w:val="19"/>
                <w:szCs w:val="19"/>
              </w:rPr>
              <w:t>预算、执行、决算、监督、绩效等管理相关的信息。</w:t>
            </w:r>
          </w:p>
        </w:tc>
        <w:tc>
          <w:tcPr>
            <w:tcW w:w="2997" w:type="dxa"/>
            <w:tcBorders>
              <w:top w:val="single" w:color="000000" w:sz="4" w:space="0"/>
              <w:left w:val="single" w:color="000000" w:sz="4" w:space="0"/>
              <w:bottom w:val="single" w:color="000000" w:sz="4" w:space="0"/>
              <w:right w:val="single" w:color="000000" w:sz="4" w:space="0"/>
            </w:tcBorders>
          </w:tcPr>
          <w:p w14:paraId="24A6B973">
            <w:pPr>
              <w:pStyle w:val="10"/>
              <w:spacing w:line="348" w:lineRule="auto"/>
              <w:rPr>
                <w:sz w:val="21"/>
              </w:rPr>
            </w:pPr>
          </w:p>
          <w:p w14:paraId="0C66D850">
            <w:pPr>
              <w:spacing w:before="62" w:line="254" w:lineRule="auto"/>
              <w:ind w:left="117" w:right="24"/>
              <w:jc w:val="both"/>
              <w:rPr>
                <w:rFonts w:ascii="宋体" w:hAnsi="宋体"/>
                <w:sz w:val="19"/>
                <w:szCs w:val="19"/>
              </w:rPr>
            </w:pPr>
            <w:r>
              <w:rPr>
                <w:rFonts w:hint="eastAsia" w:ascii="宋体" w:hAnsi="宋体"/>
                <w:spacing w:val="-1"/>
                <w:sz w:val="19"/>
                <w:szCs w:val="19"/>
              </w:rPr>
              <w:t>①按规定内容公开预决算信息的，</w:t>
            </w:r>
            <w:r>
              <w:rPr>
                <w:rFonts w:hint="eastAsia" w:ascii="宋体" w:hAnsi="宋体"/>
                <w:spacing w:val="8"/>
                <w:sz w:val="19"/>
                <w:szCs w:val="19"/>
              </w:rPr>
              <w:t xml:space="preserve"> </w:t>
            </w:r>
            <w:r>
              <w:rPr>
                <w:rFonts w:hint="eastAsia" w:ascii="宋体" w:hAnsi="宋体"/>
                <w:spacing w:val="-1"/>
                <w:sz w:val="19"/>
                <w:szCs w:val="19"/>
              </w:rPr>
              <w:t>计1分；②按规定时限公开预决算</w:t>
            </w:r>
            <w:r>
              <w:rPr>
                <w:rFonts w:hint="eastAsia" w:ascii="宋体" w:hAnsi="宋体"/>
                <w:spacing w:val="3"/>
                <w:sz w:val="19"/>
                <w:szCs w:val="19"/>
              </w:rPr>
              <w:t xml:space="preserve">  </w:t>
            </w:r>
            <w:r>
              <w:rPr>
                <w:rFonts w:hint="eastAsia" w:ascii="宋体" w:hAnsi="宋体"/>
                <w:spacing w:val="-1"/>
                <w:sz w:val="19"/>
                <w:szCs w:val="19"/>
              </w:rPr>
              <w:t>信息的，计1分。</w:t>
            </w:r>
          </w:p>
        </w:tc>
        <w:tc>
          <w:tcPr>
            <w:tcW w:w="645" w:type="dxa"/>
            <w:tcBorders>
              <w:top w:val="single" w:color="000000" w:sz="4" w:space="0"/>
              <w:left w:val="single" w:color="000000" w:sz="4" w:space="0"/>
              <w:bottom w:val="single" w:color="000000" w:sz="4" w:space="0"/>
              <w:right w:val="single" w:color="000000" w:sz="4" w:space="0"/>
            </w:tcBorders>
            <w:vAlign w:val="center"/>
          </w:tcPr>
          <w:p w14:paraId="3BA5A2AD">
            <w:pPr>
              <w:pStyle w:val="10"/>
              <w:jc w:val="center"/>
              <w:rPr>
                <w:rFonts w:hint="eastAsia" w:eastAsia="宋体"/>
                <w:sz w:val="20"/>
                <w:lang w:val="en-US" w:eastAsia="zh-CN"/>
              </w:rPr>
            </w:pPr>
            <w:r>
              <w:rPr>
                <w:rFonts w:hint="eastAsia"/>
                <w:sz w:val="20"/>
                <w:lang w:val="en-US" w:eastAsia="zh-CN"/>
              </w:rPr>
              <w:t>2</w:t>
            </w:r>
          </w:p>
        </w:tc>
      </w:tr>
    </w:tbl>
    <w:p w14:paraId="36E56338">
      <w:pPr>
        <w:kinsoku/>
        <w:autoSpaceDE/>
        <w:autoSpaceDN/>
        <w:adjustRightInd/>
        <w:snapToGrid/>
        <w:textAlignment w:val="auto"/>
        <w:sectPr>
          <w:pgSz w:w="11900" w:h="16830"/>
          <w:pgMar w:top="1088" w:right="1024" w:bottom="1020" w:left="850" w:header="0" w:footer="949" w:gutter="0"/>
          <w:cols w:space="720" w:num="1"/>
        </w:sectPr>
      </w:pPr>
    </w:p>
    <w:p w14:paraId="4E203C5C">
      <w:pPr>
        <w:spacing w:before="36"/>
      </w:pPr>
      <w:r>
        <w:t xml:space="preserve"> </w:t>
      </w:r>
    </w:p>
    <w:tbl>
      <w:tblPr>
        <w:tblStyle w:val="12"/>
        <w:tblW w:w="10179"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4"/>
        <w:gridCol w:w="640"/>
        <w:gridCol w:w="669"/>
        <w:gridCol w:w="489"/>
        <w:gridCol w:w="4086"/>
        <w:gridCol w:w="2987"/>
        <w:gridCol w:w="644"/>
      </w:tblGrid>
      <w:tr w14:paraId="624E63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664" w:type="dxa"/>
            <w:tcBorders>
              <w:top w:val="single" w:color="000000" w:sz="4" w:space="0"/>
              <w:left w:val="single" w:color="000000" w:sz="4" w:space="0"/>
              <w:bottom w:val="single" w:color="000000" w:sz="4" w:space="0"/>
              <w:right w:val="single" w:color="000000" w:sz="4" w:space="0"/>
            </w:tcBorders>
          </w:tcPr>
          <w:p w14:paraId="2CF0C106">
            <w:pPr>
              <w:spacing w:before="82"/>
              <w:ind w:left="127"/>
              <w:rPr>
                <w:rFonts w:ascii="宋体" w:hAnsi="宋体"/>
                <w:sz w:val="18"/>
                <w:szCs w:val="18"/>
              </w:rPr>
            </w:pPr>
            <w:r>
              <w:rPr>
                <w:rFonts w:hint="eastAsia" w:ascii="宋体" w:hAnsi="宋体"/>
                <w:b/>
                <w:bCs/>
                <w:spacing w:val="-7"/>
                <w:sz w:val="18"/>
                <w:szCs w:val="18"/>
              </w:rPr>
              <w:t>一级</w:t>
            </w:r>
          </w:p>
          <w:p w14:paraId="563FC7D1">
            <w:pPr>
              <w:spacing w:before="32"/>
              <w:ind w:left="127"/>
              <w:rPr>
                <w:rFonts w:ascii="宋体" w:hAnsi="宋体"/>
                <w:sz w:val="18"/>
                <w:szCs w:val="18"/>
              </w:rPr>
            </w:pPr>
            <w:r>
              <w:rPr>
                <w:rFonts w:hint="eastAsia" w:ascii="宋体" w:hAnsi="宋体"/>
                <w:b/>
                <w:bCs/>
                <w:spacing w:val="-5"/>
                <w:sz w:val="18"/>
                <w:szCs w:val="18"/>
              </w:rPr>
              <w:t>指标</w:t>
            </w:r>
          </w:p>
        </w:tc>
        <w:tc>
          <w:tcPr>
            <w:tcW w:w="640" w:type="dxa"/>
            <w:tcBorders>
              <w:top w:val="single" w:color="000000" w:sz="4" w:space="0"/>
              <w:left w:val="single" w:color="000000" w:sz="4" w:space="0"/>
              <w:bottom w:val="single" w:color="000000" w:sz="4" w:space="0"/>
              <w:right w:val="single" w:color="000000" w:sz="4" w:space="0"/>
            </w:tcBorders>
          </w:tcPr>
          <w:p w14:paraId="22068CEC">
            <w:pPr>
              <w:spacing w:before="102"/>
              <w:ind w:left="133"/>
              <w:rPr>
                <w:rFonts w:ascii="宋体" w:hAnsi="宋体"/>
                <w:sz w:val="18"/>
                <w:szCs w:val="18"/>
              </w:rPr>
            </w:pPr>
            <w:r>
              <w:rPr>
                <w:rFonts w:hint="eastAsia" w:ascii="宋体" w:hAnsi="宋体"/>
                <w:b/>
                <w:bCs/>
                <w:spacing w:val="-5"/>
                <w:sz w:val="18"/>
                <w:szCs w:val="18"/>
              </w:rPr>
              <w:t>二级</w:t>
            </w:r>
          </w:p>
          <w:p w14:paraId="102DAC2D">
            <w:pPr>
              <w:spacing w:before="12"/>
              <w:ind w:left="133"/>
              <w:rPr>
                <w:rFonts w:ascii="宋体" w:hAnsi="宋体"/>
                <w:sz w:val="18"/>
                <w:szCs w:val="18"/>
              </w:rPr>
            </w:pPr>
            <w:r>
              <w:rPr>
                <w:rFonts w:hint="eastAsia" w:ascii="宋体" w:hAnsi="宋体"/>
                <w:b/>
                <w:bCs/>
                <w:spacing w:val="-5"/>
                <w:sz w:val="18"/>
                <w:szCs w:val="18"/>
              </w:rPr>
              <w:t>指标</w:t>
            </w:r>
          </w:p>
        </w:tc>
        <w:tc>
          <w:tcPr>
            <w:tcW w:w="669" w:type="dxa"/>
            <w:tcBorders>
              <w:top w:val="single" w:color="000000" w:sz="4" w:space="0"/>
              <w:left w:val="single" w:color="000000" w:sz="4" w:space="0"/>
              <w:bottom w:val="single" w:color="000000" w:sz="4" w:space="0"/>
              <w:right w:val="single" w:color="000000" w:sz="4" w:space="0"/>
            </w:tcBorders>
          </w:tcPr>
          <w:p w14:paraId="05B3C08C">
            <w:pPr>
              <w:spacing w:before="102"/>
              <w:ind w:left="143"/>
              <w:rPr>
                <w:rFonts w:ascii="宋体" w:hAnsi="宋体"/>
                <w:sz w:val="18"/>
                <w:szCs w:val="18"/>
              </w:rPr>
            </w:pPr>
            <w:r>
              <w:rPr>
                <w:rFonts w:hint="eastAsia" w:ascii="宋体" w:hAnsi="宋体"/>
                <w:b/>
                <w:bCs/>
                <w:spacing w:val="-4"/>
                <w:sz w:val="18"/>
                <w:szCs w:val="18"/>
              </w:rPr>
              <w:t>三级</w:t>
            </w:r>
          </w:p>
          <w:p w14:paraId="4B9AE48F">
            <w:pPr>
              <w:spacing w:before="12"/>
              <w:ind w:left="143"/>
              <w:rPr>
                <w:rFonts w:ascii="宋体" w:hAnsi="宋体"/>
                <w:sz w:val="18"/>
                <w:szCs w:val="18"/>
              </w:rPr>
            </w:pPr>
            <w:r>
              <w:rPr>
                <w:rFonts w:hint="eastAsia" w:ascii="宋体" w:hAnsi="宋体"/>
                <w:b/>
                <w:bCs/>
                <w:spacing w:val="-5"/>
                <w:sz w:val="18"/>
                <w:szCs w:val="18"/>
              </w:rPr>
              <w:t>指标</w:t>
            </w:r>
          </w:p>
        </w:tc>
        <w:tc>
          <w:tcPr>
            <w:tcW w:w="489" w:type="dxa"/>
            <w:tcBorders>
              <w:top w:val="single" w:color="000000" w:sz="4" w:space="0"/>
              <w:left w:val="single" w:color="000000" w:sz="4" w:space="0"/>
              <w:bottom w:val="single" w:color="000000" w:sz="4" w:space="0"/>
              <w:right w:val="single" w:color="000000" w:sz="4" w:space="0"/>
            </w:tcBorders>
          </w:tcPr>
          <w:p w14:paraId="327C6AFD">
            <w:pPr>
              <w:spacing w:before="163"/>
              <w:ind w:left="51"/>
              <w:rPr>
                <w:rFonts w:ascii="宋体" w:hAnsi="宋体"/>
                <w:sz w:val="18"/>
                <w:szCs w:val="18"/>
              </w:rPr>
            </w:pPr>
            <w:r>
              <w:rPr>
                <w:rFonts w:hint="eastAsia" w:ascii="宋体" w:hAnsi="宋体"/>
                <w:b/>
                <w:bCs/>
                <w:spacing w:val="-2"/>
                <w:sz w:val="18"/>
                <w:szCs w:val="18"/>
              </w:rPr>
              <w:t>分</w:t>
            </w:r>
            <w:r>
              <w:rPr>
                <w:rFonts w:hint="eastAsia" w:ascii="宋体" w:hAnsi="宋体"/>
                <w:spacing w:val="44"/>
                <w:sz w:val="18"/>
                <w:szCs w:val="18"/>
              </w:rPr>
              <w:t xml:space="preserve"> </w:t>
            </w:r>
            <w:r>
              <w:rPr>
                <w:rFonts w:hint="eastAsia" w:ascii="宋体" w:hAnsi="宋体"/>
                <w:b/>
                <w:bCs/>
                <w:spacing w:val="-2"/>
                <w:sz w:val="18"/>
                <w:szCs w:val="18"/>
              </w:rPr>
              <w:t>值</w:t>
            </w:r>
          </w:p>
        </w:tc>
        <w:tc>
          <w:tcPr>
            <w:tcW w:w="4086" w:type="dxa"/>
            <w:tcBorders>
              <w:top w:val="single" w:color="000000" w:sz="4" w:space="0"/>
              <w:left w:val="single" w:color="000000" w:sz="4" w:space="0"/>
              <w:bottom w:val="single" w:color="000000" w:sz="4" w:space="0"/>
              <w:right w:val="single" w:color="000000" w:sz="4" w:space="0"/>
            </w:tcBorders>
          </w:tcPr>
          <w:p w14:paraId="7B3DD911">
            <w:pPr>
              <w:spacing w:before="220"/>
              <w:ind w:left="1125"/>
              <w:rPr>
                <w:rFonts w:ascii="宋体" w:hAnsi="宋体"/>
                <w:sz w:val="18"/>
                <w:szCs w:val="18"/>
              </w:rPr>
            </w:pPr>
            <w:r>
              <w:rPr>
                <w:rFonts w:hint="eastAsia" w:ascii="宋体" w:hAnsi="宋体"/>
                <w:b/>
                <w:bCs/>
                <w:spacing w:val="-3"/>
                <w:sz w:val="18"/>
                <w:szCs w:val="18"/>
              </w:rPr>
              <w:t>指标解释/绩效目标内容</w:t>
            </w:r>
          </w:p>
        </w:tc>
        <w:tc>
          <w:tcPr>
            <w:tcW w:w="2987" w:type="dxa"/>
            <w:tcBorders>
              <w:top w:val="single" w:color="000000" w:sz="4" w:space="0"/>
              <w:left w:val="single" w:color="000000" w:sz="4" w:space="0"/>
              <w:bottom w:val="single" w:color="000000" w:sz="4" w:space="0"/>
              <w:right w:val="single" w:color="000000" w:sz="4" w:space="0"/>
            </w:tcBorders>
          </w:tcPr>
          <w:p w14:paraId="510E4CB8">
            <w:pPr>
              <w:spacing w:before="220"/>
              <w:ind w:left="1129"/>
              <w:rPr>
                <w:rFonts w:ascii="宋体" w:hAnsi="宋体"/>
                <w:sz w:val="18"/>
                <w:szCs w:val="18"/>
              </w:rPr>
            </w:pPr>
            <w:r>
              <w:rPr>
                <w:rFonts w:hint="eastAsia" w:ascii="宋体" w:hAnsi="宋体"/>
                <w:b/>
                <w:bCs/>
                <w:spacing w:val="-4"/>
                <w:sz w:val="18"/>
                <w:szCs w:val="18"/>
              </w:rPr>
              <w:t>评分标准</w:t>
            </w:r>
          </w:p>
        </w:tc>
        <w:tc>
          <w:tcPr>
            <w:tcW w:w="644" w:type="dxa"/>
            <w:tcBorders>
              <w:top w:val="single" w:color="000000" w:sz="4" w:space="0"/>
              <w:left w:val="single" w:color="000000" w:sz="4" w:space="0"/>
              <w:bottom w:val="single" w:color="000000" w:sz="4" w:space="0"/>
              <w:right w:val="single" w:color="000000" w:sz="4" w:space="0"/>
            </w:tcBorders>
          </w:tcPr>
          <w:p w14:paraId="670F7335">
            <w:pPr>
              <w:spacing w:before="80"/>
              <w:ind w:left="142"/>
              <w:rPr>
                <w:rFonts w:ascii="宋体" w:hAnsi="宋体"/>
                <w:sz w:val="18"/>
                <w:szCs w:val="18"/>
              </w:rPr>
            </w:pPr>
            <w:r>
              <w:rPr>
                <w:rFonts w:hint="eastAsia" w:ascii="宋体" w:hAnsi="宋体"/>
                <w:b/>
                <w:bCs/>
                <w:spacing w:val="-1"/>
                <w:sz w:val="18"/>
                <w:szCs w:val="18"/>
              </w:rPr>
              <w:t>自评</w:t>
            </w:r>
          </w:p>
          <w:p w14:paraId="24A6E24D">
            <w:pPr>
              <w:spacing w:before="25"/>
              <w:ind w:left="142"/>
              <w:rPr>
                <w:rFonts w:ascii="宋体" w:hAnsi="宋体"/>
                <w:sz w:val="18"/>
                <w:szCs w:val="18"/>
              </w:rPr>
            </w:pPr>
            <w:r>
              <w:rPr>
                <w:rFonts w:hint="eastAsia" w:ascii="宋体" w:hAnsi="宋体"/>
                <w:b/>
                <w:bCs/>
                <w:spacing w:val="-4"/>
                <w:sz w:val="18"/>
                <w:szCs w:val="18"/>
              </w:rPr>
              <w:t>得分</w:t>
            </w:r>
          </w:p>
        </w:tc>
      </w:tr>
      <w:tr w14:paraId="760DB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9" w:hRule="atLeast"/>
        </w:trPr>
        <w:tc>
          <w:tcPr>
            <w:tcW w:w="664" w:type="dxa"/>
            <w:vMerge w:val="restart"/>
            <w:tcBorders>
              <w:top w:val="nil"/>
              <w:left w:val="single" w:color="000000" w:sz="4" w:space="0"/>
              <w:bottom w:val="nil"/>
              <w:right w:val="single" w:color="000000" w:sz="4" w:space="0"/>
            </w:tcBorders>
          </w:tcPr>
          <w:p w14:paraId="4048B3EE">
            <w:pPr>
              <w:spacing w:before="265"/>
              <w:ind w:left="2101"/>
              <w:rPr>
                <w:rFonts w:ascii="宋体" w:hAnsi="宋体"/>
                <w:sz w:val="18"/>
                <w:szCs w:val="18"/>
              </w:rPr>
            </w:pPr>
            <w:r>
              <w:rPr>
                <w:rFonts w:hint="eastAsia" w:ascii="宋体" w:hAnsi="宋体"/>
                <w:sz w:val="18"/>
                <w:szCs w:val="18"/>
              </w:rPr>
              <w:t>过程</w:t>
            </w:r>
          </w:p>
        </w:tc>
        <w:tc>
          <w:tcPr>
            <w:tcW w:w="640" w:type="dxa"/>
            <w:tcBorders>
              <w:top w:val="single" w:color="000000" w:sz="4" w:space="0"/>
              <w:left w:val="single" w:color="000000" w:sz="4" w:space="0"/>
              <w:bottom w:val="single" w:color="000000" w:sz="4" w:space="0"/>
              <w:right w:val="single" w:color="000000" w:sz="4" w:space="0"/>
            </w:tcBorders>
          </w:tcPr>
          <w:p w14:paraId="6C4EAA53">
            <w:pPr>
              <w:spacing w:before="47"/>
              <w:ind w:left="131"/>
              <w:rPr>
                <w:rFonts w:ascii="宋体" w:hAnsi="宋体"/>
                <w:sz w:val="18"/>
                <w:szCs w:val="18"/>
              </w:rPr>
            </w:pPr>
            <w:r>
              <w:rPr>
                <w:rFonts w:hint="eastAsia" w:ascii="宋体" w:hAnsi="宋体"/>
                <w:spacing w:val="-3"/>
                <w:sz w:val="18"/>
                <w:szCs w:val="18"/>
              </w:rPr>
              <w:t>预算</w:t>
            </w:r>
          </w:p>
          <w:p w14:paraId="3ABF03BA">
            <w:pPr>
              <w:ind w:left="170" w:right="149" w:hanging="39"/>
              <w:jc w:val="both"/>
              <w:rPr>
                <w:rFonts w:ascii="宋体" w:hAnsi="宋体"/>
                <w:sz w:val="18"/>
                <w:szCs w:val="18"/>
              </w:rPr>
            </w:pPr>
            <w:r>
              <w:rPr>
                <w:rFonts w:hint="eastAsia" w:ascii="宋体" w:hAnsi="宋体"/>
                <w:spacing w:val="-6"/>
                <w:sz w:val="18"/>
                <w:szCs w:val="18"/>
              </w:rPr>
              <w:t>管理</w:t>
            </w:r>
            <w:r>
              <w:rPr>
                <w:rFonts w:hint="eastAsia" w:ascii="宋体" w:hAnsi="宋体"/>
                <w:sz w:val="18"/>
                <w:szCs w:val="18"/>
              </w:rPr>
              <w:t xml:space="preserve"> </w:t>
            </w:r>
            <w:r>
              <w:rPr>
                <w:rFonts w:hint="eastAsia" w:ascii="宋体" w:hAnsi="宋体"/>
                <w:spacing w:val="-13"/>
                <w:sz w:val="18"/>
                <w:szCs w:val="18"/>
              </w:rPr>
              <w:t>(15</w:t>
            </w:r>
            <w:r>
              <w:rPr>
                <w:rFonts w:hint="eastAsia" w:ascii="宋体" w:hAnsi="宋体"/>
                <w:sz w:val="18"/>
                <w:szCs w:val="18"/>
              </w:rPr>
              <w:t xml:space="preserve">  </w:t>
            </w:r>
            <w:r>
              <w:rPr>
                <w:rFonts w:hint="eastAsia" w:ascii="宋体" w:hAnsi="宋体"/>
                <w:spacing w:val="-9"/>
                <w:sz w:val="18"/>
                <w:szCs w:val="18"/>
              </w:rPr>
              <w:t>分</w:t>
            </w:r>
            <w:r>
              <w:rPr>
                <w:rFonts w:hint="eastAsia" w:ascii="宋体" w:hAnsi="宋体"/>
                <w:spacing w:val="-34"/>
                <w:sz w:val="18"/>
                <w:szCs w:val="18"/>
              </w:rPr>
              <w:t xml:space="preserve"> </w:t>
            </w:r>
            <w:r>
              <w:rPr>
                <w:rFonts w:hint="eastAsia" w:ascii="宋体" w:hAnsi="宋体"/>
                <w:spacing w:val="-9"/>
                <w:sz w:val="18"/>
                <w:szCs w:val="18"/>
              </w:rPr>
              <w:t>)</w:t>
            </w:r>
          </w:p>
        </w:tc>
        <w:tc>
          <w:tcPr>
            <w:tcW w:w="669" w:type="dxa"/>
            <w:tcBorders>
              <w:top w:val="single" w:color="000000" w:sz="4" w:space="0"/>
              <w:left w:val="single" w:color="000000" w:sz="4" w:space="0"/>
              <w:bottom w:val="single" w:color="000000" w:sz="4" w:space="0"/>
              <w:right w:val="single" w:color="000000" w:sz="4" w:space="0"/>
            </w:tcBorders>
          </w:tcPr>
          <w:p w14:paraId="2D47576D">
            <w:pPr>
              <w:spacing w:before="63"/>
              <w:ind w:left="141"/>
              <w:rPr>
                <w:rFonts w:ascii="宋体" w:hAnsi="宋体"/>
                <w:sz w:val="18"/>
                <w:szCs w:val="18"/>
              </w:rPr>
            </w:pPr>
            <w:r>
              <w:rPr>
                <w:rFonts w:hint="eastAsia" w:ascii="宋体" w:hAnsi="宋体"/>
                <w:spacing w:val="-2"/>
                <w:sz w:val="18"/>
                <w:szCs w:val="18"/>
              </w:rPr>
              <w:t>基础</w:t>
            </w:r>
          </w:p>
          <w:p w14:paraId="2558B779">
            <w:pPr>
              <w:ind w:left="141"/>
              <w:rPr>
                <w:rFonts w:hint="eastAsia" w:ascii="宋体" w:hAnsi="宋体"/>
                <w:sz w:val="18"/>
                <w:szCs w:val="18"/>
              </w:rPr>
            </w:pPr>
            <w:r>
              <w:rPr>
                <w:rFonts w:hint="eastAsia" w:ascii="宋体" w:hAnsi="宋体"/>
                <w:spacing w:val="6"/>
                <w:sz w:val="18"/>
                <w:szCs w:val="18"/>
              </w:rPr>
              <w:t>信息</w:t>
            </w:r>
          </w:p>
          <w:p w14:paraId="66D01F5F">
            <w:pPr>
              <w:ind w:left="141"/>
              <w:rPr>
                <w:rFonts w:hint="eastAsia" w:ascii="宋体" w:hAnsi="宋体"/>
                <w:sz w:val="18"/>
                <w:szCs w:val="18"/>
              </w:rPr>
            </w:pPr>
            <w:r>
              <w:rPr>
                <w:rFonts w:hint="eastAsia" w:ascii="宋体" w:hAnsi="宋体"/>
                <w:spacing w:val="-3"/>
                <w:sz w:val="18"/>
                <w:szCs w:val="18"/>
              </w:rPr>
              <w:t>完善</w:t>
            </w:r>
          </w:p>
          <w:p w14:paraId="1C8D15A5">
            <w:pPr>
              <w:ind w:left="230"/>
              <w:rPr>
                <w:rFonts w:ascii="宋体" w:hAnsi="宋体"/>
                <w:sz w:val="18"/>
                <w:szCs w:val="18"/>
              </w:rPr>
            </w:pPr>
            <w:r>
              <w:rPr>
                <w:rFonts w:hint="eastAsia" w:ascii="宋体" w:hAnsi="宋体"/>
                <w:sz w:val="18"/>
                <w:szCs w:val="18"/>
              </w:rPr>
              <w:t>性</w:t>
            </w:r>
          </w:p>
        </w:tc>
        <w:tc>
          <w:tcPr>
            <w:tcW w:w="489" w:type="dxa"/>
            <w:tcBorders>
              <w:top w:val="single" w:color="000000" w:sz="4" w:space="0"/>
              <w:left w:val="single" w:color="000000" w:sz="4" w:space="0"/>
              <w:bottom w:val="single" w:color="000000" w:sz="4" w:space="0"/>
              <w:right w:val="single" w:color="000000" w:sz="4" w:space="0"/>
            </w:tcBorders>
          </w:tcPr>
          <w:p w14:paraId="2A810ED2">
            <w:pPr>
              <w:pStyle w:val="10"/>
              <w:spacing w:line="304" w:lineRule="auto"/>
              <w:rPr>
                <w:sz w:val="21"/>
              </w:rPr>
            </w:pPr>
          </w:p>
          <w:p w14:paraId="5A6DD740">
            <w:pPr>
              <w:spacing w:before="58"/>
              <w:ind w:left="192"/>
              <w:rPr>
                <w:rFonts w:ascii="宋体" w:hAnsi="宋体"/>
                <w:sz w:val="18"/>
                <w:szCs w:val="18"/>
              </w:rPr>
            </w:pPr>
            <w:r>
              <w:rPr>
                <w:rFonts w:hint="eastAsia" w:ascii="宋体" w:hAnsi="宋体"/>
                <w:sz w:val="18"/>
                <w:szCs w:val="18"/>
              </w:rPr>
              <w:t>2</w:t>
            </w:r>
          </w:p>
        </w:tc>
        <w:tc>
          <w:tcPr>
            <w:tcW w:w="4086" w:type="dxa"/>
            <w:tcBorders>
              <w:top w:val="single" w:color="000000" w:sz="4" w:space="0"/>
              <w:left w:val="single" w:color="000000" w:sz="4" w:space="0"/>
              <w:bottom w:val="single" w:color="000000" w:sz="4" w:space="0"/>
              <w:right w:val="single" w:color="000000" w:sz="4" w:space="0"/>
            </w:tcBorders>
          </w:tcPr>
          <w:p w14:paraId="240F16EA">
            <w:pPr>
              <w:spacing w:before="238" w:line="256" w:lineRule="auto"/>
              <w:ind w:left="73" w:right="172" w:firstLine="59"/>
              <w:rPr>
                <w:rFonts w:ascii="宋体" w:hAnsi="宋体"/>
                <w:sz w:val="18"/>
                <w:szCs w:val="18"/>
              </w:rPr>
            </w:pPr>
            <w:r>
              <w:rPr>
                <w:rFonts w:hint="eastAsia" w:ascii="宋体" w:hAnsi="宋体"/>
                <w:spacing w:val="-1"/>
                <w:sz w:val="18"/>
                <w:szCs w:val="18"/>
              </w:rPr>
              <w:t>部门(单位)基础信息是否完善，用以反映和考核</w:t>
            </w:r>
            <w:r>
              <w:rPr>
                <w:rFonts w:hint="eastAsia" w:ascii="宋体" w:hAnsi="宋体"/>
                <w:spacing w:val="11"/>
                <w:sz w:val="18"/>
                <w:szCs w:val="18"/>
              </w:rPr>
              <w:t xml:space="preserve"> </w:t>
            </w:r>
            <w:r>
              <w:rPr>
                <w:rFonts w:hint="eastAsia" w:ascii="宋体" w:hAnsi="宋体"/>
                <w:sz w:val="18"/>
                <w:szCs w:val="18"/>
              </w:rPr>
              <w:t>基础信息对预算管理工作的支撑情况。</w:t>
            </w:r>
          </w:p>
        </w:tc>
        <w:tc>
          <w:tcPr>
            <w:tcW w:w="2987" w:type="dxa"/>
            <w:tcBorders>
              <w:top w:val="single" w:color="000000" w:sz="4" w:space="0"/>
              <w:left w:val="single" w:color="000000" w:sz="4" w:space="0"/>
              <w:bottom w:val="single" w:color="000000" w:sz="4" w:space="0"/>
              <w:right w:val="single" w:color="000000" w:sz="4" w:space="0"/>
            </w:tcBorders>
          </w:tcPr>
          <w:p w14:paraId="20A08B6F">
            <w:pPr>
              <w:spacing w:before="105"/>
              <w:ind w:left="107" w:right="125" w:firstLine="29"/>
              <w:jc w:val="both"/>
              <w:rPr>
                <w:rFonts w:ascii="宋体" w:hAnsi="宋体"/>
                <w:sz w:val="18"/>
                <w:szCs w:val="18"/>
              </w:rPr>
            </w:pPr>
            <w:r>
              <w:rPr>
                <w:rFonts w:hint="eastAsia" w:ascii="宋体" w:hAnsi="宋体"/>
                <w:spacing w:val="-1"/>
                <w:sz w:val="18"/>
                <w:szCs w:val="18"/>
              </w:rPr>
              <w:t>每发生一笔违反基础数据信息和会</w:t>
            </w:r>
            <w:r>
              <w:rPr>
                <w:rFonts w:hint="eastAsia" w:ascii="宋体" w:hAnsi="宋体"/>
                <w:spacing w:val="6"/>
                <w:sz w:val="18"/>
                <w:szCs w:val="18"/>
              </w:rPr>
              <w:t xml:space="preserve"> </w:t>
            </w:r>
            <w:r>
              <w:rPr>
                <w:rFonts w:hint="eastAsia" w:ascii="宋体" w:hAnsi="宋体"/>
                <w:spacing w:val="2"/>
                <w:sz w:val="18"/>
                <w:szCs w:val="18"/>
              </w:rPr>
              <w:t>计信息资料真实性、完整性和准确</w:t>
            </w:r>
            <w:r>
              <w:rPr>
                <w:rFonts w:hint="eastAsia" w:ascii="宋体" w:hAnsi="宋体"/>
                <w:spacing w:val="12"/>
                <w:sz w:val="18"/>
                <w:szCs w:val="18"/>
              </w:rPr>
              <w:t xml:space="preserve"> </w:t>
            </w:r>
            <w:r>
              <w:rPr>
                <w:rFonts w:hint="eastAsia" w:ascii="宋体" w:hAnsi="宋体"/>
                <w:sz w:val="18"/>
                <w:szCs w:val="18"/>
              </w:rPr>
              <w:t>性的业务，扣0.5分，扣完为止。</w:t>
            </w:r>
          </w:p>
        </w:tc>
        <w:tc>
          <w:tcPr>
            <w:tcW w:w="644" w:type="dxa"/>
            <w:tcBorders>
              <w:top w:val="single" w:color="000000" w:sz="4" w:space="0"/>
              <w:left w:val="single" w:color="000000" w:sz="4" w:space="0"/>
              <w:bottom w:val="single" w:color="000000" w:sz="4" w:space="0"/>
              <w:right w:val="single" w:color="000000" w:sz="4" w:space="0"/>
            </w:tcBorders>
            <w:vAlign w:val="center"/>
          </w:tcPr>
          <w:p w14:paraId="590B239A">
            <w:pPr>
              <w:pStyle w:val="10"/>
              <w:jc w:val="center"/>
              <w:rPr>
                <w:rFonts w:hint="default" w:eastAsia="宋体"/>
                <w:color w:val="auto"/>
                <w:sz w:val="20"/>
                <w:lang w:val="en-US" w:eastAsia="zh-CN"/>
              </w:rPr>
            </w:pPr>
            <w:r>
              <w:rPr>
                <w:rFonts w:hint="eastAsia"/>
                <w:color w:val="auto"/>
                <w:sz w:val="20"/>
                <w:lang w:val="en-US" w:eastAsia="zh-CN"/>
              </w:rPr>
              <w:t>2</w:t>
            </w:r>
          </w:p>
        </w:tc>
      </w:tr>
      <w:tr w14:paraId="5BCEE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1973" w:type="dxa"/>
            <w:vMerge w:val="continue"/>
            <w:tcBorders>
              <w:top w:val="nil"/>
              <w:left w:val="single" w:color="000000" w:sz="4" w:space="0"/>
              <w:bottom w:val="nil"/>
              <w:right w:val="single" w:color="000000" w:sz="4" w:space="0"/>
            </w:tcBorders>
            <w:vAlign w:val="center"/>
          </w:tcPr>
          <w:p w14:paraId="416E894A">
            <w:pPr>
              <w:kinsoku/>
              <w:autoSpaceDE/>
              <w:autoSpaceDN/>
              <w:adjustRightInd/>
              <w:snapToGrid/>
              <w:textAlignment w:val="auto"/>
              <w:rPr>
                <w:rFonts w:ascii="宋体" w:hAnsi="宋体"/>
                <w:sz w:val="18"/>
                <w:szCs w:val="18"/>
              </w:rPr>
            </w:pPr>
          </w:p>
        </w:tc>
        <w:tc>
          <w:tcPr>
            <w:tcW w:w="640" w:type="dxa"/>
            <w:vMerge w:val="restart"/>
            <w:tcBorders>
              <w:top w:val="nil"/>
              <w:left w:val="single" w:color="000000" w:sz="4" w:space="0"/>
              <w:bottom w:val="nil"/>
              <w:right w:val="single" w:color="000000" w:sz="4" w:space="0"/>
            </w:tcBorders>
          </w:tcPr>
          <w:p w14:paraId="6D3660E1">
            <w:pPr>
              <w:pStyle w:val="10"/>
              <w:spacing w:line="268" w:lineRule="auto"/>
              <w:rPr>
                <w:sz w:val="21"/>
              </w:rPr>
            </w:pPr>
          </w:p>
          <w:p w14:paraId="7EA45787">
            <w:pPr>
              <w:pStyle w:val="10"/>
              <w:spacing w:line="268" w:lineRule="auto"/>
              <w:rPr>
                <w:sz w:val="20"/>
              </w:rPr>
            </w:pPr>
          </w:p>
          <w:p w14:paraId="5700AD1B">
            <w:pPr>
              <w:pStyle w:val="10"/>
              <w:spacing w:line="268" w:lineRule="auto"/>
              <w:rPr>
                <w:sz w:val="20"/>
              </w:rPr>
            </w:pPr>
          </w:p>
          <w:p w14:paraId="1E2B4A19">
            <w:pPr>
              <w:pStyle w:val="10"/>
              <w:spacing w:line="268" w:lineRule="auto"/>
              <w:rPr>
                <w:sz w:val="20"/>
              </w:rPr>
            </w:pPr>
          </w:p>
          <w:p w14:paraId="0F1D3171">
            <w:pPr>
              <w:pStyle w:val="10"/>
              <w:spacing w:line="268" w:lineRule="auto"/>
              <w:rPr>
                <w:sz w:val="20"/>
              </w:rPr>
            </w:pPr>
          </w:p>
          <w:p w14:paraId="7E59011C">
            <w:pPr>
              <w:spacing w:before="58"/>
              <w:ind w:left="131" w:right="127"/>
              <w:rPr>
                <w:rFonts w:ascii="宋体" w:hAnsi="宋体"/>
                <w:sz w:val="18"/>
                <w:szCs w:val="18"/>
              </w:rPr>
            </w:pPr>
            <w:r>
              <w:rPr>
                <w:rFonts w:hint="eastAsia" w:ascii="宋体" w:hAnsi="宋体"/>
                <w:spacing w:val="5"/>
                <w:sz w:val="18"/>
                <w:szCs w:val="18"/>
              </w:rPr>
              <w:t>资产</w:t>
            </w:r>
            <w:r>
              <w:rPr>
                <w:rFonts w:hint="eastAsia" w:ascii="宋体" w:hAnsi="宋体"/>
                <w:sz w:val="18"/>
                <w:szCs w:val="18"/>
              </w:rPr>
              <w:t xml:space="preserve"> </w:t>
            </w:r>
            <w:r>
              <w:rPr>
                <w:rFonts w:hint="eastAsia" w:ascii="宋体" w:hAnsi="宋体"/>
                <w:spacing w:val="-6"/>
                <w:sz w:val="18"/>
                <w:szCs w:val="18"/>
              </w:rPr>
              <w:t>管理</w:t>
            </w:r>
            <w:r>
              <w:rPr>
                <w:rFonts w:hint="eastAsia" w:ascii="宋体" w:hAnsi="宋体"/>
                <w:sz w:val="18"/>
                <w:szCs w:val="18"/>
              </w:rPr>
              <w:t xml:space="preserve"> (10  </w:t>
            </w:r>
            <w:r>
              <w:rPr>
                <w:rFonts w:hint="eastAsia" w:ascii="宋体" w:hAnsi="宋体"/>
                <w:spacing w:val="-5"/>
                <w:sz w:val="18"/>
                <w:szCs w:val="18"/>
              </w:rPr>
              <w:t>分</w:t>
            </w:r>
            <w:r>
              <w:rPr>
                <w:rFonts w:hint="eastAsia" w:ascii="宋体" w:hAnsi="宋体"/>
                <w:spacing w:val="-34"/>
                <w:sz w:val="18"/>
                <w:szCs w:val="18"/>
              </w:rPr>
              <w:t xml:space="preserve"> </w:t>
            </w:r>
            <w:r>
              <w:rPr>
                <w:rFonts w:hint="eastAsia" w:ascii="宋体" w:hAnsi="宋体"/>
                <w:spacing w:val="-5"/>
                <w:sz w:val="18"/>
                <w:szCs w:val="18"/>
              </w:rPr>
              <w:t>)</w:t>
            </w:r>
          </w:p>
        </w:tc>
        <w:tc>
          <w:tcPr>
            <w:tcW w:w="669" w:type="dxa"/>
            <w:tcBorders>
              <w:top w:val="single" w:color="000000" w:sz="4" w:space="0"/>
              <w:left w:val="single" w:color="000000" w:sz="4" w:space="0"/>
              <w:bottom w:val="single" w:color="000000" w:sz="4" w:space="0"/>
              <w:right w:val="single" w:color="000000" w:sz="4" w:space="0"/>
            </w:tcBorders>
          </w:tcPr>
          <w:p w14:paraId="24AB39E4">
            <w:pPr>
              <w:spacing w:before="219"/>
              <w:ind w:left="141"/>
              <w:rPr>
                <w:rFonts w:ascii="宋体" w:hAnsi="宋体"/>
                <w:sz w:val="18"/>
                <w:szCs w:val="18"/>
              </w:rPr>
            </w:pPr>
            <w:r>
              <w:rPr>
                <w:rFonts w:hint="eastAsia" w:ascii="宋体" w:hAnsi="宋体"/>
                <w:spacing w:val="-3"/>
                <w:sz w:val="18"/>
                <w:szCs w:val="18"/>
              </w:rPr>
              <w:t>篇理</w:t>
            </w:r>
          </w:p>
          <w:p w14:paraId="07FDD88C">
            <w:pPr>
              <w:spacing w:before="206"/>
              <w:ind w:left="230" w:right="165" w:hanging="89"/>
              <w:rPr>
                <w:rFonts w:ascii="宋体" w:hAnsi="宋体"/>
                <w:sz w:val="18"/>
                <w:szCs w:val="18"/>
              </w:rPr>
            </w:pPr>
            <w:r>
              <w:rPr>
                <w:rFonts w:hint="eastAsia" w:ascii="宋体" w:hAnsi="宋体"/>
                <w:spacing w:val="-4"/>
                <w:sz w:val="18"/>
                <w:szCs w:val="18"/>
              </w:rPr>
              <w:t>健全</w:t>
            </w:r>
            <w:r>
              <w:rPr>
                <w:rFonts w:hint="eastAsia" w:ascii="宋体" w:hAnsi="宋体"/>
                <w:sz w:val="18"/>
                <w:szCs w:val="18"/>
              </w:rPr>
              <w:t xml:space="preserve"> 性</w:t>
            </w:r>
          </w:p>
        </w:tc>
        <w:tc>
          <w:tcPr>
            <w:tcW w:w="489" w:type="dxa"/>
            <w:tcBorders>
              <w:top w:val="single" w:color="000000" w:sz="4" w:space="0"/>
              <w:left w:val="single" w:color="000000" w:sz="4" w:space="0"/>
              <w:bottom w:val="single" w:color="000000" w:sz="4" w:space="0"/>
              <w:right w:val="single" w:color="000000" w:sz="4" w:space="0"/>
            </w:tcBorders>
          </w:tcPr>
          <w:p w14:paraId="1B7CB036">
            <w:pPr>
              <w:pStyle w:val="10"/>
              <w:rPr>
                <w:sz w:val="21"/>
              </w:rPr>
            </w:pPr>
          </w:p>
          <w:p w14:paraId="4E423D7D">
            <w:pPr>
              <w:pStyle w:val="10"/>
              <w:rPr>
                <w:sz w:val="20"/>
              </w:rPr>
            </w:pPr>
          </w:p>
          <w:p w14:paraId="5C3C0FA1">
            <w:pPr>
              <w:spacing w:before="58"/>
              <w:ind w:left="192"/>
              <w:rPr>
                <w:rFonts w:ascii="宋体" w:hAnsi="宋体"/>
                <w:sz w:val="18"/>
                <w:szCs w:val="18"/>
              </w:rPr>
            </w:pPr>
            <w:r>
              <w:rPr>
                <w:rFonts w:hint="eastAsia" w:ascii="宋体" w:hAnsi="宋体"/>
                <w:sz w:val="18"/>
                <w:szCs w:val="18"/>
              </w:rPr>
              <w:t>3</w:t>
            </w:r>
          </w:p>
        </w:tc>
        <w:tc>
          <w:tcPr>
            <w:tcW w:w="4086" w:type="dxa"/>
            <w:tcBorders>
              <w:top w:val="single" w:color="000000" w:sz="4" w:space="0"/>
              <w:left w:val="single" w:color="000000" w:sz="4" w:space="0"/>
              <w:bottom w:val="single" w:color="000000" w:sz="4" w:space="0"/>
              <w:right w:val="single" w:color="000000" w:sz="4" w:space="0"/>
            </w:tcBorders>
          </w:tcPr>
          <w:p w14:paraId="206442D4">
            <w:pPr>
              <w:spacing w:before="168"/>
              <w:ind w:left="73"/>
              <w:rPr>
                <w:rFonts w:ascii="宋体" w:hAnsi="宋体"/>
                <w:sz w:val="18"/>
                <w:szCs w:val="18"/>
              </w:rPr>
            </w:pPr>
            <w:r>
              <w:rPr>
                <w:rFonts w:hint="eastAsia" w:ascii="宋体" w:hAnsi="宋体"/>
                <w:spacing w:val="-1"/>
                <w:sz w:val="18"/>
                <w:szCs w:val="18"/>
              </w:rPr>
              <w:t>部门(单位)为加强资产管理、规范资产管理行为</w:t>
            </w:r>
          </w:p>
          <w:p w14:paraId="5FFA5F68">
            <w:pPr>
              <w:spacing w:before="26" w:line="259" w:lineRule="auto"/>
              <w:ind w:left="73" w:firstLine="49"/>
              <w:rPr>
                <w:rFonts w:hint="eastAsia" w:ascii="宋体" w:hAnsi="宋体"/>
                <w:sz w:val="18"/>
                <w:szCs w:val="18"/>
              </w:rPr>
            </w:pPr>
            <w:r>
              <w:rPr>
                <w:rFonts w:hint="eastAsia" w:ascii="宋体" w:hAnsi="宋体"/>
                <w:spacing w:val="-1"/>
                <w:sz w:val="18"/>
                <w:szCs w:val="18"/>
              </w:rPr>
              <w:t>而制定的管理制度是否健全完整，用以反映和考核</w:t>
            </w:r>
            <w:r>
              <w:rPr>
                <w:rFonts w:hint="eastAsia" w:ascii="宋体" w:hAnsi="宋体"/>
                <w:spacing w:val="13"/>
                <w:sz w:val="18"/>
                <w:szCs w:val="18"/>
              </w:rPr>
              <w:t xml:space="preserve"> </w:t>
            </w:r>
            <w:r>
              <w:rPr>
                <w:rFonts w:hint="eastAsia" w:ascii="宋体" w:hAnsi="宋体"/>
                <w:spacing w:val="-1"/>
                <w:sz w:val="18"/>
                <w:szCs w:val="18"/>
              </w:rPr>
              <w:t>部门(单位)资产管理制度对完成主要职责或促进</w:t>
            </w:r>
          </w:p>
          <w:p w14:paraId="3CD33C36">
            <w:pPr>
              <w:ind w:left="73"/>
              <w:rPr>
                <w:rFonts w:ascii="宋体" w:hAnsi="宋体"/>
                <w:sz w:val="18"/>
                <w:szCs w:val="18"/>
              </w:rPr>
            </w:pPr>
            <w:r>
              <w:rPr>
                <w:rFonts w:hint="eastAsia" w:ascii="宋体" w:hAnsi="宋体"/>
                <w:sz w:val="18"/>
                <w:szCs w:val="18"/>
              </w:rPr>
              <w:t>社会发展的保障情况。</w:t>
            </w:r>
          </w:p>
        </w:tc>
        <w:tc>
          <w:tcPr>
            <w:tcW w:w="2987" w:type="dxa"/>
            <w:tcBorders>
              <w:top w:val="single" w:color="000000" w:sz="4" w:space="0"/>
              <w:left w:val="single" w:color="000000" w:sz="4" w:space="0"/>
              <w:bottom w:val="single" w:color="000000" w:sz="4" w:space="0"/>
              <w:right w:val="single" w:color="000000" w:sz="4" w:space="0"/>
            </w:tcBorders>
          </w:tcPr>
          <w:p w14:paraId="02E24129">
            <w:pPr>
              <w:spacing w:before="46" w:line="244" w:lineRule="auto"/>
              <w:ind w:left="97" w:firstLine="89"/>
              <w:rPr>
                <w:rFonts w:ascii="宋体" w:hAnsi="宋体"/>
                <w:sz w:val="18"/>
                <w:szCs w:val="18"/>
              </w:rPr>
            </w:pPr>
            <w:r>
              <w:rPr>
                <w:rFonts w:hint="eastAsia" w:ascii="宋体" w:hAnsi="宋体"/>
                <w:sz w:val="18"/>
                <w:szCs w:val="18"/>
              </w:rPr>
              <w:t xml:space="preserve">①已制定或具有资产管理制度的，  </w:t>
            </w:r>
            <w:r>
              <w:rPr>
                <w:rFonts w:hint="eastAsia" w:ascii="宋体" w:hAnsi="宋体"/>
                <w:spacing w:val="5"/>
                <w:sz w:val="18"/>
                <w:szCs w:val="18"/>
              </w:rPr>
              <w:t>计1分；②相关资产管理制度合法、</w:t>
            </w:r>
          </w:p>
          <w:p w14:paraId="064009A4">
            <w:pPr>
              <w:spacing w:before="2"/>
              <w:ind w:left="107" w:right="161" w:firstLine="79"/>
              <w:jc w:val="both"/>
              <w:rPr>
                <w:rFonts w:ascii="宋体" w:hAnsi="宋体"/>
                <w:sz w:val="18"/>
                <w:szCs w:val="18"/>
              </w:rPr>
            </w:pPr>
            <w:r>
              <w:rPr>
                <w:rFonts w:hint="eastAsia" w:ascii="宋体" w:hAnsi="宋体"/>
                <w:sz w:val="18"/>
                <w:szCs w:val="18"/>
              </w:rPr>
              <w:t>合规、完整的，计1分；③相关资</w:t>
            </w:r>
            <w:r>
              <w:rPr>
                <w:rFonts w:hint="eastAsia" w:ascii="宋体" w:hAnsi="宋体"/>
                <w:spacing w:val="12"/>
                <w:sz w:val="18"/>
                <w:szCs w:val="18"/>
              </w:rPr>
              <w:t xml:space="preserve"> </w:t>
            </w:r>
            <w:r>
              <w:rPr>
                <w:rFonts w:hint="eastAsia" w:ascii="宋体" w:hAnsi="宋体"/>
                <w:spacing w:val="6"/>
                <w:sz w:val="18"/>
                <w:szCs w:val="18"/>
              </w:rPr>
              <w:t>产管理制度得到有效执行的，计1</w:t>
            </w:r>
            <w:r>
              <w:rPr>
                <w:rFonts w:hint="eastAsia" w:ascii="宋体" w:hAnsi="宋体"/>
                <w:spacing w:val="7"/>
                <w:sz w:val="18"/>
                <w:szCs w:val="18"/>
              </w:rPr>
              <w:t xml:space="preserve"> </w:t>
            </w:r>
            <w:r>
              <w:rPr>
                <w:rFonts w:hint="eastAsia" w:ascii="宋体" w:hAnsi="宋体"/>
                <w:sz w:val="18"/>
                <w:szCs w:val="18"/>
              </w:rPr>
              <w:t>分。</w:t>
            </w:r>
          </w:p>
        </w:tc>
        <w:tc>
          <w:tcPr>
            <w:tcW w:w="644" w:type="dxa"/>
            <w:tcBorders>
              <w:top w:val="single" w:color="000000" w:sz="4" w:space="0"/>
              <w:left w:val="single" w:color="000000" w:sz="4" w:space="0"/>
              <w:bottom w:val="single" w:color="000000" w:sz="4" w:space="0"/>
              <w:right w:val="single" w:color="000000" w:sz="4" w:space="0"/>
            </w:tcBorders>
            <w:vAlign w:val="center"/>
          </w:tcPr>
          <w:p w14:paraId="126435A8">
            <w:pPr>
              <w:pStyle w:val="10"/>
              <w:jc w:val="center"/>
              <w:rPr>
                <w:rFonts w:hint="eastAsia" w:eastAsia="宋体"/>
                <w:sz w:val="20"/>
                <w:lang w:val="en-US" w:eastAsia="zh-CN"/>
              </w:rPr>
            </w:pPr>
            <w:r>
              <w:rPr>
                <w:rFonts w:hint="eastAsia"/>
                <w:color w:val="FF0000"/>
                <w:sz w:val="20"/>
                <w:lang w:val="en-US" w:eastAsia="zh-CN"/>
              </w:rPr>
              <w:t>2</w:t>
            </w:r>
          </w:p>
        </w:tc>
      </w:tr>
      <w:tr w14:paraId="1280F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9" w:hRule="atLeast"/>
        </w:trPr>
        <w:tc>
          <w:tcPr>
            <w:tcW w:w="1973" w:type="dxa"/>
            <w:vMerge w:val="continue"/>
            <w:tcBorders>
              <w:top w:val="nil"/>
              <w:left w:val="single" w:color="000000" w:sz="4" w:space="0"/>
              <w:bottom w:val="nil"/>
              <w:right w:val="single" w:color="000000" w:sz="4" w:space="0"/>
            </w:tcBorders>
            <w:vAlign w:val="center"/>
          </w:tcPr>
          <w:p w14:paraId="49FD8F52">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1B2A370B">
            <w:pPr>
              <w:kinsoku/>
              <w:autoSpaceDE/>
              <w:autoSpaceDN/>
              <w:adjustRightInd/>
              <w:snapToGrid/>
              <w:textAlignment w:val="auto"/>
              <w:rPr>
                <w:rFonts w:ascii="宋体" w:hAnsi="宋体"/>
                <w:sz w:val="18"/>
                <w:szCs w:val="18"/>
              </w:rPr>
            </w:pPr>
          </w:p>
        </w:tc>
        <w:tc>
          <w:tcPr>
            <w:tcW w:w="669" w:type="dxa"/>
            <w:tcBorders>
              <w:top w:val="single" w:color="000000" w:sz="4" w:space="0"/>
              <w:left w:val="single" w:color="000000" w:sz="4" w:space="0"/>
              <w:bottom w:val="single" w:color="000000" w:sz="4" w:space="0"/>
              <w:right w:val="single" w:color="000000" w:sz="4" w:space="0"/>
            </w:tcBorders>
          </w:tcPr>
          <w:p w14:paraId="165033B7">
            <w:pPr>
              <w:pStyle w:val="10"/>
              <w:spacing w:line="278" w:lineRule="auto"/>
              <w:rPr>
                <w:sz w:val="21"/>
              </w:rPr>
            </w:pPr>
          </w:p>
          <w:p w14:paraId="4635DB88">
            <w:pPr>
              <w:spacing w:before="59"/>
              <w:ind w:left="141" w:right="146"/>
              <w:jc w:val="both"/>
              <w:rPr>
                <w:rFonts w:ascii="宋体" w:hAnsi="宋体"/>
                <w:sz w:val="18"/>
                <w:szCs w:val="18"/>
              </w:rPr>
            </w:pPr>
            <w:r>
              <w:rPr>
                <w:rFonts w:hint="eastAsia" w:ascii="宋体" w:hAnsi="宋体"/>
                <w:spacing w:val="5"/>
                <w:sz w:val="18"/>
                <w:szCs w:val="18"/>
              </w:rPr>
              <w:t>资产</w:t>
            </w:r>
            <w:r>
              <w:rPr>
                <w:rFonts w:hint="eastAsia" w:ascii="宋体" w:hAnsi="宋体"/>
                <w:sz w:val="18"/>
                <w:szCs w:val="18"/>
              </w:rPr>
              <w:t xml:space="preserve"> </w:t>
            </w:r>
            <w:r>
              <w:rPr>
                <w:rFonts w:hint="eastAsia" w:ascii="宋体" w:hAnsi="宋体"/>
                <w:spacing w:val="-6"/>
                <w:sz w:val="18"/>
                <w:szCs w:val="18"/>
              </w:rPr>
              <w:t>管理</w:t>
            </w:r>
            <w:r>
              <w:rPr>
                <w:rFonts w:hint="eastAsia" w:ascii="宋体" w:hAnsi="宋体"/>
                <w:sz w:val="18"/>
                <w:szCs w:val="18"/>
              </w:rPr>
              <w:t xml:space="preserve"> </w:t>
            </w:r>
            <w:r>
              <w:rPr>
                <w:rFonts w:hint="eastAsia" w:ascii="宋体" w:hAnsi="宋体"/>
                <w:spacing w:val="-6"/>
                <w:sz w:val="18"/>
                <w:szCs w:val="18"/>
              </w:rPr>
              <w:t>安全</w:t>
            </w:r>
            <w:r>
              <w:rPr>
                <w:rFonts w:hint="eastAsia" w:ascii="宋体" w:hAnsi="宋体"/>
                <w:sz w:val="18"/>
                <w:szCs w:val="18"/>
              </w:rPr>
              <w:t xml:space="preserve"> </w:t>
            </w:r>
            <w:r>
              <w:rPr>
                <w:rFonts w:hint="eastAsia" w:ascii="宋体" w:hAnsi="宋体"/>
                <w:spacing w:val="14"/>
                <w:sz w:val="18"/>
                <w:szCs w:val="18"/>
              </w:rPr>
              <w:t>性</w:t>
            </w:r>
          </w:p>
        </w:tc>
        <w:tc>
          <w:tcPr>
            <w:tcW w:w="489" w:type="dxa"/>
            <w:tcBorders>
              <w:top w:val="single" w:color="000000" w:sz="4" w:space="0"/>
              <w:left w:val="single" w:color="000000" w:sz="4" w:space="0"/>
              <w:bottom w:val="single" w:color="000000" w:sz="4" w:space="0"/>
              <w:right w:val="single" w:color="000000" w:sz="4" w:space="0"/>
            </w:tcBorders>
          </w:tcPr>
          <w:p w14:paraId="3117A8C0">
            <w:pPr>
              <w:pStyle w:val="10"/>
              <w:spacing w:line="290" w:lineRule="auto"/>
              <w:rPr>
                <w:sz w:val="21"/>
              </w:rPr>
            </w:pPr>
          </w:p>
          <w:p w14:paraId="2FB7B366">
            <w:pPr>
              <w:pStyle w:val="10"/>
              <w:spacing w:line="290" w:lineRule="auto"/>
              <w:rPr>
                <w:sz w:val="20"/>
              </w:rPr>
            </w:pPr>
          </w:p>
          <w:p w14:paraId="044926EB">
            <w:pPr>
              <w:spacing w:before="59"/>
              <w:ind w:left="192"/>
              <w:rPr>
                <w:rFonts w:ascii="宋体" w:hAnsi="宋体"/>
                <w:sz w:val="18"/>
                <w:szCs w:val="18"/>
              </w:rPr>
            </w:pPr>
            <w:r>
              <w:rPr>
                <w:rFonts w:hint="eastAsia" w:ascii="宋体" w:hAnsi="宋体"/>
                <w:sz w:val="18"/>
                <w:szCs w:val="18"/>
              </w:rPr>
              <w:t>5</w:t>
            </w:r>
          </w:p>
        </w:tc>
        <w:tc>
          <w:tcPr>
            <w:tcW w:w="4086" w:type="dxa"/>
            <w:tcBorders>
              <w:top w:val="single" w:color="000000" w:sz="4" w:space="0"/>
              <w:left w:val="single" w:color="000000" w:sz="4" w:space="0"/>
              <w:bottom w:val="single" w:color="000000" w:sz="4" w:space="0"/>
              <w:right w:val="single" w:color="000000" w:sz="4" w:space="0"/>
            </w:tcBorders>
          </w:tcPr>
          <w:p w14:paraId="23EE49D7">
            <w:pPr>
              <w:pStyle w:val="10"/>
              <w:spacing w:line="348" w:lineRule="auto"/>
              <w:rPr>
                <w:sz w:val="21"/>
              </w:rPr>
            </w:pPr>
          </w:p>
          <w:p w14:paraId="2C105B9C">
            <w:pPr>
              <w:spacing w:before="59"/>
              <w:ind w:left="73"/>
              <w:rPr>
                <w:rFonts w:ascii="宋体" w:hAnsi="宋体"/>
                <w:sz w:val="18"/>
                <w:szCs w:val="18"/>
              </w:rPr>
            </w:pPr>
            <w:r>
              <w:rPr>
                <w:rFonts w:hint="eastAsia" w:ascii="宋体" w:hAnsi="宋体"/>
                <w:spacing w:val="-1"/>
                <w:sz w:val="18"/>
                <w:szCs w:val="18"/>
              </w:rPr>
              <w:t>部门(单位)的资产是否保存完整、使用合规、配</w:t>
            </w:r>
          </w:p>
          <w:p w14:paraId="3C05D636">
            <w:pPr>
              <w:spacing w:before="26" w:line="247" w:lineRule="auto"/>
              <w:ind w:left="73" w:firstLine="59"/>
              <w:rPr>
                <w:rFonts w:ascii="宋体" w:hAnsi="宋体"/>
                <w:sz w:val="18"/>
                <w:szCs w:val="18"/>
              </w:rPr>
            </w:pPr>
            <w:r>
              <w:rPr>
                <w:rFonts w:hint="eastAsia" w:ascii="宋体" w:hAnsi="宋体"/>
                <w:spacing w:val="-1"/>
                <w:sz w:val="18"/>
                <w:szCs w:val="18"/>
              </w:rPr>
              <w:t>置合理、处置规范、收入及时足额上缴，用以反映</w:t>
            </w:r>
            <w:r>
              <w:rPr>
                <w:rFonts w:hint="eastAsia" w:ascii="宋体" w:hAnsi="宋体"/>
                <w:spacing w:val="4"/>
                <w:sz w:val="18"/>
                <w:szCs w:val="18"/>
              </w:rPr>
              <w:t xml:space="preserve"> </w:t>
            </w:r>
            <w:r>
              <w:rPr>
                <w:rFonts w:hint="eastAsia" w:ascii="宋体" w:hAnsi="宋体"/>
                <w:spacing w:val="-1"/>
                <w:sz w:val="18"/>
                <w:szCs w:val="18"/>
              </w:rPr>
              <w:t>和考核部门(单位)资产安全运行情况。</w:t>
            </w:r>
          </w:p>
        </w:tc>
        <w:tc>
          <w:tcPr>
            <w:tcW w:w="2987" w:type="dxa"/>
            <w:tcBorders>
              <w:top w:val="single" w:color="000000" w:sz="4" w:space="0"/>
              <w:left w:val="single" w:color="000000" w:sz="4" w:space="0"/>
              <w:bottom w:val="single" w:color="000000" w:sz="4" w:space="0"/>
              <w:right w:val="single" w:color="000000" w:sz="4" w:space="0"/>
            </w:tcBorders>
          </w:tcPr>
          <w:p w14:paraId="1BD65197">
            <w:pPr>
              <w:spacing w:before="29"/>
              <w:ind w:left="137" w:right="49" w:firstLine="49"/>
              <w:rPr>
                <w:rFonts w:ascii="宋体" w:hAnsi="宋体"/>
                <w:sz w:val="18"/>
                <w:szCs w:val="18"/>
              </w:rPr>
            </w:pPr>
            <w:r>
              <w:rPr>
                <w:rFonts w:hint="eastAsia" w:ascii="宋体" w:hAnsi="宋体"/>
                <w:spacing w:val="1"/>
                <w:sz w:val="18"/>
                <w:szCs w:val="18"/>
              </w:rPr>
              <w:t xml:space="preserve">每出现一例不符合以下要求的扣1  </w:t>
            </w:r>
            <w:r>
              <w:rPr>
                <w:rFonts w:hint="eastAsia" w:ascii="宋体" w:hAnsi="宋体"/>
                <w:spacing w:val="6"/>
                <w:sz w:val="18"/>
                <w:szCs w:val="18"/>
              </w:rPr>
              <w:t>分，扣完为止：①资产保存完整；</w:t>
            </w:r>
          </w:p>
          <w:p w14:paraId="7F4952CF">
            <w:pPr>
              <w:jc w:val="right"/>
              <w:rPr>
                <w:rFonts w:hint="eastAsia" w:ascii="宋体" w:hAnsi="宋体"/>
                <w:sz w:val="18"/>
                <w:szCs w:val="18"/>
              </w:rPr>
            </w:pPr>
            <w:r>
              <w:rPr>
                <w:rFonts w:hint="eastAsia" w:ascii="宋体" w:hAnsi="宋体"/>
                <w:spacing w:val="3"/>
                <w:sz w:val="18"/>
                <w:szCs w:val="18"/>
              </w:rPr>
              <w:t>②资产配置合理；③资产处置规范；</w:t>
            </w:r>
          </w:p>
          <w:p w14:paraId="19C31934">
            <w:pPr>
              <w:spacing w:before="18"/>
              <w:ind w:left="137"/>
              <w:rPr>
                <w:rFonts w:hint="eastAsia" w:ascii="宋体" w:hAnsi="宋体"/>
                <w:sz w:val="18"/>
                <w:szCs w:val="18"/>
              </w:rPr>
            </w:pPr>
            <w:r>
              <w:rPr>
                <w:rFonts w:hint="eastAsia" w:ascii="宋体" w:hAnsi="宋体"/>
                <w:spacing w:val="6"/>
                <w:sz w:val="18"/>
                <w:szCs w:val="18"/>
              </w:rPr>
              <w:t>④资产账务管理合规、帐实相符；</w:t>
            </w:r>
          </w:p>
          <w:p w14:paraId="14A461C2">
            <w:pPr>
              <w:spacing w:before="27"/>
              <w:ind w:left="97" w:right="145" w:firstLine="39"/>
              <w:rPr>
                <w:rFonts w:ascii="宋体" w:hAnsi="宋体"/>
                <w:sz w:val="18"/>
                <w:szCs w:val="18"/>
              </w:rPr>
            </w:pPr>
            <w:r>
              <w:rPr>
                <w:rFonts w:hint="eastAsia" w:ascii="宋体" w:hAnsi="宋体"/>
                <w:spacing w:val="-1"/>
                <w:sz w:val="18"/>
                <w:szCs w:val="18"/>
              </w:rPr>
              <w:t>⑤资产有偿使用及处置收入及时足</w:t>
            </w:r>
            <w:r>
              <w:rPr>
                <w:rFonts w:hint="eastAsia" w:ascii="宋体" w:hAnsi="宋体"/>
                <w:spacing w:val="8"/>
                <w:sz w:val="18"/>
                <w:szCs w:val="18"/>
              </w:rPr>
              <w:t xml:space="preserve"> </w:t>
            </w:r>
            <w:r>
              <w:rPr>
                <w:rFonts w:hint="eastAsia" w:ascii="宋体" w:hAnsi="宋体"/>
                <w:sz w:val="18"/>
                <w:szCs w:val="18"/>
              </w:rPr>
              <w:t>额上缴。</w:t>
            </w:r>
          </w:p>
        </w:tc>
        <w:tc>
          <w:tcPr>
            <w:tcW w:w="644" w:type="dxa"/>
            <w:tcBorders>
              <w:top w:val="single" w:color="000000" w:sz="4" w:space="0"/>
              <w:left w:val="single" w:color="000000" w:sz="4" w:space="0"/>
              <w:bottom w:val="single" w:color="000000" w:sz="4" w:space="0"/>
              <w:right w:val="single" w:color="000000" w:sz="4" w:space="0"/>
            </w:tcBorders>
            <w:vAlign w:val="center"/>
          </w:tcPr>
          <w:p w14:paraId="3CA516E4">
            <w:pPr>
              <w:pStyle w:val="10"/>
              <w:jc w:val="center"/>
              <w:rPr>
                <w:rFonts w:hint="eastAsia" w:eastAsia="宋体"/>
                <w:sz w:val="20"/>
                <w:lang w:val="en-US" w:eastAsia="zh-CN"/>
              </w:rPr>
            </w:pPr>
            <w:r>
              <w:rPr>
                <w:rFonts w:hint="eastAsia"/>
                <w:color w:val="FF0000"/>
                <w:sz w:val="20"/>
                <w:lang w:val="en-US" w:eastAsia="zh-CN"/>
              </w:rPr>
              <w:t>4</w:t>
            </w:r>
          </w:p>
        </w:tc>
      </w:tr>
      <w:tr w14:paraId="166D4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9" w:hRule="atLeast"/>
        </w:trPr>
        <w:tc>
          <w:tcPr>
            <w:tcW w:w="1973" w:type="dxa"/>
            <w:vMerge w:val="continue"/>
            <w:tcBorders>
              <w:top w:val="nil"/>
              <w:left w:val="single" w:color="000000" w:sz="4" w:space="0"/>
              <w:bottom w:val="nil"/>
              <w:right w:val="single" w:color="000000" w:sz="4" w:space="0"/>
            </w:tcBorders>
            <w:vAlign w:val="center"/>
          </w:tcPr>
          <w:p w14:paraId="45CE136C">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13973756">
            <w:pPr>
              <w:kinsoku/>
              <w:autoSpaceDE/>
              <w:autoSpaceDN/>
              <w:adjustRightInd/>
              <w:snapToGrid/>
              <w:textAlignment w:val="auto"/>
              <w:rPr>
                <w:rFonts w:ascii="宋体" w:hAnsi="宋体"/>
                <w:sz w:val="18"/>
                <w:szCs w:val="18"/>
              </w:rPr>
            </w:pPr>
          </w:p>
        </w:tc>
        <w:tc>
          <w:tcPr>
            <w:tcW w:w="669" w:type="dxa"/>
            <w:tcBorders>
              <w:top w:val="single" w:color="000000" w:sz="4" w:space="0"/>
              <w:left w:val="single" w:color="000000" w:sz="4" w:space="0"/>
              <w:bottom w:val="single" w:color="000000" w:sz="4" w:space="0"/>
              <w:right w:val="single" w:color="000000" w:sz="4" w:space="0"/>
            </w:tcBorders>
          </w:tcPr>
          <w:p w14:paraId="45BFB545">
            <w:pPr>
              <w:spacing w:before="140"/>
              <w:ind w:left="141"/>
              <w:rPr>
                <w:rFonts w:ascii="宋体" w:hAnsi="宋体"/>
                <w:sz w:val="18"/>
                <w:szCs w:val="18"/>
              </w:rPr>
            </w:pPr>
            <w:r>
              <w:rPr>
                <w:rFonts w:hint="eastAsia" w:ascii="宋体" w:hAnsi="宋体"/>
                <w:spacing w:val="5"/>
                <w:sz w:val="18"/>
                <w:szCs w:val="18"/>
              </w:rPr>
              <w:t>固定</w:t>
            </w:r>
          </w:p>
          <w:p w14:paraId="4927745C">
            <w:pPr>
              <w:ind w:left="141"/>
              <w:rPr>
                <w:rFonts w:hint="eastAsia" w:ascii="宋体" w:hAnsi="宋体"/>
                <w:sz w:val="18"/>
                <w:szCs w:val="18"/>
              </w:rPr>
            </w:pPr>
            <w:r>
              <w:rPr>
                <w:rFonts w:hint="eastAsia" w:ascii="宋体" w:hAnsi="宋体"/>
                <w:spacing w:val="5"/>
                <w:sz w:val="18"/>
                <w:szCs w:val="18"/>
              </w:rPr>
              <w:t>资产</w:t>
            </w:r>
          </w:p>
          <w:p w14:paraId="0C911DE4">
            <w:pPr>
              <w:spacing w:before="1"/>
              <w:ind w:left="230" w:right="136" w:hanging="89"/>
              <w:rPr>
                <w:rFonts w:ascii="宋体" w:hAnsi="宋体"/>
                <w:sz w:val="18"/>
                <w:szCs w:val="18"/>
              </w:rPr>
            </w:pPr>
            <w:r>
              <w:rPr>
                <w:rFonts w:hint="eastAsia" w:ascii="宋体" w:hAnsi="宋体"/>
                <w:spacing w:val="10"/>
                <w:sz w:val="18"/>
                <w:szCs w:val="18"/>
              </w:rPr>
              <w:t>利用</w:t>
            </w:r>
            <w:r>
              <w:rPr>
                <w:rFonts w:hint="eastAsia" w:ascii="宋体" w:hAnsi="宋体"/>
                <w:sz w:val="18"/>
                <w:szCs w:val="18"/>
              </w:rPr>
              <w:t xml:space="preserve"> 率</w:t>
            </w:r>
          </w:p>
        </w:tc>
        <w:tc>
          <w:tcPr>
            <w:tcW w:w="489" w:type="dxa"/>
            <w:tcBorders>
              <w:top w:val="single" w:color="000000" w:sz="4" w:space="0"/>
              <w:left w:val="single" w:color="000000" w:sz="4" w:space="0"/>
              <w:bottom w:val="single" w:color="000000" w:sz="4" w:space="0"/>
              <w:right w:val="single" w:color="000000" w:sz="4" w:space="0"/>
            </w:tcBorders>
          </w:tcPr>
          <w:p w14:paraId="2682D9E7">
            <w:pPr>
              <w:pStyle w:val="10"/>
              <w:spacing w:line="376" w:lineRule="auto"/>
              <w:rPr>
                <w:sz w:val="21"/>
              </w:rPr>
            </w:pPr>
          </w:p>
          <w:p w14:paraId="29B3DA03">
            <w:pPr>
              <w:spacing w:before="59"/>
              <w:ind w:left="192"/>
              <w:rPr>
                <w:rFonts w:ascii="宋体" w:hAnsi="宋体"/>
                <w:sz w:val="18"/>
                <w:szCs w:val="18"/>
              </w:rPr>
            </w:pPr>
            <w:r>
              <w:rPr>
                <w:rFonts w:hint="eastAsia" w:ascii="宋体" w:hAnsi="宋体"/>
                <w:sz w:val="18"/>
                <w:szCs w:val="18"/>
              </w:rPr>
              <w:t>2</w:t>
            </w:r>
          </w:p>
        </w:tc>
        <w:tc>
          <w:tcPr>
            <w:tcW w:w="4086" w:type="dxa"/>
            <w:tcBorders>
              <w:top w:val="single" w:color="000000" w:sz="4" w:space="0"/>
              <w:left w:val="single" w:color="000000" w:sz="4" w:space="0"/>
              <w:bottom w:val="single" w:color="000000" w:sz="4" w:space="0"/>
              <w:right w:val="single" w:color="000000" w:sz="4" w:space="0"/>
            </w:tcBorders>
          </w:tcPr>
          <w:p w14:paraId="1B8FE531">
            <w:pPr>
              <w:spacing w:before="88"/>
              <w:ind w:left="73" w:right="159" w:firstLine="49"/>
              <w:jc w:val="both"/>
              <w:rPr>
                <w:rFonts w:ascii="宋体" w:hAnsi="宋体"/>
                <w:sz w:val="18"/>
                <w:szCs w:val="18"/>
              </w:rPr>
            </w:pPr>
            <w:r>
              <w:rPr>
                <w:rFonts w:hint="eastAsia" w:ascii="宋体" w:hAnsi="宋体"/>
                <w:sz w:val="18"/>
                <w:szCs w:val="18"/>
              </w:rPr>
              <w:t>部门(单位)实际在用固定资产总额与所有固定资</w:t>
            </w:r>
            <w:r>
              <w:rPr>
                <w:rFonts w:hint="eastAsia" w:ascii="宋体" w:hAnsi="宋体"/>
                <w:spacing w:val="12"/>
                <w:sz w:val="18"/>
                <w:szCs w:val="18"/>
              </w:rPr>
              <w:t xml:space="preserve"> </w:t>
            </w:r>
            <w:r>
              <w:rPr>
                <w:rFonts w:hint="eastAsia" w:ascii="宋体" w:hAnsi="宋体"/>
                <w:spacing w:val="2"/>
                <w:sz w:val="18"/>
                <w:szCs w:val="18"/>
              </w:rPr>
              <w:t>产总额的比率，用以反映和考核部门(单位</w:t>
            </w:r>
            <w:r>
              <w:rPr>
                <w:rFonts w:hint="eastAsia" w:ascii="宋体" w:hAnsi="宋体"/>
                <w:spacing w:val="1"/>
                <w:sz w:val="18"/>
                <w:szCs w:val="18"/>
              </w:rPr>
              <w:t>)固定</w:t>
            </w:r>
            <w:r>
              <w:rPr>
                <w:rFonts w:hint="eastAsia" w:ascii="宋体" w:hAnsi="宋体"/>
                <w:sz w:val="18"/>
                <w:szCs w:val="18"/>
              </w:rPr>
              <w:t xml:space="preserve"> </w:t>
            </w:r>
            <w:r>
              <w:rPr>
                <w:rFonts w:hint="eastAsia" w:ascii="宋体" w:hAnsi="宋体"/>
                <w:spacing w:val="2"/>
                <w:sz w:val="18"/>
                <w:szCs w:val="18"/>
              </w:rPr>
              <w:t>资产使用效率程度。固定资产利用率=(实际在用</w:t>
            </w:r>
            <w:r>
              <w:rPr>
                <w:rFonts w:hint="eastAsia" w:ascii="宋体" w:hAnsi="宋体"/>
                <w:spacing w:val="16"/>
                <w:sz w:val="18"/>
                <w:szCs w:val="18"/>
              </w:rPr>
              <w:t xml:space="preserve"> </w:t>
            </w:r>
            <w:r>
              <w:rPr>
                <w:rFonts w:hint="eastAsia" w:ascii="宋体" w:hAnsi="宋体"/>
                <w:sz w:val="18"/>
                <w:szCs w:val="18"/>
              </w:rPr>
              <w:t>固定资产总额/所有固定资产总额)×100%。</w:t>
            </w:r>
          </w:p>
        </w:tc>
        <w:tc>
          <w:tcPr>
            <w:tcW w:w="2987" w:type="dxa"/>
            <w:tcBorders>
              <w:top w:val="single" w:color="000000" w:sz="4" w:space="0"/>
              <w:left w:val="single" w:color="000000" w:sz="4" w:space="0"/>
              <w:bottom w:val="single" w:color="000000" w:sz="4" w:space="0"/>
              <w:right w:val="single" w:color="000000" w:sz="4" w:space="0"/>
            </w:tcBorders>
          </w:tcPr>
          <w:p w14:paraId="040222AF">
            <w:pPr>
              <w:pStyle w:val="10"/>
              <w:spacing w:line="249" w:lineRule="auto"/>
              <w:rPr>
                <w:sz w:val="21"/>
              </w:rPr>
            </w:pPr>
          </w:p>
          <w:p w14:paraId="3B9987EF">
            <w:pPr>
              <w:spacing w:before="59" w:line="247" w:lineRule="auto"/>
              <w:ind w:left="117" w:right="139" w:firstLine="109"/>
              <w:rPr>
                <w:rFonts w:ascii="宋体" w:hAnsi="宋体"/>
                <w:sz w:val="18"/>
                <w:szCs w:val="18"/>
              </w:rPr>
            </w:pPr>
            <w:r>
              <w:rPr>
                <w:rFonts w:hint="eastAsia" w:ascii="宋体" w:hAnsi="宋体"/>
                <w:sz w:val="18"/>
                <w:szCs w:val="18"/>
              </w:rPr>
              <w:t xml:space="preserve">每低于100%一个百分点扣0.1分， </w:t>
            </w:r>
            <w:r>
              <w:rPr>
                <w:rFonts w:hint="eastAsia" w:ascii="宋体" w:hAnsi="宋体"/>
                <w:spacing w:val="-1"/>
                <w:sz w:val="18"/>
                <w:szCs w:val="18"/>
              </w:rPr>
              <w:t>扣完为止。</w:t>
            </w:r>
          </w:p>
        </w:tc>
        <w:tc>
          <w:tcPr>
            <w:tcW w:w="644" w:type="dxa"/>
            <w:tcBorders>
              <w:top w:val="single" w:color="000000" w:sz="4" w:space="0"/>
              <w:left w:val="single" w:color="000000" w:sz="4" w:space="0"/>
              <w:bottom w:val="single" w:color="000000" w:sz="4" w:space="0"/>
              <w:right w:val="single" w:color="000000" w:sz="4" w:space="0"/>
            </w:tcBorders>
            <w:vAlign w:val="center"/>
          </w:tcPr>
          <w:p w14:paraId="4C0FF741">
            <w:pPr>
              <w:pStyle w:val="10"/>
              <w:jc w:val="center"/>
              <w:rPr>
                <w:rFonts w:hint="eastAsia" w:eastAsia="宋体"/>
                <w:sz w:val="20"/>
                <w:lang w:val="en-US" w:eastAsia="zh-CN"/>
              </w:rPr>
            </w:pPr>
            <w:r>
              <w:rPr>
                <w:rFonts w:hint="eastAsia"/>
                <w:color w:val="FF0000"/>
                <w:sz w:val="20"/>
                <w:lang w:val="en-US" w:eastAsia="zh-CN"/>
              </w:rPr>
              <w:t>1</w:t>
            </w:r>
          </w:p>
        </w:tc>
      </w:tr>
      <w:tr w14:paraId="043E6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664" w:type="dxa"/>
            <w:vMerge w:val="restart"/>
            <w:tcBorders>
              <w:top w:val="nil"/>
              <w:left w:val="single" w:color="000000" w:sz="4" w:space="0"/>
              <w:bottom w:val="nil"/>
              <w:right w:val="single" w:color="000000" w:sz="4" w:space="0"/>
            </w:tcBorders>
          </w:tcPr>
          <w:p w14:paraId="164218C3">
            <w:pPr>
              <w:spacing w:before="259"/>
              <w:ind w:left="1695"/>
              <w:rPr>
                <w:rFonts w:ascii="宋体" w:hAnsi="宋体"/>
                <w:sz w:val="18"/>
                <w:szCs w:val="18"/>
              </w:rPr>
            </w:pPr>
            <w:r>
              <w:rPr>
                <w:rFonts w:hint="eastAsia" w:ascii="宋体" w:hAnsi="宋体"/>
                <w:sz w:val="18"/>
                <w:szCs w:val="18"/>
              </w:rPr>
              <w:t>产</w:t>
            </w:r>
            <w:r>
              <w:rPr>
                <w:rFonts w:hint="eastAsia" w:ascii="宋体" w:hAnsi="宋体"/>
                <w:spacing w:val="8"/>
                <w:sz w:val="18"/>
                <w:szCs w:val="18"/>
              </w:rPr>
              <w:t xml:space="preserve">   </w:t>
            </w:r>
            <w:r>
              <w:rPr>
                <w:rFonts w:hint="eastAsia" w:ascii="宋体" w:hAnsi="宋体"/>
                <w:sz w:val="18"/>
                <w:szCs w:val="18"/>
              </w:rPr>
              <w:t>出</w:t>
            </w:r>
          </w:p>
        </w:tc>
        <w:tc>
          <w:tcPr>
            <w:tcW w:w="640" w:type="dxa"/>
            <w:vMerge w:val="restart"/>
            <w:tcBorders>
              <w:top w:val="nil"/>
              <w:left w:val="single" w:color="000000" w:sz="4" w:space="0"/>
              <w:bottom w:val="nil"/>
              <w:right w:val="single" w:color="000000" w:sz="4" w:space="0"/>
            </w:tcBorders>
          </w:tcPr>
          <w:p w14:paraId="0943DA0F">
            <w:pPr>
              <w:pStyle w:val="10"/>
              <w:spacing w:line="252" w:lineRule="auto"/>
              <w:rPr>
                <w:sz w:val="21"/>
              </w:rPr>
            </w:pPr>
          </w:p>
          <w:p w14:paraId="374F486B">
            <w:pPr>
              <w:pStyle w:val="10"/>
              <w:spacing w:line="252" w:lineRule="auto"/>
              <w:rPr>
                <w:sz w:val="20"/>
              </w:rPr>
            </w:pPr>
          </w:p>
          <w:p w14:paraId="284AC8CF">
            <w:pPr>
              <w:pStyle w:val="10"/>
              <w:spacing w:line="252" w:lineRule="auto"/>
              <w:rPr>
                <w:sz w:val="20"/>
              </w:rPr>
            </w:pPr>
          </w:p>
          <w:p w14:paraId="5DF98060">
            <w:pPr>
              <w:pStyle w:val="10"/>
              <w:spacing w:line="252" w:lineRule="auto"/>
              <w:rPr>
                <w:sz w:val="20"/>
              </w:rPr>
            </w:pPr>
          </w:p>
          <w:p w14:paraId="18E8E629">
            <w:pPr>
              <w:pStyle w:val="10"/>
              <w:spacing w:line="252" w:lineRule="auto"/>
              <w:rPr>
                <w:sz w:val="20"/>
              </w:rPr>
            </w:pPr>
          </w:p>
          <w:p w14:paraId="581EFFE9">
            <w:pPr>
              <w:pStyle w:val="10"/>
              <w:spacing w:line="252" w:lineRule="auto"/>
              <w:rPr>
                <w:sz w:val="20"/>
              </w:rPr>
            </w:pPr>
          </w:p>
          <w:p w14:paraId="46398225">
            <w:pPr>
              <w:spacing w:before="59"/>
              <w:ind w:left="131"/>
              <w:rPr>
                <w:rFonts w:ascii="宋体" w:hAnsi="宋体"/>
                <w:sz w:val="18"/>
                <w:szCs w:val="18"/>
              </w:rPr>
            </w:pPr>
            <w:r>
              <w:rPr>
                <w:rFonts w:hint="eastAsia" w:ascii="宋体" w:hAnsi="宋体"/>
                <w:spacing w:val="-2"/>
                <w:sz w:val="18"/>
                <w:szCs w:val="18"/>
              </w:rPr>
              <w:t>职责</w:t>
            </w:r>
          </w:p>
          <w:p w14:paraId="225E3951">
            <w:pPr>
              <w:spacing w:before="2" w:line="242" w:lineRule="auto"/>
              <w:ind w:left="170" w:right="148" w:hanging="39"/>
              <w:jc w:val="both"/>
              <w:rPr>
                <w:rFonts w:ascii="宋体" w:hAnsi="宋体"/>
                <w:sz w:val="18"/>
                <w:szCs w:val="18"/>
              </w:rPr>
            </w:pPr>
            <w:r>
              <w:rPr>
                <w:rFonts w:hint="eastAsia" w:ascii="宋体" w:hAnsi="宋体"/>
                <w:spacing w:val="-5"/>
                <w:sz w:val="18"/>
                <w:szCs w:val="18"/>
              </w:rPr>
              <w:t>履行</w:t>
            </w:r>
            <w:r>
              <w:rPr>
                <w:rFonts w:hint="eastAsia" w:ascii="宋体" w:hAnsi="宋体"/>
                <w:sz w:val="18"/>
                <w:szCs w:val="18"/>
              </w:rPr>
              <w:t xml:space="preserve"> (20 </w:t>
            </w:r>
            <w:r>
              <w:rPr>
                <w:rFonts w:hint="eastAsia" w:ascii="宋体" w:hAnsi="宋体"/>
                <w:spacing w:val="-9"/>
                <w:sz w:val="18"/>
                <w:szCs w:val="18"/>
              </w:rPr>
              <w:t>分</w:t>
            </w:r>
            <w:r>
              <w:rPr>
                <w:rFonts w:hint="eastAsia" w:ascii="宋体" w:hAnsi="宋体"/>
                <w:spacing w:val="-34"/>
                <w:sz w:val="18"/>
                <w:szCs w:val="18"/>
              </w:rPr>
              <w:t xml:space="preserve"> </w:t>
            </w:r>
            <w:r>
              <w:rPr>
                <w:rFonts w:hint="eastAsia" w:ascii="宋体" w:hAnsi="宋体"/>
                <w:spacing w:val="-9"/>
                <w:sz w:val="18"/>
                <w:szCs w:val="18"/>
              </w:rPr>
              <w:t>)</w:t>
            </w:r>
          </w:p>
        </w:tc>
        <w:tc>
          <w:tcPr>
            <w:tcW w:w="669" w:type="dxa"/>
            <w:vMerge w:val="restart"/>
            <w:tcBorders>
              <w:top w:val="nil"/>
              <w:left w:val="single" w:color="000000" w:sz="4" w:space="0"/>
              <w:bottom w:val="nil"/>
              <w:right w:val="single" w:color="000000" w:sz="4" w:space="0"/>
            </w:tcBorders>
          </w:tcPr>
          <w:p w14:paraId="36462C2B">
            <w:pPr>
              <w:pStyle w:val="10"/>
              <w:spacing w:line="388" w:lineRule="auto"/>
              <w:rPr>
                <w:sz w:val="21"/>
              </w:rPr>
            </w:pPr>
          </w:p>
          <w:p w14:paraId="4E8C6152">
            <w:pPr>
              <w:spacing w:before="58"/>
              <w:ind w:left="141"/>
              <w:rPr>
                <w:rFonts w:ascii="宋体" w:hAnsi="宋体"/>
                <w:sz w:val="18"/>
                <w:szCs w:val="18"/>
              </w:rPr>
            </w:pPr>
            <w:r>
              <w:rPr>
                <w:rFonts w:hint="eastAsia" w:ascii="宋体" w:hAnsi="宋体"/>
                <w:spacing w:val="-3"/>
                <w:sz w:val="18"/>
                <w:szCs w:val="18"/>
              </w:rPr>
              <w:t>实际</w:t>
            </w:r>
          </w:p>
          <w:p w14:paraId="72DE1729">
            <w:pPr>
              <w:ind w:left="230" w:right="156" w:hanging="79"/>
              <w:rPr>
                <w:rFonts w:ascii="宋体" w:hAnsi="宋体"/>
                <w:sz w:val="18"/>
                <w:szCs w:val="18"/>
              </w:rPr>
            </w:pPr>
            <w:r>
              <w:rPr>
                <w:rFonts w:hint="eastAsia" w:ascii="宋体" w:hAnsi="宋体"/>
                <w:spacing w:val="-5"/>
                <w:sz w:val="18"/>
                <w:szCs w:val="18"/>
              </w:rPr>
              <w:t>完成</w:t>
            </w:r>
            <w:r>
              <w:rPr>
                <w:rFonts w:hint="eastAsia" w:ascii="宋体" w:hAnsi="宋体"/>
                <w:sz w:val="18"/>
                <w:szCs w:val="18"/>
              </w:rPr>
              <w:t xml:space="preserve"> 率</w:t>
            </w:r>
          </w:p>
        </w:tc>
        <w:tc>
          <w:tcPr>
            <w:tcW w:w="489" w:type="dxa"/>
            <w:vMerge w:val="restart"/>
            <w:tcBorders>
              <w:top w:val="nil"/>
              <w:left w:val="single" w:color="000000" w:sz="4" w:space="0"/>
              <w:bottom w:val="nil"/>
              <w:right w:val="single" w:color="000000" w:sz="4" w:space="0"/>
            </w:tcBorders>
          </w:tcPr>
          <w:p w14:paraId="15D2739F">
            <w:pPr>
              <w:pStyle w:val="10"/>
              <w:spacing w:line="297" w:lineRule="auto"/>
              <w:rPr>
                <w:sz w:val="21"/>
              </w:rPr>
            </w:pPr>
          </w:p>
          <w:p w14:paraId="53ACB51E">
            <w:pPr>
              <w:pStyle w:val="10"/>
              <w:spacing w:line="297" w:lineRule="auto"/>
              <w:rPr>
                <w:sz w:val="20"/>
              </w:rPr>
            </w:pPr>
          </w:p>
          <w:p w14:paraId="44148054">
            <w:pPr>
              <w:spacing w:before="59"/>
              <w:ind w:left="192"/>
              <w:rPr>
                <w:rFonts w:ascii="宋体" w:hAnsi="宋体"/>
                <w:sz w:val="18"/>
                <w:szCs w:val="18"/>
              </w:rPr>
            </w:pPr>
            <w:r>
              <w:rPr>
                <w:rFonts w:hint="eastAsia" w:ascii="宋体" w:hAnsi="宋体"/>
                <w:sz w:val="18"/>
                <w:szCs w:val="18"/>
              </w:rPr>
              <w:t>6</w:t>
            </w:r>
          </w:p>
        </w:tc>
        <w:tc>
          <w:tcPr>
            <w:tcW w:w="4086" w:type="dxa"/>
            <w:tcBorders>
              <w:top w:val="single" w:color="000000" w:sz="4" w:space="0"/>
              <w:left w:val="single" w:color="000000" w:sz="4" w:space="0"/>
              <w:bottom w:val="single" w:color="000000" w:sz="4" w:space="0"/>
              <w:right w:val="single" w:color="000000" w:sz="4" w:space="0"/>
            </w:tcBorders>
          </w:tcPr>
          <w:p w14:paraId="6A368661">
            <w:pPr>
              <w:spacing w:before="71" w:line="244" w:lineRule="auto"/>
              <w:ind w:left="73" w:right="126"/>
              <w:rPr>
                <w:rFonts w:ascii="宋体" w:hAnsi="宋体"/>
                <w:sz w:val="18"/>
                <w:szCs w:val="18"/>
              </w:rPr>
            </w:pPr>
            <w:r>
              <w:rPr>
                <w:rFonts w:hint="eastAsia" w:ascii="宋体" w:hAnsi="宋体"/>
                <w:sz w:val="18"/>
                <w:szCs w:val="18"/>
              </w:rPr>
              <w:t>1.指标内容(具体根据年初设定的部门整体支出绩</w:t>
            </w:r>
            <w:r>
              <w:rPr>
                <w:rFonts w:hint="eastAsia" w:ascii="宋体" w:hAnsi="宋体"/>
                <w:spacing w:val="5"/>
                <w:sz w:val="18"/>
                <w:szCs w:val="18"/>
              </w:rPr>
              <w:t xml:space="preserve"> </w:t>
            </w:r>
            <w:r>
              <w:rPr>
                <w:rFonts w:hint="eastAsia" w:ascii="宋体" w:hAnsi="宋体"/>
                <w:spacing w:val="2"/>
                <w:sz w:val="18"/>
                <w:szCs w:val="18"/>
              </w:rPr>
              <w:t>效目标中的数量指标内容填报)</w:t>
            </w:r>
          </w:p>
        </w:tc>
        <w:tc>
          <w:tcPr>
            <w:tcW w:w="2987" w:type="dxa"/>
            <w:vMerge w:val="restart"/>
            <w:tcBorders>
              <w:top w:val="nil"/>
              <w:left w:val="single" w:color="000000" w:sz="4" w:space="0"/>
              <w:bottom w:val="nil"/>
              <w:right w:val="single" w:color="000000" w:sz="4" w:space="0"/>
            </w:tcBorders>
          </w:tcPr>
          <w:p w14:paraId="00E7868D">
            <w:pPr>
              <w:pStyle w:val="10"/>
              <w:rPr>
                <w:sz w:val="21"/>
              </w:rPr>
            </w:pPr>
          </w:p>
          <w:p w14:paraId="13BB1D33">
            <w:pPr>
              <w:spacing w:before="58" w:line="242" w:lineRule="auto"/>
              <w:ind w:left="127" w:right="128" w:firstLine="9"/>
              <w:jc w:val="both"/>
              <w:rPr>
                <w:rFonts w:ascii="宋体" w:hAnsi="宋体"/>
                <w:sz w:val="18"/>
                <w:szCs w:val="18"/>
              </w:rPr>
            </w:pPr>
            <w:r>
              <w:rPr>
                <w:rFonts w:hint="eastAsia" w:ascii="宋体" w:hAnsi="宋体"/>
                <w:spacing w:val="-1"/>
                <w:sz w:val="18"/>
                <w:szCs w:val="18"/>
              </w:rPr>
              <w:t>完成年初设定的数量指标相关内容</w:t>
            </w:r>
            <w:r>
              <w:rPr>
                <w:rFonts w:hint="eastAsia" w:ascii="宋体" w:hAnsi="宋体"/>
                <w:spacing w:val="5"/>
                <w:sz w:val="18"/>
                <w:szCs w:val="18"/>
              </w:rPr>
              <w:t xml:space="preserve"> 的，计6分；设定多个数量指标内</w:t>
            </w:r>
            <w:r>
              <w:rPr>
                <w:rFonts w:hint="eastAsia" w:ascii="宋体" w:hAnsi="宋体"/>
                <w:spacing w:val="8"/>
                <w:sz w:val="18"/>
                <w:szCs w:val="18"/>
              </w:rPr>
              <w:t xml:space="preserve"> </w:t>
            </w:r>
            <w:r>
              <w:rPr>
                <w:rFonts w:hint="eastAsia" w:ascii="宋体" w:hAnsi="宋体"/>
                <w:spacing w:val="1"/>
                <w:sz w:val="18"/>
                <w:szCs w:val="18"/>
              </w:rPr>
              <w:t>容的，按每项指标的完成情况分项</w:t>
            </w:r>
            <w:r>
              <w:rPr>
                <w:rFonts w:hint="eastAsia" w:ascii="宋体" w:hAnsi="宋体"/>
                <w:spacing w:val="5"/>
                <w:sz w:val="18"/>
                <w:szCs w:val="18"/>
              </w:rPr>
              <w:t xml:space="preserve"> </w:t>
            </w:r>
            <w:r>
              <w:rPr>
                <w:rFonts w:hint="eastAsia" w:ascii="宋体" w:hAnsi="宋体"/>
                <w:spacing w:val="-1"/>
                <w:sz w:val="18"/>
                <w:szCs w:val="18"/>
              </w:rPr>
              <w:t>计分；未完成的不计分。</w:t>
            </w:r>
          </w:p>
        </w:tc>
        <w:tc>
          <w:tcPr>
            <w:tcW w:w="644" w:type="dxa"/>
            <w:vMerge w:val="restart"/>
            <w:tcBorders>
              <w:top w:val="nil"/>
              <w:left w:val="single" w:color="000000" w:sz="4" w:space="0"/>
              <w:bottom w:val="nil"/>
              <w:right w:val="single" w:color="000000" w:sz="4" w:space="0"/>
            </w:tcBorders>
            <w:vAlign w:val="center"/>
          </w:tcPr>
          <w:p w14:paraId="1D47C470">
            <w:pPr>
              <w:pStyle w:val="10"/>
              <w:jc w:val="center"/>
              <w:rPr>
                <w:rFonts w:hint="eastAsia" w:eastAsia="宋体"/>
                <w:sz w:val="20"/>
                <w:lang w:val="en-US" w:eastAsia="zh-CN"/>
              </w:rPr>
            </w:pPr>
            <w:r>
              <w:rPr>
                <w:rFonts w:hint="eastAsia"/>
                <w:color w:val="auto"/>
                <w:sz w:val="20"/>
                <w:lang w:val="en-US" w:eastAsia="zh-CN"/>
              </w:rPr>
              <w:t>6</w:t>
            </w:r>
          </w:p>
        </w:tc>
      </w:tr>
      <w:tr w14:paraId="41433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973" w:type="dxa"/>
            <w:vMerge w:val="continue"/>
            <w:tcBorders>
              <w:top w:val="nil"/>
              <w:left w:val="single" w:color="000000" w:sz="4" w:space="0"/>
              <w:bottom w:val="nil"/>
              <w:right w:val="single" w:color="000000" w:sz="4" w:space="0"/>
            </w:tcBorders>
            <w:vAlign w:val="center"/>
          </w:tcPr>
          <w:p w14:paraId="035A9B55">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350856FA">
            <w:pPr>
              <w:kinsoku/>
              <w:autoSpaceDE/>
              <w:autoSpaceDN/>
              <w:adjustRightInd/>
              <w:snapToGrid/>
              <w:textAlignment w:val="auto"/>
              <w:rPr>
                <w:rFonts w:ascii="宋体" w:hAnsi="宋体"/>
                <w:sz w:val="18"/>
                <w:szCs w:val="18"/>
              </w:rPr>
            </w:pPr>
          </w:p>
        </w:tc>
        <w:tc>
          <w:tcPr>
            <w:tcW w:w="669" w:type="dxa"/>
            <w:vMerge w:val="continue"/>
            <w:tcBorders>
              <w:top w:val="nil"/>
              <w:left w:val="single" w:color="000000" w:sz="4" w:space="0"/>
              <w:bottom w:val="nil"/>
              <w:right w:val="single" w:color="000000" w:sz="4" w:space="0"/>
            </w:tcBorders>
            <w:vAlign w:val="center"/>
          </w:tcPr>
          <w:p w14:paraId="631BA922">
            <w:pPr>
              <w:kinsoku/>
              <w:autoSpaceDE/>
              <w:autoSpaceDN/>
              <w:adjustRightInd/>
              <w:snapToGrid/>
              <w:textAlignment w:val="auto"/>
              <w:rPr>
                <w:rFonts w:ascii="宋体" w:hAnsi="宋体"/>
                <w:sz w:val="18"/>
                <w:szCs w:val="18"/>
              </w:rPr>
            </w:pPr>
          </w:p>
        </w:tc>
        <w:tc>
          <w:tcPr>
            <w:tcW w:w="489" w:type="dxa"/>
            <w:vMerge w:val="continue"/>
            <w:tcBorders>
              <w:top w:val="nil"/>
              <w:left w:val="single" w:color="000000" w:sz="4" w:space="0"/>
              <w:bottom w:val="nil"/>
              <w:right w:val="single" w:color="000000" w:sz="4" w:space="0"/>
            </w:tcBorders>
            <w:vAlign w:val="center"/>
          </w:tcPr>
          <w:p w14:paraId="01CBA551">
            <w:pPr>
              <w:kinsoku/>
              <w:autoSpaceDE/>
              <w:autoSpaceDN/>
              <w:adjustRightInd/>
              <w:snapToGrid/>
              <w:textAlignment w:val="auto"/>
              <w:rPr>
                <w:rFonts w:ascii="宋体" w:hAnsi="宋体"/>
                <w:sz w:val="18"/>
                <w:szCs w:val="18"/>
              </w:rPr>
            </w:pPr>
          </w:p>
        </w:tc>
        <w:tc>
          <w:tcPr>
            <w:tcW w:w="4086" w:type="dxa"/>
            <w:tcBorders>
              <w:top w:val="single" w:color="000000" w:sz="4" w:space="0"/>
              <w:left w:val="single" w:color="000000" w:sz="4" w:space="0"/>
              <w:bottom w:val="single" w:color="000000" w:sz="4" w:space="0"/>
              <w:right w:val="single" w:color="000000" w:sz="4" w:space="0"/>
            </w:tcBorders>
          </w:tcPr>
          <w:p w14:paraId="3582DD7B">
            <w:pPr>
              <w:spacing w:before="150"/>
              <w:ind w:left="73"/>
              <w:rPr>
                <w:rFonts w:ascii="宋体" w:hAnsi="宋体"/>
                <w:sz w:val="18"/>
                <w:szCs w:val="18"/>
              </w:rPr>
            </w:pPr>
            <w:r>
              <w:rPr>
                <w:rFonts w:hint="eastAsia" w:ascii="宋体" w:hAnsi="宋体"/>
                <w:spacing w:val="-4"/>
                <w:sz w:val="18"/>
                <w:szCs w:val="18"/>
              </w:rPr>
              <w:t>2……</w:t>
            </w:r>
          </w:p>
        </w:tc>
        <w:tc>
          <w:tcPr>
            <w:tcW w:w="2987" w:type="dxa"/>
            <w:vMerge w:val="continue"/>
            <w:tcBorders>
              <w:top w:val="nil"/>
              <w:left w:val="single" w:color="000000" w:sz="4" w:space="0"/>
              <w:bottom w:val="nil"/>
              <w:right w:val="single" w:color="000000" w:sz="4" w:space="0"/>
            </w:tcBorders>
            <w:vAlign w:val="center"/>
          </w:tcPr>
          <w:p w14:paraId="12948DD2">
            <w:pPr>
              <w:kinsoku/>
              <w:autoSpaceDE/>
              <w:autoSpaceDN/>
              <w:adjustRightInd/>
              <w:snapToGrid/>
              <w:textAlignment w:val="auto"/>
              <w:rPr>
                <w:rFonts w:ascii="宋体" w:hAnsi="宋体"/>
                <w:sz w:val="18"/>
                <w:szCs w:val="18"/>
              </w:rPr>
            </w:pPr>
          </w:p>
        </w:tc>
        <w:tc>
          <w:tcPr>
            <w:tcW w:w="644" w:type="dxa"/>
            <w:vMerge w:val="continue"/>
            <w:tcBorders>
              <w:top w:val="nil"/>
              <w:left w:val="single" w:color="000000" w:sz="4" w:space="0"/>
              <w:bottom w:val="nil"/>
              <w:right w:val="single" w:color="000000" w:sz="4" w:space="0"/>
            </w:tcBorders>
            <w:vAlign w:val="center"/>
          </w:tcPr>
          <w:p w14:paraId="1F6D7E0B">
            <w:pPr>
              <w:kinsoku/>
              <w:autoSpaceDE/>
              <w:autoSpaceDN/>
              <w:adjustRightInd/>
              <w:snapToGrid/>
              <w:jc w:val="center"/>
              <w:textAlignment w:val="auto"/>
              <w:rPr>
                <w:sz w:val="21"/>
              </w:rPr>
            </w:pPr>
          </w:p>
        </w:tc>
      </w:tr>
      <w:tr w14:paraId="7DB69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973" w:type="dxa"/>
            <w:vMerge w:val="continue"/>
            <w:tcBorders>
              <w:top w:val="nil"/>
              <w:left w:val="single" w:color="000000" w:sz="4" w:space="0"/>
              <w:bottom w:val="nil"/>
              <w:right w:val="single" w:color="000000" w:sz="4" w:space="0"/>
            </w:tcBorders>
            <w:vAlign w:val="center"/>
          </w:tcPr>
          <w:p w14:paraId="06F40979">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337B02F5">
            <w:pPr>
              <w:kinsoku/>
              <w:autoSpaceDE/>
              <w:autoSpaceDN/>
              <w:adjustRightInd/>
              <w:snapToGrid/>
              <w:textAlignment w:val="auto"/>
              <w:rPr>
                <w:rFonts w:ascii="宋体" w:hAnsi="宋体"/>
                <w:sz w:val="18"/>
                <w:szCs w:val="18"/>
              </w:rPr>
            </w:pPr>
          </w:p>
        </w:tc>
        <w:tc>
          <w:tcPr>
            <w:tcW w:w="669" w:type="dxa"/>
            <w:vMerge w:val="continue"/>
            <w:tcBorders>
              <w:top w:val="nil"/>
              <w:left w:val="single" w:color="000000" w:sz="4" w:space="0"/>
              <w:bottom w:val="nil"/>
              <w:right w:val="single" w:color="000000" w:sz="4" w:space="0"/>
            </w:tcBorders>
            <w:vAlign w:val="center"/>
          </w:tcPr>
          <w:p w14:paraId="3CBA2242">
            <w:pPr>
              <w:kinsoku/>
              <w:autoSpaceDE/>
              <w:autoSpaceDN/>
              <w:adjustRightInd/>
              <w:snapToGrid/>
              <w:textAlignment w:val="auto"/>
              <w:rPr>
                <w:rFonts w:ascii="宋体" w:hAnsi="宋体"/>
                <w:sz w:val="18"/>
                <w:szCs w:val="18"/>
              </w:rPr>
            </w:pPr>
          </w:p>
        </w:tc>
        <w:tc>
          <w:tcPr>
            <w:tcW w:w="489" w:type="dxa"/>
            <w:vMerge w:val="continue"/>
            <w:tcBorders>
              <w:top w:val="nil"/>
              <w:left w:val="single" w:color="000000" w:sz="4" w:space="0"/>
              <w:bottom w:val="nil"/>
              <w:right w:val="single" w:color="000000" w:sz="4" w:space="0"/>
            </w:tcBorders>
            <w:vAlign w:val="center"/>
          </w:tcPr>
          <w:p w14:paraId="662F5677">
            <w:pPr>
              <w:kinsoku/>
              <w:autoSpaceDE/>
              <w:autoSpaceDN/>
              <w:adjustRightInd/>
              <w:snapToGrid/>
              <w:textAlignment w:val="auto"/>
              <w:rPr>
                <w:rFonts w:ascii="宋体" w:hAnsi="宋体"/>
                <w:sz w:val="18"/>
                <w:szCs w:val="18"/>
              </w:rPr>
            </w:pPr>
          </w:p>
        </w:tc>
        <w:tc>
          <w:tcPr>
            <w:tcW w:w="4086" w:type="dxa"/>
            <w:tcBorders>
              <w:top w:val="single" w:color="000000" w:sz="4" w:space="0"/>
              <w:left w:val="single" w:color="000000" w:sz="4" w:space="0"/>
              <w:bottom w:val="single" w:color="000000" w:sz="4" w:space="0"/>
              <w:right w:val="single" w:color="000000" w:sz="4" w:space="0"/>
            </w:tcBorders>
          </w:tcPr>
          <w:p w14:paraId="4B52275E">
            <w:pPr>
              <w:spacing w:before="150"/>
              <w:ind w:left="73"/>
              <w:rPr>
                <w:rFonts w:ascii="宋体" w:hAnsi="宋体"/>
                <w:sz w:val="18"/>
                <w:szCs w:val="18"/>
              </w:rPr>
            </w:pPr>
            <w:r>
              <w:rPr>
                <w:rFonts w:hint="eastAsia" w:ascii="宋体" w:hAnsi="宋体"/>
                <w:spacing w:val="-4"/>
                <w:sz w:val="18"/>
                <w:szCs w:val="18"/>
              </w:rPr>
              <w:t>3……</w:t>
            </w:r>
          </w:p>
        </w:tc>
        <w:tc>
          <w:tcPr>
            <w:tcW w:w="2987" w:type="dxa"/>
            <w:vMerge w:val="continue"/>
            <w:tcBorders>
              <w:top w:val="nil"/>
              <w:left w:val="single" w:color="000000" w:sz="4" w:space="0"/>
              <w:bottom w:val="nil"/>
              <w:right w:val="single" w:color="000000" w:sz="4" w:space="0"/>
            </w:tcBorders>
            <w:vAlign w:val="center"/>
          </w:tcPr>
          <w:p w14:paraId="31855CA6">
            <w:pPr>
              <w:kinsoku/>
              <w:autoSpaceDE/>
              <w:autoSpaceDN/>
              <w:adjustRightInd/>
              <w:snapToGrid/>
              <w:textAlignment w:val="auto"/>
              <w:rPr>
                <w:rFonts w:ascii="宋体" w:hAnsi="宋体"/>
                <w:sz w:val="18"/>
                <w:szCs w:val="18"/>
              </w:rPr>
            </w:pPr>
          </w:p>
        </w:tc>
        <w:tc>
          <w:tcPr>
            <w:tcW w:w="644" w:type="dxa"/>
            <w:vMerge w:val="continue"/>
            <w:tcBorders>
              <w:top w:val="nil"/>
              <w:left w:val="single" w:color="000000" w:sz="4" w:space="0"/>
              <w:bottom w:val="nil"/>
              <w:right w:val="single" w:color="000000" w:sz="4" w:space="0"/>
            </w:tcBorders>
            <w:vAlign w:val="center"/>
          </w:tcPr>
          <w:p w14:paraId="033BD3A1">
            <w:pPr>
              <w:kinsoku/>
              <w:autoSpaceDE/>
              <w:autoSpaceDN/>
              <w:adjustRightInd/>
              <w:snapToGrid/>
              <w:jc w:val="center"/>
              <w:textAlignment w:val="auto"/>
              <w:rPr>
                <w:sz w:val="21"/>
              </w:rPr>
            </w:pPr>
          </w:p>
        </w:tc>
      </w:tr>
      <w:tr w14:paraId="399F7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973" w:type="dxa"/>
            <w:vMerge w:val="continue"/>
            <w:tcBorders>
              <w:top w:val="nil"/>
              <w:left w:val="single" w:color="000000" w:sz="4" w:space="0"/>
              <w:bottom w:val="nil"/>
              <w:right w:val="single" w:color="000000" w:sz="4" w:space="0"/>
            </w:tcBorders>
            <w:vAlign w:val="center"/>
          </w:tcPr>
          <w:p w14:paraId="390A8A3E">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2AE803CD">
            <w:pPr>
              <w:kinsoku/>
              <w:autoSpaceDE/>
              <w:autoSpaceDN/>
              <w:adjustRightInd/>
              <w:snapToGrid/>
              <w:textAlignment w:val="auto"/>
              <w:rPr>
                <w:rFonts w:ascii="宋体" w:hAnsi="宋体"/>
                <w:sz w:val="18"/>
                <w:szCs w:val="18"/>
              </w:rPr>
            </w:pPr>
          </w:p>
        </w:tc>
        <w:tc>
          <w:tcPr>
            <w:tcW w:w="669" w:type="dxa"/>
            <w:vMerge w:val="restart"/>
            <w:tcBorders>
              <w:top w:val="nil"/>
              <w:left w:val="single" w:color="000000" w:sz="4" w:space="0"/>
              <w:bottom w:val="nil"/>
              <w:right w:val="single" w:color="000000" w:sz="4" w:space="0"/>
            </w:tcBorders>
          </w:tcPr>
          <w:p w14:paraId="00BBEC16">
            <w:pPr>
              <w:spacing w:before="294"/>
              <w:ind w:left="141"/>
              <w:rPr>
                <w:rFonts w:ascii="宋体" w:hAnsi="宋体"/>
                <w:sz w:val="18"/>
                <w:szCs w:val="18"/>
              </w:rPr>
            </w:pPr>
            <w:r>
              <w:rPr>
                <w:rFonts w:hint="eastAsia" w:ascii="宋体" w:hAnsi="宋体"/>
                <w:spacing w:val="-2"/>
                <w:sz w:val="18"/>
                <w:szCs w:val="18"/>
              </w:rPr>
              <w:t>质量</w:t>
            </w:r>
          </w:p>
          <w:p w14:paraId="38A3C17C">
            <w:pPr>
              <w:spacing w:before="1"/>
              <w:ind w:left="190" w:right="164" w:hanging="49"/>
              <w:rPr>
                <w:rFonts w:ascii="宋体" w:hAnsi="宋体"/>
                <w:sz w:val="18"/>
                <w:szCs w:val="18"/>
              </w:rPr>
            </w:pPr>
            <w:r>
              <w:rPr>
                <w:rFonts w:hint="eastAsia" w:ascii="宋体" w:hAnsi="宋体"/>
                <w:spacing w:val="-4"/>
                <w:sz w:val="18"/>
                <w:szCs w:val="18"/>
              </w:rPr>
              <w:t>达标</w:t>
            </w:r>
            <w:r>
              <w:rPr>
                <w:rFonts w:hint="eastAsia" w:ascii="宋体" w:hAnsi="宋体"/>
                <w:sz w:val="18"/>
                <w:szCs w:val="18"/>
              </w:rPr>
              <w:t xml:space="preserve"> 率</w:t>
            </w:r>
          </w:p>
        </w:tc>
        <w:tc>
          <w:tcPr>
            <w:tcW w:w="489" w:type="dxa"/>
            <w:vMerge w:val="restart"/>
            <w:tcBorders>
              <w:top w:val="nil"/>
              <w:left w:val="single" w:color="000000" w:sz="4" w:space="0"/>
              <w:bottom w:val="nil"/>
              <w:right w:val="single" w:color="000000" w:sz="4" w:space="0"/>
            </w:tcBorders>
          </w:tcPr>
          <w:p w14:paraId="361FA9C2">
            <w:pPr>
              <w:pStyle w:val="10"/>
              <w:spacing w:line="427" w:lineRule="auto"/>
              <w:rPr>
                <w:sz w:val="21"/>
              </w:rPr>
            </w:pPr>
          </w:p>
          <w:p w14:paraId="5E60FBCC">
            <w:pPr>
              <w:spacing w:before="59"/>
              <w:ind w:left="192"/>
              <w:rPr>
                <w:rFonts w:ascii="宋体" w:hAnsi="宋体"/>
                <w:sz w:val="18"/>
                <w:szCs w:val="18"/>
              </w:rPr>
            </w:pPr>
            <w:r>
              <w:rPr>
                <w:rFonts w:hint="eastAsia" w:ascii="宋体" w:hAnsi="宋体"/>
                <w:sz w:val="18"/>
                <w:szCs w:val="18"/>
              </w:rPr>
              <w:t>6</w:t>
            </w:r>
          </w:p>
        </w:tc>
        <w:tc>
          <w:tcPr>
            <w:tcW w:w="4086" w:type="dxa"/>
            <w:tcBorders>
              <w:top w:val="single" w:color="000000" w:sz="4" w:space="0"/>
              <w:left w:val="single" w:color="000000" w:sz="4" w:space="0"/>
              <w:bottom w:val="single" w:color="000000" w:sz="4" w:space="0"/>
              <w:right w:val="single" w:color="000000" w:sz="4" w:space="0"/>
            </w:tcBorders>
          </w:tcPr>
          <w:p w14:paraId="37F82793">
            <w:pPr>
              <w:spacing w:before="62"/>
              <w:ind w:left="73" w:right="76" w:firstLine="49"/>
              <w:rPr>
                <w:rFonts w:ascii="宋体" w:hAnsi="宋体"/>
                <w:sz w:val="18"/>
                <w:szCs w:val="18"/>
              </w:rPr>
            </w:pPr>
            <w:r>
              <w:rPr>
                <w:rFonts w:hint="eastAsia" w:ascii="宋体" w:hAnsi="宋体"/>
                <w:sz w:val="18"/>
                <w:szCs w:val="18"/>
              </w:rPr>
              <w:t>1.指标内容(具体根据年初设定的部门整体支出绩</w:t>
            </w:r>
            <w:r>
              <w:rPr>
                <w:rFonts w:hint="eastAsia" w:ascii="宋体" w:hAnsi="宋体"/>
                <w:spacing w:val="5"/>
                <w:sz w:val="18"/>
                <w:szCs w:val="18"/>
              </w:rPr>
              <w:t xml:space="preserve"> </w:t>
            </w:r>
            <w:r>
              <w:rPr>
                <w:rFonts w:hint="eastAsia" w:ascii="宋体" w:hAnsi="宋体"/>
                <w:spacing w:val="2"/>
                <w:sz w:val="18"/>
                <w:szCs w:val="18"/>
              </w:rPr>
              <w:t>效目标中的质量指标内容填报)</w:t>
            </w:r>
          </w:p>
        </w:tc>
        <w:tc>
          <w:tcPr>
            <w:tcW w:w="2987" w:type="dxa"/>
            <w:vMerge w:val="restart"/>
            <w:tcBorders>
              <w:top w:val="nil"/>
              <w:left w:val="single" w:color="000000" w:sz="4" w:space="0"/>
              <w:bottom w:val="nil"/>
              <w:right w:val="single" w:color="000000" w:sz="4" w:space="0"/>
            </w:tcBorders>
          </w:tcPr>
          <w:p w14:paraId="5E75FABC">
            <w:pPr>
              <w:spacing w:before="133"/>
              <w:ind w:left="137"/>
              <w:rPr>
                <w:rFonts w:ascii="宋体" w:hAnsi="宋体"/>
                <w:sz w:val="18"/>
                <w:szCs w:val="18"/>
              </w:rPr>
            </w:pPr>
            <w:r>
              <w:rPr>
                <w:rFonts w:hint="eastAsia" w:ascii="宋体" w:hAnsi="宋体"/>
                <w:spacing w:val="-1"/>
                <w:sz w:val="18"/>
                <w:szCs w:val="18"/>
              </w:rPr>
              <w:t>达到年初设定的质量指标相关标准</w:t>
            </w:r>
          </w:p>
          <w:p w14:paraId="013014A2">
            <w:pPr>
              <w:spacing w:before="36"/>
              <w:ind w:left="187"/>
              <w:rPr>
                <w:rFonts w:hint="eastAsia" w:ascii="宋体" w:hAnsi="宋体"/>
                <w:sz w:val="18"/>
                <w:szCs w:val="18"/>
              </w:rPr>
            </w:pPr>
            <w:r>
              <w:rPr>
                <w:rFonts w:hint="eastAsia" w:ascii="宋体" w:hAnsi="宋体"/>
                <w:spacing w:val="1"/>
                <w:sz w:val="18"/>
                <w:szCs w:val="18"/>
              </w:rPr>
              <w:t>的，计6分；设定多个质量指标内</w:t>
            </w:r>
          </w:p>
          <w:p w14:paraId="157D66D3">
            <w:pPr>
              <w:spacing w:before="26"/>
              <w:ind w:left="137"/>
              <w:rPr>
                <w:rFonts w:hint="eastAsia" w:ascii="宋体" w:hAnsi="宋体"/>
                <w:sz w:val="18"/>
                <w:szCs w:val="18"/>
              </w:rPr>
            </w:pPr>
            <w:r>
              <w:rPr>
                <w:rFonts w:hint="eastAsia" w:ascii="宋体" w:hAnsi="宋体"/>
                <w:sz w:val="18"/>
                <w:szCs w:val="18"/>
              </w:rPr>
              <w:t>容的，按每项指标的完成情况分项</w:t>
            </w:r>
          </w:p>
          <w:p w14:paraId="2B5058A5">
            <w:pPr>
              <w:spacing w:before="26"/>
              <w:jc w:val="right"/>
              <w:rPr>
                <w:rFonts w:ascii="宋体" w:hAnsi="宋体"/>
                <w:sz w:val="18"/>
                <w:szCs w:val="18"/>
              </w:rPr>
            </w:pPr>
            <w:r>
              <w:rPr>
                <w:rFonts w:hint="eastAsia" w:ascii="宋体" w:hAnsi="宋体"/>
                <w:spacing w:val="-1"/>
                <w:sz w:val="18"/>
                <w:szCs w:val="18"/>
              </w:rPr>
              <w:t>计分；未达到的质量标准的不计分。</w:t>
            </w:r>
          </w:p>
        </w:tc>
        <w:tc>
          <w:tcPr>
            <w:tcW w:w="644" w:type="dxa"/>
            <w:vMerge w:val="restart"/>
            <w:tcBorders>
              <w:top w:val="nil"/>
              <w:left w:val="single" w:color="000000" w:sz="4" w:space="0"/>
              <w:bottom w:val="nil"/>
              <w:right w:val="single" w:color="000000" w:sz="4" w:space="0"/>
            </w:tcBorders>
            <w:vAlign w:val="center"/>
          </w:tcPr>
          <w:p w14:paraId="209BC29A">
            <w:pPr>
              <w:pStyle w:val="10"/>
              <w:jc w:val="center"/>
              <w:rPr>
                <w:rFonts w:hint="eastAsia" w:eastAsia="宋体"/>
                <w:sz w:val="20"/>
                <w:lang w:val="en-US" w:eastAsia="zh-CN"/>
              </w:rPr>
            </w:pPr>
            <w:r>
              <w:rPr>
                <w:rFonts w:hint="eastAsia"/>
                <w:sz w:val="20"/>
                <w:lang w:val="en-US" w:eastAsia="zh-CN"/>
              </w:rPr>
              <w:t>6</w:t>
            </w:r>
          </w:p>
        </w:tc>
      </w:tr>
      <w:tr w14:paraId="7F17F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1973" w:type="dxa"/>
            <w:vMerge w:val="continue"/>
            <w:tcBorders>
              <w:top w:val="nil"/>
              <w:left w:val="single" w:color="000000" w:sz="4" w:space="0"/>
              <w:bottom w:val="nil"/>
              <w:right w:val="single" w:color="000000" w:sz="4" w:space="0"/>
            </w:tcBorders>
            <w:vAlign w:val="center"/>
          </w:tcPr>
          <w:p w14:paraId="32BF7731">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691A9AED">
            <w:pPr>
              <w:kinsoku/>
              <w:autoSpaceDE/>
              <w:autoSpaceDN/>
              <w:adjustRightInd/>
              <w:snapToGrid/>
              <w:textAlignment w:val="auto"/>
              <w:rPr>
                <w:rFonts w:ascii="宋体" w:hAnsi="宋体"/>
                <w:sz w:val="18"/>
                <w:szCs w:val="18"/>
              </w:rPr>
            </w:pPr>
          </w:p>
        </w:tc>
        <w:tc>
          <w:tcPr>
            <w:tcW w:w="669" w:type="dxa"/>
            <w:vMerge w:val="continue"/>
            <w:tcBorders>
              <w:top w:val="nil"/>
              <w:left w:val="single" w:color="000000" w:sz="4" w:space="0"/>
              <w:bottom w:val="nil"/>
              <w:right w:val="single" w:color="000000" w:sz="4" w:space="0"/>
            </w:tcBorders>
            <w:vAlign w:val="center"/>
          </w:tcPr>
          <w:p w14:paraId="608C4332">
            <w:pPr>
              <w:kinsoku/>
              <w:autoSpaceDE/>
              <w:autoSpaceDN/>
              <w:adjustRightInd/>
              <w:snapToGrid/>
              <w:textAlignment w:val="auto"/>
              <w:rPr>
                <w:rFonts w:ascii="宋体" w:hAnsi="宋体"/>
                <w:sz w:val="18"/>
                <w:szCs w:val="18"/>
              </w:rPr>
            </w:pPr>
          </w:p>
        </w:tc>
        <w:tc>
          <w:tcPr>
            <w:tcW w:w="489" w:type="dxa"/>
            <w:vMerge w:val="continue"/>
            <w:tcBorders>
              <w:top w:val="nil"/>
              <w:left w:val="single" w:color="000000" w:sz="4" w:space="0"/>
              <w:bottom w:val="nil"/>
              <w:right w:val="single" w:color="000000" w:sz="4" w:space="0"/>
            </w:tcBorders>
            <w:vAlign w:val="center"/>
          </w:tcPr>
          <w:p w14:paraId="4D04C50D">
            <w:pPr>
              <w:kinsoku/>
              <w:autoSpaceDE/>
              <w:autoSpaceDN/>
              <w:adjustRightInd/>
              <w:snapToGrid/>
              <w:textAlignment w:val="auto"/>
              <w:rPr>
                <w:rFonts w:ascii="宋体" w:hAnsi="宋体"/>
                <w:sz w:val="18"/>
                <w:szCs w:val="18"/>
              </w:rPr>
            </w:pPr>
          </w:p>
        </w:tc>
        <w:tc>
          <w:tcPr>
            <w:tcW w:w="4086" w:type="dxa"/>
            <w:tcBorders>
              <w:top w:val="single" w:color="000000" w:sz="4" w:space="0"/>
              <w:left w:val="single" w:color="000000" w:sz="4" w:space="0"/>
              <w:bottom w:val="single" w:color="000000" w:sz="4" w:space="0"/>
              <w:right w:val="single" w:color="000000" w:sz="4" w:space="0"/>
            </w:tcBorders>
          </w:tcPr>
          <w:p w14:paraId="05A6ADA2">
            <w:pPr>
              <w:spacing w:before="81"/>
              <w:ind w:left="73"/>
              <w:rPr>
                <w:rFonts w:ascii="宋体" w:hAnsi="宋体"/>
                <w:sz w:val="18"/>
                <w:szCs w:val="18"/>
              </w:rPr>
            </w:pPr>
            <w:r>
              <w:rPr>
                <w:rFonts w:hint="eastAsia" w:ascii="宋体" w:hAnsi="宋体"/>
                <w:spacing w:val="-4"/>
                <w:sz w:val="18"/>
                <w:szCs w:val="18"/>
              </w:rPr>
              <w:t>2……</w:t>
            </w:r>
          </w:p>
        </w:tc>
        <w:tc>
          <w:tcPr>
            <w:tcW w:w="2987" w:type="dxa"/>
            <w:vMerge w:val="continue"/>
            <w:tcBorders>
              <w:top w:val="nil"/>
              <w:left w:val="single" w:color="000000" w:sz="4" w:space="0"/>
              <w:bottom w:val="nil"/>
              <w:right w:val="single" w:color="000000" w:sz="4" w:space="0"/>
            </w:tcBorders>
            <w:vAlign w:val="center"/>
          </w:tcPr>
          <w:p w14:paraId="3EE1A55E">
            <w:pPr>
              <w:kinsoku/>
              <w:autoSpaceDE/>
              <w:autoSpaceDN/>
              <w:adjustRightInd/>
              <w:snapToGrid/>
              <w:textAlignment w:val="auto"/>
              <w:rPr>
                <w:rFonts w:ascii="宋体" w:hAnsi="宋体"/>
                <w:sz w:val="18"/>
                <w:szCs w:val="18"/>
              </w:rPr>
            </w:pPr>
          </w:p>
        </w:tc>
        <w:tc>
          <w:tcPr>
            <w:tcW w:w="644" w:type="dxa"/>
            <w:vMerge w:val="continue"/>
            <w:tcBorders>
              <w:top w:val="nil"/>
              <w:left w:val="single" w:color="000000" w:sz="4" w:space="0"/>
              <w:bottom w:val="nil"/>
              <w:right w:val="single" w:color="000000" w:sz="4" w:space="0"/>
            </w:tcBorders>
            <w:vAlign w:val="center"/>
          </w:tcPr>
          <w:p w14:paraId="6B936975">
            <w:pPr>
              <w:kinsoku/>
              <w:autoSpaceDE/>
              <w:autoSpaceDN/>
              <w:adjustRightInd/>
              <w:snapToGrid/>
              <w:jc w:val="center"/>
              <w:textAlignment w:val="auto"/>
              <w:rPr>
                <w:sz w:val="21"/>
              </w:rPr>
            </w:pPr>
          </w:p>
        </w:tc>
      </w:tr>
      <w:tr w14:paraId="153EC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973" w:type="dxa"/>
            <w:vMerge w:val="continue"/>
            <w:tcBorders>
              <w:top w:val="nil"/>
              <w:left w:val="single" w:color="000000" w:sz="4" w:space="0"/>
              <w:bottom w:val="nil"/>
              <w:right w:val="single" w:color="000000" w:sz="4" w:space="0"/>
            </w:tcBorders>
            <w:vAlign w:val="center"/>
          </w:tcPr>
          <w:p w14:paraId="2CABA1ED">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1177483B">
            <w:pPr>
              <w:kinsoku/>
              <w:autoSpaceDE/>
              <w:autoSpaceDN/>
              <w:adjustRightInd/>
              <w:snapToGrid/>
              <w:textAlignment w:val="auto"/>
              <w:rPr>
                <w:rFonts w:ascii="宋体" w:hAnsi="宋体"/>
                <w:sz w:val="18"/>
                <w:szCs w:val="18"/>
              </w:rPr>
            </w:pPr>
          </w:p>
        </w:tc>
        <w:tc>
          <w:tcPr>
            <w:tcW w:w="669" w:type="dxa"/>
            <w:vMerge w:val="continue"/>
            <w:tcBorders>
              <w:top w:val="nil"/>
              <w:left w:val="single" w:color="000000" w:sz="4" w:space="0"/>
              <w:bottom w:val="nil"/>
              <w:right w:val="single" w:color="000000" w:sz="4" w:space="0"/>
            </w:tcBorders>
            <w:vAlign w:val="center"/>
          </w:tcPr>
          <w:p w14:paraId="45F32854">
            <w:pPr>
              <w:kinsoku/>
              <w:autoSpaceDE/>
              <w:autoSpaceDN/>
              <w:adjustRightInd/>
              <w:snapToGrid/>
              <w:textAlignment w:val="auto"/>
              <w:rPr>
                <w:rFonts w:ascii="宋体" w:hAnsi="宋体"/>
                <w:sz w:val="18"/>
                <w:szCs w:val="18"/>
              </w:rPr>
            </w:pPr>
          </w:p>
        </w:tc>
        <w:tc>
          <w:tcPr>
            <w:tcW w:w="489" w:type="dxa"/>
            <w:vMerge w:val="continue"/>
            <w:tcBorders>
              <w:top w:val="nil"/>
              <w:left w:val="single" w:color="000000" w:sz="4" w:space="0"/>
              <w:bottom w:val="nil"/>
              <w:right w:val="single" w:color="000000" w:sz="4" w:space="0"/>
            </w:tcBorders>
            <w:vAlign w:val="center"/>
          </w:tcPr>
          <w:p w14:paraId="35D80F9A">
            <w:pPr>
              <w:kinsoku/>
              <w:autoSpaceDE/>
              <w:autoSpaceDN/>
              <w:adjustRightInd/>
              <w:snapToGrid/>
              <w:textAlignment w:val="auto"/>
              <w:rPr>
                <w:rFonts w:ascii="宋体" w:hAnsi="宋体"/>
                <w:sz w:val="18"/>
                <w:szCs w:val="18"/>
              </w:rPr>
            </w:pPr>
          </w:p>
        </w:tc>
        <w:tc>
          <w:tcPr>
            <w:tcW w:w="4086" w:type="dxa"/>
            <w:tcBorders>
              <w:top w:val="single" w:color="000000" w:sz="4" w:space="0"/>
              <w:left w:val="single" w:color="000000" w:sz="4" w:space="0"/>
              <w:bottom w:val="single" w:color="000000" w:sz="4" w:space="0"/>
              <w:right w:val="single" w:color="000000" w:sz="4" w:space="0"/>
            </w:tcBorders>
          </w:tcPr>
          <w:p w14:paraId="2A7E434B">
            <w:pPr>
              <w:spacing w:before="91"/>
              <w:ind w:left="73"/>
              <w:rPr>
                <w:rFonts w:ascii="宋体" w:hAnsi="宋体"/>
                <w:sz w:val="18"/>
                <w:szCs w:val="18"/>
              </w:rPr>
            </w:pPr>
            <w:r>
              <w:rPr>
                <w:rFonts w:hint="eastAsia" w:ascii="宋体" w:hAnsi="宋体"/>
                <w:spacing w:val="-4"/>
                <w:sz w:val="18"/>
                <w:szCs w:val="18"/>
              </w:rPr>
              <w:t>3……</w:t>
            </w:r>
          </w:p>
        </w:tc>
        <w:tc>
          <w:tcPr>
            <w:tcW w:w="2987" w:type="dxa"/>
            <w:vMerge w:val="continue"/>
            <w:tcBorders>
              <w:top w:val="nil"/>
              <w:left w:val="single" w:color="000000" w:sz="4" w:space="0"/>
              <w:bottom w:val="nil"/>
              <w:right w:val="single" w:color="000000" w:sz="4" w:space="0"/>
            </w:tcBorders>
            <w:vAlign w:val="center"/>
          </w:tcPr>
          <w:p w14:paraId="61937BE4">
            <w:pPr>
              <w:kinsoku/>
              <w:autoSpaceDE/>
              <w:autoSpaceDN/>
              <w:adjustRightInd/>
              <w:snapToGrid/>
              <w:textAlignment w:val="auto"/>
              <w:rPr>
                <w:rFonts w:ascii="宋体" w:hAnsi="宋体"/>
                <w:sz w:val="18"/>
                <w:szCs w:val="18"/>
              </w:rPr>
            </w:pPr>
          </w:p>
        </w:tc>
        <w:tc>
          <w:tcPr>
            <w:tcW w:w="644" w:type="dxa"/>
            <w:vMerge w:val="continue"/>
            <w:tcBorders>
              <w:top w:val="nil"/>
              <w:left w:val="single" w:color="000000" w:sz="4" w:space="0"/>
              <w:bottom w:val="nil"/>
              <w:right w:val="single" w:color="000000" w:sz="4" w:space="0"/>
            </w:tcBorders>
            <w:vAlign w:val="center"/>
          </w:tcPr>
          <w:p w14:paraId="7F86256D">
            <w:pPr>
              <w:kinsoku/>
              <w:autoSpaceDE/>
              <w:autoSpaceDN/>
              <w:adjustRightInd/>
              <w:snapToGrid/>
              <w:jc w:val="center"/>
              <w:textAlignment w:val="auto"/>
              <w:rPr>
                <w:sz w:val="21"/>
              </w:rPr>
            </w:pPr>
          </w:p>
        </w:tc>
      </w:tr>
      <w:tr w14:paraId="4394F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973" w:type="dxa"/>
            <w:vMerge w:val="continue"/>
            <w:tcBorders>
              <w:top w:val="nil"/>
              <w:left w:val="single" w:color="000000" w:sz="4" w:space="0"/>
              <w:bottom w:val="nil"/>
              <w:right w:val="single" w:color="000000" w:sz="4" w:space="0"/>
            </w:tcBorders>
            <w:vAlign w:val="center"/>
          </w:tcPr>
          <w:p w14:paraId="2E459333">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686FE1AA">
            <w:pPr>
              <w:kinsoku/>
              <w:autoSpaceDE/>
              <w:autoSpaceDN/>
              <w:adjustRightInd/>
              <w:snapToGrid/>
              <w:textAlignment w:val="auto"/>
              <w:rPr>
                <w:rFonts w:ascii="宋体" w:hAnsi="宋体"/>
                <w:sz w:val="18"/>
                <w:szCs w:val="18"/>
              </w:rPr>
            </w:pPr>
          </w:p>
        </w:tc>
        <w:tc>
          <w:tcPr>
            <w:tcW w:w="669" w:type="dxa"/>
            <w:vMerge w:val="restart"/>
            <w:tcBorders>
              <w:top w:val="nil"/>
              <w:left w:val="single" w:color="000000" w:sz="4" w:space="0"/>
              <w:bottom w:val="nil"/>
              <w:right w:val="single" w:color="000000" w:sz="4" w:space="0"/>
            </w:tcBorders>
          </w:tcPr>
          <w:p w14:paraId="29018259">
            <w:pPr>
              <w:pStyle w:val="10"/>
              <w:spacing w:line="391" w:lineRule="auto"/>
              <w:rPr>
                <w:sz w:val="21"/>
              </w:rPr>
            </w:pPr>
          </w:p>
          <w:p w14:paraId="55000D7F">
            <w:pPr>
              <w:spacing w:before="58"/>
              <w:ind w:left="141"/>
              <w:rPr>
                <w:rFonts w:ascii="宋体" w:hAnsi="宋体"/>
                <w:sz w:val="18"/>
                <w:szCs w:val="18"/>
              </w:rPr>
            </w:pPr>
            <w:r>
              <w:rPr>
                <w:rFonts w:hint="eastAsia" w:ascii="宋体" w:hAnsi="宋体"/>
                <w:spacing w:val="-3"/>
                <w:sz w:val="18"/>
                <w:szCs w:val="18"/>
              </w:rPr>
              <w:t>完成</w:t>
            </w:r>
          </w:p>
          <w:p w14:paraId="71A4879B">
            <w:pPr>
              <w:ind w:left="230" w:right="154" w:hanging="79"/>
              <w:rPr>
                <w:rFonts w:ascii="宋体" w:hAnsi="宋体"/>
                <w:sz w:val="18"/>
                <w:szCs w:val="18"/>
              </w:rPr>
            </w:pPr>
            <w:r>
              <w:rPr>
                <w:rFonts w:hint="eastAsia" w:ascii="宋体" w:hAnsi="宋体"/>
                <w:spacing w:val="-4"/>
                <w:sz w:val="18"/>
                <w:szCs w:val="18"/>
              </w:rPr>
              <w:t>及时</w:t>
            </w:r>
            <w:r>
              <w:rPr>
                <w:rFonts w:hint="eastAsia" w:ascii="宋体" w:hAnsi="宋体"/>
                <w:sz w:val="18"/>
                <w:szCs w:val="18"/>
              </w:rPr>
              <w:t xml:space="preserve"> 率</w:t>
            </w:r>
          </w:p>
        </w:tc>
        <w:tc>
          <w:tcPr>
            <w:tcW w:w="489" w:type="dxa"/>
            <w:vMerge w:val="restart"/>
            <w:tcBorders>
              <w:top w:val="nil"/>
              <w:left w:val="single" w:color="000000" w:sz="4" w:space="0"/>
              <w:bottom w:val="nil"/>
              <w:right w:val="single" w:color="000000" w:sz="4" w:space="0"/>
            </w:tcBorders>
          </w:tcPr>
          <w:p w14:paraId="15F61C22">
            <w:pPr>
              <w:pStyle w:val="10"/>
              <w:spacing w:line="297" w:lineRule="auto"/>
              <w:rPr>
                <w:sz w:val="21"/>
              </w:rPr>
            </w:pPr>
          </w:p>
          <w:p w14:paraId="71B7671D">
            <w:pPr>
              <w:pStyle w:val="10"/>
              <w:spacing w:line="297" w:lineRule="auto"/>
              <w:rPr>
                <w:sz w:val="20"/>
              </w:rPr>
            </w:pPr>
          </w:p>
          <w:p w14:paraId="45A9D382">
            <w:pPr>
              <w:spacing w:before="59"/>
              <w:ind w:left="192"/>
              <w:rPr>
                <w:rFonts w:ascii="宋体" w:hAnsi="宋体"/>
                <w:sz w:val="18"/>
                <w:szCs w:val="18"/>
              </w:rPr>
            </w:pPr>
            <w:r>
              <w:rPr>
                <w:rFonts w:hint="eastAsia" w:ascii="宋体" w:hAnsi="宋体"/>
                <w:sz w:val="18"/>
                <w:szCs w:val="18"/>
              </w:rPr>
              <w:t>8</w:t>
            </w:r>
          </w:p>
        </w:tc>
        <w:tc>
          <w:tcPr>
            <w:tcW w:w="4086" w:type="dxa"/>
            <w:tcBorders>
              <w:top w:val="single" w:color="000000" w:sz="4" w:space="0"/>
              <w:left w:val="single" w:color="000000" w:sz="4" w:space="0"/>
              <w:bottom w:val="single" w:color="000000" w:sz="4" w:space="0"/>
              <w:right w:val="single" w:color="000000" w:sz="4" w:space="0"/>
            </w:tcBorders>
          </w:tcPr>
          <w:p w14:paraId="0827003F">
            <w:pPr>
              <w:spacing w:before="52"/>
              <w:ind w:left="73" w:right="126"/>
              <w:rPr>
                <w:rFonts w:ascii="宋体" w:hAnsi="宋体"/>
                <w:sz w:val="18"/>
                <w:szCs w:val="18"/>
              </w:rPr>
            </w:pPr>
            <w:r>
              <w:rPr>
                <w:rFonts w:hint="eastAsia" w:ascii="宋体" w:hAnsi="宋体"/>
                <w:sz w:val="18"/>
                <w:szCs w:val="18"/>
              </w:rPr>
              <w:t>1.指标内容(具体根据年初设定的部门整体支出绩</w:t>
            </w:r>
            <w:r>
              <w:rPr>
                <w:rFonts w:hint="eastAsia" w:ascii="宋体" w:hAnsi="宋体"/>
                <w:spacing w:val="5"/>
                <w:sz w:val="18"/>
                <w:szCs w:val="18"/>
              </w:rPr>
              <w:t xml:space="preserve"> </w:t>
            </w:r>
            <w:r>
              <w:rPr>
                <w:rFonts w:hint="eastAsia" w:ascii="宋体" w:hAnsi="宋体"/>
                <w:spacing w:val="2"/>
                <w:sz w:val="18"/>
                <w:szCs w:val="18"/>
              </w:rPr>
              <w:t>效目标中的时效指标内容填报)</w:t>
            </w:r>
          </w:p>
        </w:tc>
        <w:tc>
          <w:tcPr>
            <w:tcW w:w="2987" w:type="dxa"/>
            <w:vMerge w:val="restart"/>
            <w:tcBorders>
              <w:top w:val="nil"/>
              <w:left w:val="single" w:color="000000" w:sz="4" w:space="0"/>
              <w:bottom w:val="nil"/>
              <w:right w:val="single" w:color="000000" w:sz="4" w:space="0"/>
            </w:tcBorders>
          </w:tcPr>
          <w:p w14:paraId="2317EB52">
            <w:pPr>
              <w:spacing w:before="182" w:line="249" w:lineRule="auto"/>
              <w:ind w:left="127" w:right="146" w:firstLine="9"/>
              <w:jc w:val="both"/>
              <w:rPr>
                <w:rFonts w:ascii="宋体" w:hAnsi="宋体"/>
                <w:sz w:val="18"/>
                <w:szCs w:val="18"/>
              </w:rPr>
            </w:pPr>
            <w:r>
              <w:rPr>
                <w:rFonts w:hint="eastAsia" w:ascii="宋体" w:hAnsi="宋体"/>
                <w:spacing w:val="-1"/>
                <w:sz w:val="18"/>
                <w:szCs w:val="18"/>
              </w:rPr>
              <w:t>达到年初设定的时效指标相关工作</w:t>
            </w:r>
            <w:r>
              <w:rPr>
                <w:rFonts w:hint="eastAsia" w:ascii="宋体" w:hAnsi="宋体"/>
                <w:spacing w:val="7"/>
                <w:sz w:val="18"/>
                <w:szCs w:val="18"/>
              </w:rPr>
              <w:t xml:space="preserve"> </w:t>
            </w:r>
            <w:r>
              <w:rPr>
                <w:rFonts w:hint="eastAsia" w:ascii="宋体" w:hAnsi="宋体"/>
                <w:spacing w:val="3"/>
                <w:sz w:val="18"/>
                <w:szCs w:val="18"/>
              </w:rPr>
              <w:t>进度目标的，计8分；设定多个时</w:t>
            </w:r>
            <w:r>
              <w:rPr>
                <w:rFonts w:hint="eastAsia" w:ascii="宋体" w:hAnsi="宋体"/>
                <w:spacing w:val="8"/>
                <w:sz w:val="18"/>
                <w:szCs w:val="18"/>
              </w:rPr>
              <w:t xml:space="preserve"> </w:t>
            </w:r>
            <w:r>
              <w:rPr>
                <w:rFonts w:hint="eastAsia" w:ascii="宋体" w:hAnsi="宋体"/>
                <w:spacing w:val="-1"/>
                <w:sz w:val="18"/>
                <w:szCs w:val="18"/>
              </w:rPr>
              <w:t>效指标内容的，按每项指标的完成</w:t>
            </w:r>
            <w:r>
              <w:rPr>
                <w:rFonts w:hint="eastAsia" w:ascii="宋体" w:hAnsi="宋体"/>
                <w:spacing w:val="12"/>
                <w:sz w:val="18"/>
                <w:szCs w:val="18"/>
              </w:rPr>
              <w:t xml:space="preserve"> </w:t>
            </w:r>
            <w:r>
              <w:rPr>
                <w:rFonts w:hint="eastAsia" w:ascii="宋体" w:hAnsi="宋体"/>
                <w:sz w:val="18"/>
                <w:szCs w:val="18"/>
              </w:rPr>
              <w:t>情况分项计分；未达到相关工作进</w:t>
            </w:r>
            <w:r>
              <w:rPr>
                <w:rFonts w:hint="eastAsia" w:ascii="宋体" w:hAnsi="宋体"/>
                <w:spacing w:val="1"/>
                <w:sz w:val="18"/>
                <w:szCs w:val="18"/>
              </w:rPr>
              <w:t xml:space="preserve"> </w:t>
            </w:r>
            <w:r>
              <w:rPr>
                <w:rFonts w:hint="eastAsia" w:ascii="宋体" w:hAnsi="宋体"/>
                <w:spacing w:val="-1"/>
                <w:sz w:val="18"/>
                <w:szCs w:val="18"/>
              </w:rPr>
              <w:t>度目标的不计分。</w:t>
            </w:r>
          </w:p>
        </w:tc>
        <w:tc>
          <w:tcPr>
            <w:tcW w:w="644" w:type="dxa"/>
            <w:vMerge w:val="restart"/>
            <w:tcBorders>
              <w:top w:val="nil"/>
              <w:left w:val="single" w:color="000000" w:sz="4" w:space="0"/>
              <w:bottom w:val="nil"/>
              <w:right w:val="single" w:color="000000" w:sz="4" w:space="0"/>
            </w:tcBorders>
            <w:vAlign w:val="center"/>
          </w:tcPr>
          <w:p w14:paraId="7A175C5C">
            <w:pPr>
              <w:pStyle w:val="10"/>
              <w:jc w:val="center"/>
              <w:rPr>
                <w:rFonts w:hint="eastAsia" w:eastAsia="宋体"/>
                <w:sz w:val="20"/>
                <w:lang w:val="en-US" w:eastAsia="zh-CN"/>
              </w:rPr>
            </w:pPr>
            <w:r>
              <w:rPr>
                <w:rFonts w:hint="eastAsia"/>
                <w:color w:val="auto"/>
                <w:sz w:val="20"/>
                <w:lang w:val="en-US" w:eastAsia="zh-CN"/>
              </w:rPr>
              <w:t>8</w:t>
            </w:r>
          </w:p>
        </w:tc>
      </w:tr>
      <w:tr w14:paraId="4A38A0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973" w:type="dxa"/>
            <w:vMerge w:val="continue"/>
            <w:tcBorders>
              <w:top w:val="nil"/>
              <w:left w:val="single" w:color="000000" w:sz="4" w:space="0"/>
              <w:bottom w:val="nil"/>
              <w:right w:val="single" w:color="000000" w:sz="4" w:space="0"/>
            </w:tcBorders>
            <w:vAlign w:val="center"/>
          </w:tcPr>
          <w:p w14:paraId="154EF5EE">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15A6F75A">
            <w:pPr>
              <w:kinsoku/>
              <w:autoSpaceDE/>
              <w:autoSpaceDN/>
              <w:adjustRightInd/>
              <w:snapToGrid/>
              <w:textAlignment w:val="auto"/>
              <w:rPr>
                <w:rFonts w:ascii="宋体" w:hAnsi="宋体"/>
                <w:sz w:val="18"/>
                <w:szCs w:val="18"/>
              </w:rPr>
            </w:pPr>
          </w:p>
        </w:tc>
        <w:tc>
          <w:tcPr>
            <w:tcW w:w="669" w:type="dxa"/>
            <w:vMerge w:val="continue"/>
            <w:tcBorders>
              <w:top w:val="nil"/>
              <w:left w:val="single" w:color="000000" w:sz="4" w:space="0"/>
              <w:bottom w:val="nil"/>
              <w:right w:val="single" w:color="000000" w:sz="4" w:space="0"/>
            </w:tcBorders>
            <w:vAlign w:val="center"/>
          </w:tcPr>
          <w:p w14:paraId="26F625D6">
            <w:pPr>
              <w:kinsoku/>
              <w:autoSpaceDE/>
              <w:autoSpaceDN/>
              <w:adjustRightInd/>
              <w:snapToGrid/>
              <w:textAlignment w:val="auto"/>
              <w:rPr>
                <w:rFonts w:ascii="宋体" w:hAnsi="宋体"/>
                <w:sz w:val="18"/>
                <w:szCs w:val="18"/>
              </w:rPr>
            </w:pPr>
          </w:p>
        </w:tc>
        <w:tc>
          <w:tcPr>
            <w:tcW w:w="489" w:type="dxa"/>
            <w:vMerge w:val="continue"/>
            <w:tcBorders>
              <w:top w:val="nil"/>
              <w:left w:val="single" w:color="000000" w:sz="4" w:space="0"/>
              <w:bottom w:val="nil"/>
              <w:right w:val="single" w:color="000000" w:sz="4" w:space="0"/>
            </w:tcBorders>
            <w:vAlign w:val="center"/>
          </w:tcPr>
          <w:p w14:paraId="61B1485B">
            <w:pPr>
              <w:kinsoku/>
              <w:autoSpaceDE/>
              <w:autoSpaceDN/>
              <w:adjustRightInd/>
              <w:snapToGrid/>
              <w:textAlignment w:val="auto"/>
              <w:rPr>
                <w:rFonts w:ascii="宋体" w:hAnsi="宋体"/>
                <w:sz w:val="18"/>
                <w:szCs w:val="18"/>
              </w:rPr>
            </w:pPr>
          </w:p>
        </w:tc>
        <w:tc>
          <w:tcPr>
            <w:tcW w:w="4086" w:type="dxa"/>
            <w:tcBorders>
              <w:top w:val="single" w:color="000000" w:sz="4" w:space="0"/>
              <w:left w:val="single" w:color="000000" w:sz="4" w:space="0"/>
              <w:bottom w:val="single" w:color="000000" w:sz="4" w:space="0"/>
              <w:right w:val="single" w:color="000000" w:sz="4" w:space="0"/>
            </w:tcBorders>
          </w:tcPr>
          <w:p w14:paraId="2899769C">
            <w:pPr>
              <w:spacing w:before="161"/>
              <w:ind w:left="73"/>
              <w:rPr>
                <w:rFonts w:ascii="宋体" w:hAnsi="宋体"/>
                <w:sz w:val="18"/>
                <w:szCs w:val="18"/>
              </w:rPr>
            </w:pPr>
            <w:r>
              <w:rPr>
                <w:rFonts w:hint="eastAsia" w:ascii="宋体" w:hAnsi="宋体"/>
                <w:spacing w:val="-4"/>
                <w:sz w:val="18"/>
                <w:szCs w:val="18"/>
              </w:rPr>
              <w:t>2……</w:t>
            </w:r>
          </w:p>
        </w:tc>
        <w:tc>
          <w:tcPr>
            <w:tcW w:w="2987" w:type="dxa"/>
            <w:vMerge w:val="continue"/>
            <w:tcBorders>
              <w:top w:val="nil"/>
              <w:left w:val="single" w:color="000000" w:sz="4" w:space="0"/>
              <w:bottom w:val="nil"/>
              <w:right w:val="single" w:color="000000" w:sz="4" w:space="0"/>
            </w:tcBorders>
            <w:vAlign w:val="center"/>
          </w:tcPr>
          <w:p w14:paraId="725186EC">
            <w:pPr>
              <w:kinsoku/>
              <w:autoSpaceDE/>
              <w:autoSpaceDN/>
              <w:adjustRightInd/>
              <w:snapToGrid/>
              <w:textAlignment w:val="auto"/>
              <w:rPr>
                <w:rFonts w:ascii="宋体" w:hAnsi="宋体"/>
                <w:sz w:val="18"/>
                <w:szCs w:val="18"/>
              </w:rPr>
            </w:pPr>
          </w:p>
        </w:tc>
        <w:tc>
          <w:tcPr>
            <w:tcW w:w="644" w:type="dxa"/>
            <w:vMerge w:val="continue"/>
            <w:tcBorders>
              <w:top w:val="nil"/>
              <w:left w:val="single" w:color="000000" w:sz="4" w:space="0"/>
              <w:bottom w:val="nil"/>
              <w:right w:val="single" w:color="000000" w:sz="4" w:space="0"/>
            </w:tcBorders>
            <w:vAlign w:val="center"/>
          </w:tcPr>
          <w:p w14:paraId="3F8A1B27">
            <w:pPr>
              <w:kinsoku/>
              <w:autoSpaceDE/>
              <w:autoSpaceDN/>
              <w:adjustRightInd/>
              <w:snapToGrid/>
              <w:jc w:val="center"/>
              <w:textAlignment w:val="auto"/>
              <w:rPr>
                <w:sz w:val="21"/>
              </w:rPr>
            </w:pPr>
          </w:p>
        </w:tc>
      </w:tr>
      <w:tr w14:paraId="09F18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973" w:type="dxa"/>
            <w:vMerge w:val="continue"/>
            <w:tcBorders>
              <w:top w:val="nil"/>
              <w:left w:val="single" w:color="000000" w:sz="4" w:space="0"/>
              <w:bottom w:val="nil"/>
              <w:right w:val="single" w:color="000000" w:sz="4" w:space="0"/>
            </w:tcBorders>
            <w:vAlign w:val="center"/>
          </w:tcPr>
          <w:p w14:paraId="692474E1">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664E81FB">
            <w:pPr>
              <w:kinsoku/>
              <w:autoSpaceDE/>
              <w:autoSpaceDN/>
              <w:adjustRightInd/>
              <w:snapToGrid/>
              <w:textAlignment w:val="auto"/>
              <w:rPr>
                <w:rFonts w:ascii="宋体" w:hAnsi="宋体"/>
                <w:sz w:val="18"/>
                <w:szCs w:val="18"/>
              </w:rPr>
            </w:pPr>
          </w:p>
        </w:tc>
        <w:tc>
          <w:tcPr>
            <w:tcW w:w="669" w:type="dxa"/>
            <w:vMerge w:val="continue"/>
            <w:tcBorders>
              <w:top w:val="nil"/>
              <w:left w:val="single" w:color="000000" w:sz="4" w:space="0"/>
              <w:bottom w:val="nil"/>
              <w:right w:val="single" w:color="000000" w:sz="4" w:space="0"/>
            </w:tcBorders>
            <w:vAlign w:val="center"/>
          </w:tcPr>
          <w:p w14:paraId="2588D035">
            <w:pPr>
              <w:kinsoku/>
              <w:autoSpaceDE/>
              <w:autoSpaceDN/>
              <w:adjustRightInd/>
              <w:snapToGrid/>
              <w:textAlignment w:val="auto"/>
              <w:rPr>
                <w:rFonts w:ascii="宋体" w:hAnsi="宋体"/>
                <w:sz w:val="18"/>
                <w:szCs w:val="18"/>
              </w:rPr>
            </w:pPr>
          </w:p>
        </w:tc>
        <w:tc>
          <w:tcPr>
            <w:tcW w:w="489" w:type="dxa"/>
            <w:vMerge w:val="continue"/>
            <w:tcBorders>
              <w:top w:val="nil"/>
              <w:left w:val="single" w:color="000000" w:sz="4" w:space="0"/>
              <w:bottom w:val="nil"/>
              <w:right w:val="single" w:color="000000" w:sz="4" w:space="0"/>
            </w:tcBorders>
            <w:vAlign w:val="center"/>
          </w:tcPr>
          <w:p w14:paraId="447E1DD0">
            <w:pPr>
              <w:kinsoku/>
              <w:autoSpaceDE/>
              <w:autoSpaceDN/>
              <w:adjustRightInd/>
              <w:snapToGrid/>
              <w:textAlignment w:val="auto"/>
              <w:rPr>
                <w:rFonts w:ascii="宋体" w:hAnsi="宋体"/>
                <w:sz w:val="18"/>
                <w:szCs w:val="18"/>
              </w:rPr>
            </w:pPr>
          </w:p>
        </w:tc>
        <w:tc>
          <w:tcPr>
            <w:tcW w:w="4086" w:type="dxa"/>
            <w:tcBorders>
              <w:top w:val="single" w:color="000000" w:sz="4" w:space="0"/>
              <w:left w:val="single" w:color="000000" w:sz="4" w:space="0"/>
              <w:bottom w:val="single" w:color="000000" w:sz="4" w:space="0"/>
              <w:right w:val="single" w:color="000000" w:sz="4" w:space="0"/>
            </w:tcBorders>
          </w:tcPr>
          <w:p w14:paraId="0B1EDAE3">
            <w:pPr>
              <w:spacing w:before="180"/>
              <w:ind w:left="73"/>
              <w:rPr>
                <w:rFonts w:ascii="宋体" w:hAnsi="宋体"/>
                <w:sz w:val="18"/>
                <w:szCs w:val="18"/>
              </w:rPr>
            </w:pPr>
            <w:r>
              <w:rPr>
                <w:rFonts w:hint="eastAsia" w:ascii="宋体" w:hAnsi="宋体"/>
                <w:spacing w:val="-4"/>
                <w:sz w:val="18"/>
                <w:szCs w:val="18"/>
              </w:rPr>
              <w:t>3……</w:t>
            </w:r>
          </w:p>
        </w:tc>
        <w:tc>
          <w:tcPr>
            <w:tcW w:w="2987" w:type="dxa"/>
            <w:vMerge w:val="continue"/>
            <w:tcBorders>
              <w:top w:val="nil"/>
              <w:left w:val="single" w:color="000000" w:sz="4" w:space="0"/>
              <w:bottom w:val="nil"/>
              <w:right w:val="single" w:color="000000" w:sz="4" w:space="0"/>
            </w:tcBorders>
            <w:vAlign w:val="center"/>
          </w:tcPr>
          <w:p w14:paraId="4255FED2">
            <w:pPr>
              <w:kinsoku/>
              <w:autoSpaceDE/>
              <w:autoSpaceDN/>
              <w:adjustRightInd/>
              <w:snapToGrid/>
              <w:textAlignment w:val="auto"/>
              <w:rPr>
                <w:rFonts w:ascii="宋体" w:hAnsi="宋体"/>
                <w:sz w:val="18"/>
                <w:szCs w:val="18"/>
              </w:rPr>
            </w:pPr>
          </w:p>
        </w:tc>
        <w:tc>
          <w:tcPr>
            <w:tcW w:w="644" w:type="dxa"/>
            <w:vMerge w:val="continue"/>
            <w:tcBorders>
              <w:top w:val="nil"/>
              <w:left w:val="single" w:color="000000" w:sz="4" w:space="0"/>
              <w:bottom w:val="nil"/>
              <w:right w:val="single" w:color="000000" w:sz="4" w:space="0"/>
            </w:tcBorders>
            <w:vAlign w:val="center"/>
          </w:tcPr>
          <w:p w14:paraId="1EF24029">
            <w:pPr>
              <w:kinsoku/>
              <w:autoSpaceDE/>
              <w:autoSpaceDN/>
              <w:adjustRightInd/>
              <w:snapToGrid/>
              <w:jc w:val="center"/>
              <w:textAlignment w:val="auto"/>
              <w:rPr>
                <w:sz w:val="21"/>
              </w:rPr>
            </w:pPr>
          </w:p>
        </w:tc>
      </w:tr>
      <w:tr w14:paraId="5BBD6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664" w:type="dxa"/>
            <w:vMerge w:val="restart"/>
            <w:tcBorders>
              <w:top w:val="nil"/>
              <w:left w:val="single" w:color="000000" w:sz="4" w:space="0"/>
              <w:bottom w:val="nil"/>
              <w:right w:val="single" w:color="000000" w:sz="4" w:space="0"/>
            </w:tcBorders>
          </w:tcPr>
          <w:p w14:paraId="59985522">
            <w:pPr>
              <w:spacing w:before="236"/>
              <w:ind w:left="1267"/>
              <w:rPr>
                <w:rFonts w:ascii="宋体" w:hAnsi="宋体"/>
                <w:sz w:val="18"/>
                <w:szCs w:val="18"/>
              </w:rPr>
            </w:pPr>
            <w:r>
              <w:rPr>
                <w:rFonts w:hint="eastAsia" w:ascii="宋体" w:hAnsi="宋体"/>
                <w:sz w:val="18"/>
                <w:szCs w:val="18"/>
              </w:rPr>
              <w:t>效</w:t>
            </w:r>
            <w:r>
              <w:rPr>
                <w:rFonts w:hint="eastAsia" w:ascii="宋体" w:hAnsi="宋体"/>
                <w:spacing w:val="7"/>
                <w:sz w:val="18"/>
                <w:szCs w:val="18"/>
              </w:rPr>
              <w:t xml:space="preserve">   </w:t>
            </w:r>
            <w:r>
              <w:rPr>
                <w:rFonts w:hint="eastAsia" w:ascii="宋体" w:hAnsi="宋体"/>
                <w:sz w:val="18"/>
                <w:szCs w:val="18"/>
              </w:rPr>
              <w:t>果</w:t>
            </w:r>
          </w:p>
        </w:tc>
        <w:tc>
          <w:tcPr>
            <w:tcW w:w="640" w:type="dxa"/>
            <w:vMerge w:val="restart"/>
            <w:tcBorders>
              <w:top w:val="nil"/>
              <w:left w:val="single" w:color="000000" w:sz="4" w:space="0"/>
              <w:bottom w:val="nil"/>
              <w:right w:val="single" w:color="000000" w:sz="4" w:space="0"/>
            </w:tcBorders>
          </w:tcPr>
          <w:p w14:paraId="48F75AF3">
            <w:pPr>
              <w:pStyle w:val="10"/>
              <w:spacing w:line="271" w:lineRule="auto"/>
              <w:rPr>
                <w:sz w:val="21"/>
              </w:rPr>
            </w:pPr>
          </w:p>
          <w:p w14:paraId="387B0A02">
            <w:pPr>
              <w:pStyle w:val="10"/>
              <w:spacing w:line="271" w:lineRule="auto"/>
              <w:rPr>
                <w:sz w:val="20"/>
              </w:rPr>
            </w:pPr>
          </w:p>
          <w:p w14:paraId="3203C00A">
            <w:pPr>
              <w:pStyle w:val="10"/>
              <w:spacing w:line="271" w:lineRule="auto"/>
              <w:rPr>
                <w:sz w:val="20"/>
              </w:rPr>
            </w:pPr>
          </w:p>
          <w:p w14:paraId="05B7331E">
            <w:pPr>
              <w:pStyle w:val="10"/>
              <w:spacing w:line="271" w:lineRule="auto"/>
              <w:rPr>
                <w:sz w:val="20"/>
              </w:rPr>
            </w:pPr>
          </w:p>
          <w:p w14:paraId="045A7F3C">
            <w:pPr>
              <w:spacing w:before="59"/>
              <w:ind w:left="131"/>
              <w:rPr>
                <w:rFonts w:ascii="宋体" w:hAnsi="宋体"/>
                <w:sz w:val="18"/>
                <w:szCs w:val="18"/>
              </w:rPr>
            </w:pPr>
            <w:r>
              <w:rPr>
                <w:rFonts w:hint="eastAsia" w:ascii="宋体" w:hAnsi="宋体"/>
                <w:spacing w:val="-3"/>
                <w:sz w:val="18"/>
                <w:szCs w:val="18"/>
              </w:rPr>
              <w:t>履职</w:t>
            </w:r>
          </w:p>
          <w:p w14:paraId="124A4CCA">
            <w:pPr>
              <w:spacing w:before="43"/>
              <w:ind w:left="121" w:right="150" w:firstLine="9"/>
              <w:jc w:val="both"/>
              <w:rPr>
                <w:rFonts w:ascii="宋体" w:hAnsi="宋体"/>
                <w:sz w:val="18"/>
                <w:szCs w:val="18"/>
              </w:rPr>
            </w:pPr>
            <w:r>
              <w:rPr>
                <w:rFonts w:hint="eastAsia" w:ascii="宋体" w:hAnsi="宋体"/>
                <w:spacing w:val="-6"/>
                <w:sz w:val="18"/>
                <w:szCs w:val="18"/>
              </w:rPr>
              <w:t>效益</w:t>
            </w:r>
            <w:r>
              <w:rPr>
                <w:rFonts w:hint="eastAsia" w:ascii="宋体" w:hAnsi="宋体"/>
                <w:sz w:val="18"/>
                <w:szCs w:val="18"/>
              </w:rPr>
              <w:t xml:space="preserve"> </w:t>
            </w:r>
            <w:r>
              <w:rPr>
                <w:rFonts w:hint="eastAsia" w:ascii="宋体" w:hAnsi="宋体"/>
                <w:spacing w:val="17"/>
                <w:sz w:val="18"/>
                <w:szCs w:val="18"/>
              </w:rPr>
              <w:t>(20</w:t>
            </w:r>
            <w:r>
              <w:rPr>
                <w:rFonts w:hint="eastAsia" w:ascii="宋体" w:hAnsi="宋体"/>
                <w:sz w:val="18"/>
                <w:szCs w:val="18"/>
              </w:rPr>
              <w:t xml:space="preserve"> </w:t>
            </w:r>
            <w:r>
              <w:rPr>
                <w:rFonts w:hint="eastAsia" w:ascii="宋体" w:hAnsi="宋体"/>
                <w:spacing w:val="-5"/>
                <w:sz w:val="18"/>
                <w:szCs w:val="18"/>
              </w:rPr>
              <w:t>分</w:t>
            </w:r>
            <w:r>
              <w:rPr>
                <w:rFonts w:hint="eastAsia" w:ascii="宋体" w:hAnsi="宋体"/>
                <w:spacing w:val="-34"/>
                <w:sz w:val="18"/>
                <w:szCs w:val="18"/>
              </w:rPr>
              <w:t xml:space="preserve"> </w:t>
            </w:r>
            <w:r>
              <w:rPr>
                <w:rFonts w:hint="eastAsia" w:ascii="宋体" w:hAnsi="宋体"/>
                <w:spacing w:val="-5"/>
                <w:sz w:val="18"/>
                <w:szCs w:val="18"/>
              </w:rPr>
              <w:t>)</w:t>
            </w:r>
          </w:p>
        </w:tc>
        <w:tc>
          <w:tcPr>
            <w:tcW w:w="669" w:type="dxa"/>
            <w:tcBorders>
              <w:top w:val="single" w:color="000000" w:sz="4" w:space="0"/>
              <w:left w:val="single" w:color="000000" w:sz="4" w:space="0"/>
              <w:bottom w:val="single" w:color="000000" w:sz="4" w:space="0"/>
              <w:right w:val="single" w:color="000000" w:sz="4" w:space="0"/>
            </w:tcBorders>
          </w:tcPr>
          <w:p w14:paraId="6B4337B0">
            <w:pPr>
              <w:spacing w:before="94"/>
              <w:ind w:left="141"/>
              <w:rPr>
                <w:rFonts w:ascii="宋体" w:hAnsi="宋体"/>
                <w:sz w:val="18"/>
                <w:szCs w:val="18"/>
              </w:rPr>
            </w:pPr>
            <w:r>
              <w:rPr>
                <w:rFonts w:hint="eastAsia" w:ascii="宋体" w:hAnsi="宋体"/>
                <w:spacing w:val="-3"/>
                <w:sz w:val="18"/>
                <w:szCs w:val="18"/>
              </w:rPr>
              <w:t>经济</w:t>
            </w:r>
          </w:p>
          <w:p w14:paraId="33E1F6D2">
            <w:pPr>
              <w:ind w:left="141"/>
              <w:rPr>
                <w:rFonts w:ascii="宋体" w:hAnsi="宋体"/>
                <w:sz w:val="18"/>
                <w:szCs w:val="18"/>
              </w:rPr>
            </w:pPr>
            <w:r>
              <w:rPr>
                <w:rFonts w:hint="eastAsia" w:ascii="宋体" w:hAnsi="宋体"/>
                <w:spacing w:val="-3"/>
                <w:sz w:val="18"/>
                <w:szCs w:val="18"/>
              </w:rPr>
              <w:t>效益</w:t>
            </w:r>
          </w:p>
        </w:tc>
        <w:tc>
          <w:tcPr>
            <w:tcW w:w="489" w:type="dxa"/>
            <w:vMerge w:val="restart"/>
            <w:tcBorders>
              <w:top w:val="nil"/>
              <w:left w:val="single" w:color="000000" w:sz="4" w:space="0"/>
              <w:bottom w:val="nil"/>
              <w:right w:val="single" w:color="000000" w:sz="4" w:space="0"/>
            </w:tcBorders>
          </w:tcPr>
          <w:p w14:paraId="210E849E">
            <w:pPr>
              <w:pStyle w:val="10"/>
              <w:spacing w:line="273" w:lineRule="auto"/>
              <w:rPr>
                <w:sz w:val="21"/>
              </w:rPr>
            </w:pPr>
          </w:p>
          <w:p w14:paraId="59BC24B8">
            <w:pPr>
              <w:pStyle w:val="10"/>
              <w:spacing w:line="273" w:lineRule="auto"/>
              <w:rPr>
                <w:sz w:val="20"/>
              </w:rPr>
            </w:pPr>
          </w:p>
          <w:p w14:paraId="2CA60A47">
            <w:pPr>
              <w:pStyle w:val="10"/>
              <w:spacing w:line="273" w:lineRule="auto"/>
              <w:rPr>
                <w:sz w:val="20"/>
              </w:rPr>
            </w:pPr>
          </w:p>
          <w:p w14:paraId="04FA4DE7">
            <w:pPr>
              <w:spacing w:before="58"/>
              <w:ind w:left="141"/>
              <w:rPr>
                <w:rFonts w:ascii="宋体" w:hAnsi="宋体"/>
                <w:sz w:val="18"/>
                <w:szCs w:val="18"/>
              </w:rPr>
            </w:pPr>
            <w:r>
              <w:rPr>
                <w:rFonts w:hint="eastAsia" w:ascii="宋体" w:hAnsi="宋体"/>
                <w:spacing w:val="-6"/>
                <w:sz w:val="18"/>
                <w:szCs w:val="18"/>
              </w:rPr>
              <w:t>15</w:t>
            </w:r>
          </w:p>
        </w:tc>
        <w:tc>
          <w:tcPr>
            <w:tcW w:w="4086" w:type="dxa"/>
            <w:tcBorders>
              <w:top w:val="single" w:color="000000" w:sz="4" w:space="0"/>
              <w:left w:val="single" w:color="000000" w:sz="4" w:space="0"/>
              <w:bottom w:val="single" w:color="000000" w:sz="4" w:space="0"/>
              <w:right w:val="single" w:color="000000" w:sz="4" w:space="0"/>
            </w:tcBorders>
          </w:tcPr>
          <w:p w14:paraId="0EAEC568">
            <w:pPr>
              <w:spacing w:before="92"/>
              <w:ind w:left="73" w:right="124"/>
              <w:rPr>
                <w:rFonts w:ascii="宋体" w:hAnsi="宋体"/>
                <w:sz w:val="18"/>
                <w:szCs w:val="18"/>
              </w:rPr>
            </w:pPr>
            <w:r>
              <w:rPr>
                <w:rFonts w:hint="eastAsia" w:ascii="宋体" w:hAnsi="宋体"/>
                <w:sz w:val="18"/>
                <w:szCs w:val="18"/>
              </w:rPr>
              <w:t>1.指标内容(根据年初设定的效益绩效目标内容填</w:t>
            </w:r>
            <w:r>
              <w:rPr>
                <w:rFonts w:hint="eastAsia" w:ascii="宋体" w:hAnsi="宋体"/>
                <w:spacing w:val="7"/>
                <w:sz w:val="18"/>
                <w:szCs w:val="18"/>
              </w:rPr>
              <w:t xml:space="preserve"> </w:t>
            </w:r>
            <w:r>
              <w:rPr>
                <w:rFonts w:hint="eastAsia" w:ascii="宋体" w:hAnsi="宋体"/>
                <w:spacing w:val="-3"/>
                <w:sz w:val="18"/>
                <w:szCs w:val="18"/>
              </w:rPr>
              <w:t>报</w:t>
            </w:r>
            <w:r>
              <w:rPr>
                <w:rFonts w:hint="eastAsia" w:ascii="宋体" w:hAnsi="宋体"/>
                <w:spacing w:val="-38"/>
                <w:sz w:val="18"/>
                <w:szCs w:val="18"/>
              </w:rPr>
              <w:t xml:space="preserve"> </w:t>
            </w:r>
            <w:r>
              <w:rPr>
                <w:rFonts w:hint="eastAsia" w:ascii="宋体" w:hAnsi="宋体"/>
                <w:spacing w:val="-3"/>
                <w:sz w:val="18"/>
                <w:szCs w:val="18"/>
              </w:rPr>
              <w:t>)</w:t>
            </w:r>
          </w:p>
        </w:tc>
        <w:tc>
          <w:tcPr>
            <w:tcW w:w="2987" w:type="dxa"/>
            <w:vMerge w:val="restart"/>
            <w:tcBorders>
              <w:top w:val="nil"/>
              <w:left w:val="single" w:color="000000" w:sz="4" w:space="0"/>
              <w:bottom w:val="nil"/>
              <w:right w:val="single" w:color="000000" w:sz="4" w:space="0"/>
            </w:tcBorders>
          </w:tcPr>
          <w:p w14:paraId="2F11A431">
            <w:pPr>
              <w:spacing w:before="64"/>
              <w:ind w:left="137" w:right="49"/>
              <w:jc w:val="both"/>
              <w:rPr>
                <w:rFonts w:ascii="宋体" w:hAnsi="宋体"/>
                <w:sz w:val="18"/>
                <w:szCs w:val="18"/>
              </w:rPr>
            </w:pPr>
            <w:r>
              <w:rPr>
                <w:rFonts w:hint="eastAsia" w:ascii="宋体" w:hAnsi="宋体"/>
                <w:spacing w:val="-1"/>
                <w:sz w:val="18"/>
                <w:szCs w:val="18"/>
              </w:rPr>
              <w:t>此三项指标根据部门实际并结合部</w:t>
            </w:r>
            <w:r>
              <w:rPr>
                <w:rFonts w:hint="eastAsia" w:ascii="宋体" w:hAnsi="宋体"/>
                <w:spacing w:val="3"/>
                <w:sz w:val="18"/>
                <w:szCs w:val="18"/>
              </w:rPr>
              <w:t xml:space="preserve">  </w:t>
            </w:r>
            <w:r>
              <w:rPr>
                <w:rFonts w:hint="eastAsia" w:ascii="宋体" w:hAnsi="宋体"/>
                <w:sz w:val="18"/>
                <w:szCs w:val="18"/>
              </w:rPr>
              <w:t>门整体支出绩效目标设立情况有选</w:t>
            </w:r>
            <w:r>
              <w:rPr>
                <w:rFonts w:hint="eastAsia" w:ascii="宋体" w:hAnsi="宋体"/>
                <w:spacing w:val="3"/>
                <w:sz w:val="18"/>
                <w:szCs w:val="18"/>
              </w:rPr>
              <w:t xml:space="preserve">  </w:t>
            </w:r>
            <w:r>
              <w:rPr>
                <w:rFonts w:hint="eastAsia" w:ascii="宋体" w:hAnsi="宋体"/>
                <w:spacing w:val="-1"/>
                <w:sz w:val="18"/>
                <w:szCs w:val="18"/>
              </w:rPr>
              <w:t>择的进行设置，并将其细化为相应</w:t>
            </w:r>
            <w:r>
              <w:rPr>
                <w:rFonts w:hint="eastAsia" w:ascii="宋体" w:hAnsi="宋体"/>
                <w:spacing w:val="2"/>
                <w:sz w:val="18"/>
                <w:szCs w:val="18"/>
              </w:rPr>
              <w:t xml:space="preserve">  </w:t>
            </w:r>
            <w:r>
              <w:rPr>
                <w:rFonts w:hint="eastAsia" w:ascii="宋体" w:hAnsi="宋体"/>
                <w:sz w:val="18"/>
                <w:szCs w:val="18"/>
              </w:rPr>
              <w:t>的个性化指标。达到年初设定的效</w:t>
            </w:r>
            <w:r>
              <w:rPr>
                <w:rFonts w:hint="eastAsia" w:ascii="宋体" w:hAnsi="宋体"/>
                <w:spacing w:val="3"/>
                <w:sz w:val="18"/>
                <w:szCs w:val="18"/>
              </w:rPr>
              <w:t xml:space="preserve">  </w:t>
            </w:r>
            <w:r>
              <w:rPr>
                <w:rFonts w:hint="eastAsia" w:ascii="宋体" w:hAnsi="宋体"/>
                <w:spacing w:val="5"/>
                <w:sz w:val="18"/>
                <w:szCs w:val="18"/>
              </w:rPr>
              <w:t>益指标相关工作目标的，计15分；</w:t>
            </w:r>
            <w:r>
              <w:rPr>
                <w:rFonts w:hint="eastAsia" w:ascii="宋体" w:hAnsi="宋体"/>
                <w:spacing w:val="9"/>
                <w:sz w:val="18"/>
                <w:szCs w:val="18"/>
              </w:rPr>
              <w:t xml:space="preserve"> </w:t>
            </w:r>
            <w:r>
              <w:rPr>
                <w:rFonts w:hint="eastAsia" w:ascii="宋体" w:hAnsi="宋体"/>
                <w:sz w:val="18"/>
                <w:szCs w:val="18"/>
              </w:rPr>
              <w:t>设定多个效益指标内容的，按每项</w:t>
            </w:r>
            <w:r>
              <w:rPr>
                <w:rFonts w:hint="eastAsia" w:ascii="宋体" w:hAnsi="宋体"/>
                <w:spacing w:val="5"/>
                <w:sz w:val="18"/>
                <w:szCs w:val="18"/>
              </w:rPr>
              <w:t xml:space="preserve">  </w:t>
            </w:r>
            <w:r>
              <w:rPr>
                <w:rFonts w:hint="eastAsia" w:ascii="宋体" w:hAnsi="宋体"/>
                <w:sz w:val="18"/>
                <w:szCs w:val="18"/>
              </w:rPr>
              <w:t>指标的完成情况分项计分；未达到</w:t>
            </w:r>
            <w:r>
              <w:rPr>
                <w:rFonts w:hint="eastAsia" w:ascii="宋体" w:hAnsi="宋体"/>
                <w:spacing w:val="5"/>
                <w:sz w:val="18"/>
                <w:szCs w:val="18"/>
              </w:rPr>
              <w:t xml:space="preserve">  </w:t>
            </w:r>
            <w:r>
              <w:rPr>
                <w:rFonts w:hint="eastAsia" w:ascii="宋体" w:hAnsi="宋体"/>
                <w:spacing w:val="3"/>
                <w:sz w:val="18"/>
                <w:szCs w:val="18"/>
              </w:rPr>
              <w:t>相关工作履职效益目标的不计分。</w:t>
            </w:r>
          </w:p>
        </w:tc>
        <w:tc>
          <w:tcPr>
            <w:tcW w:w="644" w:type="dxa"/>
            <w:vMerge w:val="restart"/>
            <w:tcBorders>
              <w:top w:val="nil"/>
              <w:left w:val="single" w:color="000000" w:sz="4" w:space="0"/>
              <w:bottom w:val="nil"/>
              <w:right w:val="single" w:color="000000" w:sz="4" w:space="0"/>
            </w:tcBorders>
            <w:vAlign w:val="center"/>
          </w:tcPr>
          <w:p w14:paraId="2C626620">
            <w:pPr>
              <w:pStyle w:val="10"/>
              <w:jc w:val="center"/>
              <w:rPr>
                <w:rFonts w:hint="default" w:eastAsia="宋体"/>
                <w:sz w:val="20"/>
                <w:lang w:val="en-US" w:eastAsia="zh-CN"/>
              </w:rPr>
            </w:pPr>
            <w:r>
              <w:rPr>
                <w:rFonts w:hint="eastAsia"/>
                <w:sz w:val="20"/>
                <w:lang w:val="en-US" w:eastAsia="zh-CN"/>
              </w:rPr>
              <w:t>15</w:t>
            </w:r>
          </w:p>
        </w:tc>
      </w:tr>
      <w:tr w14:paraId="1639D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973" w:type="dxa"/>
            <w:vMerge w:val="continue"/>
            <w:tcBorders>
              <w:top w:val="nil"/>
              <w:left w:val="single" w:color="000000" w:sz="4" w:space="0"/>
              <w:bottom w:val="nil"/>
              <w:right w:val="single" w:color="000000" w:sz="4" w:space="0"/>
            </w:tcBorders>
            <w:vAlign w:val="center"/>
          </w:tcPr>
          <w:p w14:paraId="5827079A">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0F56FA00">
            <w:pPr>
              <w:kinsoku/>
              <w:autoSpaceDE/>
              <w:autoSpaceDN/>
              <w:adjustRightInd/>
              <w:snapToGrid/>
              <w:textAlignment w:val="auto"/>
              <w:rPr>
                <w:rFonts w:ascii="宋体" w:hAnsi="宋体"/>
                <w:sz w:val="18"/>
                <w:szCs w:val="18"/>
              </w:rPr>
            </w:pPr>
          </w:p>
        </w:tc>
        <w:tc>
          <w:tcPr>
            <w:tcW w:w="669" w:type="dxa"/>
            <w:tcBorders>
              <w:top w:val="single" w:color="000000" w:sz="4" w:space="0"/>
              <w:left w:val="single" w:color="000000" w:sz="4" w:space="0"/>
              <w:bottom w:val="single" w:color="000000" w:sz="4" w:space="0"/>
              <w:right w:val="single" w:color="000000" w:sz="4" w:space="0"/>
            </w:tcBorders>
          </w:tcPr>
          <w:p w14:paraId="57C77ED8">
            <w:pPr>
              <w:spacing w:before="142"/>
              <w:ind w:left="141"/>
              <w:rPr>
                <w:rFonts w:ascii="宋体" w:hAnsi="宋体"/>
                <w:sz w:val="18"/>
                <w:szCs w:val="18"/>
              </w:rPr>
            </w:pPr>
            <w:r>
              <w:rPr>
                <w:rFonts w:hint="eastAsia" w:ascii="宋体" w:hAnsi="宋体"/>
                <w:spacing w:val="-3"/>
                <w:sz w:val="18"/>
                <w:szCs w:val="18"/>
              </w:rPr>
              <w:t>社会</w:t>
            </w:r>
          </w:p>
          <w:p w14:paraId="4639CF32">
            <w:pPr>
              <w:ind w:left="141"/>
              <w:rPr>
                <w:rFonts w:ascii="宋体" w:hAnsi="宋体"/>
                <w:sz w:val="18"/>
                <w:szCs w:val="18"/>
              </w:rPr>
            </w:pPr>
            <w:r>
              <w:rPr>
                <w:rFonts w:hint="eastAsia" w:ascii="宋体" w:hAnsi="宋体"/>
                <w:spacing w:val="-3"/>
                <w:sz w:val="18"/>
                <w:szCs w:val="18"/>
              </w:rPr>
              <w:t>效益</w:t>
            </w:r>
          </w:p>
        </w:tc>
        <w:tc>
          <w:tcPr>
            <w:tcW w:w="489" w:type="dxa"/>
            <w:vMerge w:val="continue"/>
            <w:tcBorders>
              <w:top w:val="nil"/>
              <w:left w:val="single" w:color="000000" w:sz="4" w:space="0"/>
              <w:bottom w:val="nil"/>
              <w:right w:val="single" w:color="000000" w:sz="4" w:space="0"/>
            </w:tcBorders>
            <w:vAlign w:val="center"/>
          </w:tcPr>
          <w:p w14:paraId="17285A25">
            <w:pPr>
              <w:kinsoku/>
              <w:autoSpaceDE/>
              <w:autoSpaceDN/>
              <w:adjustRightInd/>
              <w:snapToGrid/>
              <w:textAlignment w:val="auto"/>
              <w:rPr>
                <w:rFonts w:ascii="宋体" w:hAnsi="宋体"/>
                <w:sz w:val="18"/>
                <w:szCs w:val="18"/>
              </w:rPr>
            </w:pPr>
          </w:p>
        </w:tc>
        <w:tc>
          <w:tcPr>
            <w:tcW w:w="4086" w:type="dxa"/>
            <w:tcBorders>
              <w:top w:val="single" w:color="000000" w:sz="4" w:space="0"/>
              <w:left w:val="single" w:color="000000" w:sz="4" w:space="0"/>
              <w:bottom w:val="single" w:color="000000" w:sz="4" w:space="0"/>
              <w:right w:val="single" w:color="000000" w:sz="4" w:space="0"/>
            </w:tcBorders>
          </w:tcPr>
          <w:p w14:paraId="01968F89">
            <w:pPr>
              <w:spacing w:before="241"/>
              <w:ind w:left="73"/>
              <w:rPr>
                <w:rFonts w:ascii="宋体" w:hAnsi="宋体"/>
                <w:sz w:val="18"/>
                <w:szCs w:val="18"/>
              </w:rPr>
            </w:pPr>
            <w:r>
              <w:rPr>
                <w:rFonts w:hint="eastAsia" w:ascii="宋体" w:hAnsi="宋体"/>
                <w:spacing w:val="-4"/>
                <w:sz w:val="18"/>
                <w:szCs w:val="18"/>
              </w:rPr>
              <w:t>2……</w:t>
            </w:r>
          </w:p>
        </w:tc>
        <w:tc>
          <w:tcPr>
            <w:tcW w:w="2987" w:type="dxa"/>
            <w:vMerge w:val="continue"/>
            <w:tcBorders>
              <w:top w:val="nil"/>
              <w:left w:val="single" w:color="000000" w:sz="4" w:space="0"/>
              <w:bottom w:val="nil"/>
              <w:right w:val="single" w:color="000000" w:sz="4" w:space="0"/>
            </w:tcBorders>
            <w:vAlign w:val="center"/>
          </w:tcPr>
          <w:p w14:paraId="55513766">
            <w:pPr>
              <w:kinsoku/>
              <w:autoSpaceDE/>
              <w:autoSpaceDN/>
              <w:adjustRightInd/>
              <w:snapToGrid/>
              <w:textAlignment w:val="auto"/>
              <w:rPr>
                <w:rFonts w:ascii="宋体" w:hAnsi="宋体"/>
                <w:sz w:val="18"/>
                <w:szCs w:val="18"/>
              </w:rPr>
            </w:pPr>
          </w:p>
        </w:tc>
        <w:tc>
          <w:tcPr>
            <w:tcW w:w="644" w:type="dxa"/>
            <w:vMerge w:val="continue"/>
            <w:tcBorders>
              <w:top w:val="nil"/>
              <w:left w:val="single" w:color="000000" w:sz="4" w:space="0"/>
              <w:bottom w:val="nil"/>
              <w:right w:val="single" w:color="000000" w:sz="4" w:space="0"/>
            </w:tcBorders>
            <w:vAlign w:val="center"/>
          </w:tcPr>
          <w:p w14:paraId="133E3E98">
            <w:pPr>
              <w:kinsoku/>
              <w:autoSpaceDE/>
              <w:autoSpaceDN/>
              <w:adjustRightInd/>
              <w:snapToGrid/>
              <w:jc w:val="center"/>
              <w:textAlignment w:val="auto"/>
              <w:rPr>
                <w:sz w:val="21"/>
              </w:rPr>
            </w:pPr>
          </w:p>
        </w:tc>
      </w:tr>
      <w:tr w14:paraId="32AE2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973" w:type="dxa"/>
            <w:vMerge w:val="continue"/>
            <w:tcBorders>
              <w:top w:val="nil"/>
              <w:left w:val="single" w:color="000000" w:sz="4" w:space="0"/>
              <w:bottom w:val="nil"/>
              <w:right w:val="single" w:color="000000" w:sz="4" w:space="0"/>
            </w:tcBorders>
            <w:vAlign w:val="center"/>
          </w:tcPr>
          <w:p w14:paraId="38D6EF7E">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412795BF">
            <w:pPr>
              <w:kinsoku/>
              <w:autoSpaceDE/>
              <w:autoSpaceDN/>
              <w:adjustRightInd/>
              <w:snapToGrid/>
              <w:textAlignment w:val="auto"/>
              <w:rPr>
                <w:rFonts w:ascii="宋体" w:hAnsi="宋体"/>
                <w:sz w:val="18"/>
                <w:szCs w:val="18"/>
              </w:rPr>
            </w:pPr>
          </w:p>
        </w:tc>
        <w:tc>
          <w:tcPr>
            <w:tcW w:w="669" w:type="dxa"/>
            <w:tcBorders>
              <w:top w:val="single" w:color="000000" w:sz="4" w:space="0"/>
              <w:left w:val="single" w:color="000000" w:sz="4" w:space="0"/>
              <w:bottom w:val="single" w:color="000000" w:sz="4" w:space="0"/>
              <w:right w:val="single" w:color="000000" w:sz="4" w:space="0"/>
            </w:tcBorders>
          </w:tcPr>
          <w:p w14:paraId="6D6824D3">
            <w:pPr>
              <w:spacing w:before="199"/>
              <w:ind w:left="141"/>
              <w:rPr>
                <w:rFonts w:ascii="宋体" w:hAnsi="宋体"/>
                <w:sz w:val="18"/>
                <w:szCs w:val="18"/>
              </w:rPr>
            </w:pPr>
            <w:r>
              <w:rPr>
                <w:rFonts w:hint="eastAsia" w:ascii="宋体" w:hAnsi="宋体"/>
                <w:spacing w:val="-3"/>
                <w:sz w:val="18"/>
                <w:szCs w:val="18"/>
              </w:rPr>
              <w:t>生态</w:t>
            </w:r>
          </w:p>
          <w:p w14:paraId="177553DA">
            <w:pPr>
              <w:ind w:left="141"/>
              <w:rPr>
                <w:rFonts w:ascii="宋体" w:hAnsi="宋体"/>
                <w:sz w:val="18"/>
                <w:szCs w:val="18"/>
              </w:rPr>
            </w:pPr>
            <w:r>
              <w:rPr>
                <w:rFonts w:hint="eastAsia" w:ascii="宋体" w:hAnsi="宋体"/>
                <w:spacing w:val="-3"/>
                <w:sz w:val="18"/>
                <w:szCs w:val="18"/>
              </w:rPr>
              <w:t>效益</w:t>
            </w:r>
          </w:p>
        </w:tc>
        <w:tc>
          <w:tcPr>
            <w:tcW w:w="489" w:type="dxa"/>
            <w:vMerge w:val="continue"/>
            <w:tcBorders>
              <w:top w:val="nil"/>
              <w:left w:val="single" w:color="000000" w:sz="4" w:space="0"/>
              <w:bottom w:val="nil"/>
              <w:right w:val="single" w:color="000000" w:sz="4" w:space="0"/>
            </w:tcBorders>
            <w:vAlign w:val="center"/>
          </w:tcPr>
          <w:p w14:paraId="0104C227">
            <w:pPr>
              <w:kinsoku/>
              <w:autoSpaceDE/>
              <w:autoSpaceDN/>
              <w:adjustRightInd/>
              <w:snapToGrid/>
              <w:textAlignment w:val="auto"/>
              <w:rPr>
                <w:rFonts w:ascii="宋体" w:hAnsi="宋体"/>
                <w:sz w:val="18"/>
                <w:szCs w:val="18"/>
              </w:rPr>
            </w:pPr>
          </w:p>
        </w:tc>
        <w:tc>
          <w:tcPr>
            <w:tcW w:w="4086" w:type="dxa"/>
            <w:tcBorders>
              <w:top w:val="single" w:color="000000" w:sz="4" w:space="0"/>
              <w:left w:val="single" w:color="000000" w:sz="4" w:space="0"/>
              <w:bottom w:val="single" w:color="000000" w:sz="4" w:space="0"/>
              <w:right w:val="single" w:color="000000" w:sz="4" w:space="0"/>
            </w:tcBorders>
          </w:tcPr>
          <w:p w14:paraId="22C0A7C6">
            <w:pPr>
              <w:pStyle w:val="10"/>
              <w:rPr>
                <w:sz w:val="21"/>
              </w:rPr>
            </w:pPr>
          </w:p>
          <w:p w14:paraId="1D54D0D4">
            <w:pPr>
              <w:spacing w:before="58"/>
              <w:ind w:left="73"/>
              <w:rPr>
                <w:rFonts w:ascii="宋体" w:hAnsi="宋体"/>
                <w:sz w:val="18"/>
                <w:szCs w:val="18"/>
              </w:rPr>
            </w:pPr>
            <w:r>
              <w:rPr>
                <w:rFonts w:hint="eastAsia" w:ascii="宋体" w:hAnsi="宋体"/>
                <w:spacing w:val="-4"/>
                <w:sz w:val="18"/>
                <w:szCs w:val="18"/>
              </w:rPr>
              <w:t>3……</w:t>
            </w:r>
          </w:p>
        </w:tc>
        <w:tc>
          <w:tcPr>
            <w:tcW w:w="2987" w:type="dxa"/>
            <w:vMerge w:val="continue"/>
            <w:tcBorders>
              <w:top w:val="nil"/>
              <w:left w:val="single" w:color="000000" w:sz="4" w:space="0"/>
              <w:bottom w:val="nil"/>
              <w:right w:val="single" w:color="000000" w:sz="4" w:space="0"/>
            </w:tcBorders>
            <w:vAlign w:val="center"/>
          </w:tcPr>
          <w:p w14:paraId="00F64710">
            <w:pPr>
              <w:kinsoku/>
              <w:autoSpaceDE/>
              <w:autoSpaceDN/>
              <w:adjustRightInd/>
              <w:snapToGrid/>
              <w:textAlignment w:val="auto"/>
              <w:rPr>
                <w:rFonts w:ascii="宋体" w:hAnsi="宋体"/>
                <w:sz w:val="18"/>
                <w:szCs w:val="18"/>
              </w:rPr>
            </w:pPr>
          </w:p>
        </w:tc>
        <w:tc>
          <w:tcPr>
            <w:tcW w:w="644" w:type="dxa"/>
            <w:vMerge w:val="continue"/>
            <w:tcBorders>
              <w:top w:val="nil"/>
              <w:left w:val="single" w:color="000000" w:sz="4" w:space="0"/>
              <w:bottom w:val="nil"/>
              <w:right w:val="single" w:color="000000" w:sz="4" w:space="0"/>
            </w:tcBorders>
            <w:vAlign w:val="center"/>
          </w:tcPr>
          <w:p w14:paraId="1B0B47C6">
            <w:pPr>
              <w:kinsoku/>
              <w:autoSpaceDE/>
              <w:autoSpaceDN/>
              <w:adjustRightInd/>
              <w:snapToGrid/>
              <w:jc w:val="center"/>
              <w:textAlignment w:val="auto"/>
              <w:rPr>
                <w:sz w:val="21"/>
              </w:rPr>
            </w:pPr>
          </w:p>
        </w:tc>
      </w:tr>
      <w:tr w14:paraId="00056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9" w:hRule="atLeast"/>
        </w:trPr>
        <w:tc>
          <w:tcPr>
            <w:tcW w:w="1973" w:type="dxa"/>
            <w:vMerge w:val="continue"/>
            <w:tcBorders>
              <w:top w:val="nil"/>
              <w:left w:val="single" w:color="000000" w:sz="4" w:space="0"/>
              <w:bottom w:val="nil"/>
              <w:right w:val="single" w:color="000000" w:sz="4" w:space="0"/>
            </w:tcBorders>
            <w:vAlign w:val="center"/>
          </w:tcPr>
          <w:p w14:paraId="52B39B60">
            <w:pPr>
              <w:kinsoku/>
              <w:autoSpaceDE/>
              <w:autoSpaceDN/>
              <w:adjustRightInd/>
              <w:snapToGrid/>
              <w:textAlignment w:val="auto"/>
              <w:rPr>
                <w:rFonts w:ascii="宋体" w:hAnsi="宋体"/>
                <w:sz w:val="18"/>
                <w:szCs w:val="18"/>
              </w:rPr>
            </w:pPr>
          </w:p>
        </w:tc>
        <w:tc>
          <w:tcPr>
            <w:tcW w:w="640" w:type="dxa"/>
            <w:vMerge w:val="continue"/>
            <w:tcBorders>
              <w:top w:val="nil"/>
              <w:left w:val="single" w:color="000000" w:sz="4" w:space="0"/>
              <w:bottom w:val="nil"/>
              <w:right w:val="single" w:color="000000" w:sz="4" w:space="0"/>
            </w:tcBorders>
            <w:vAlign w:val="center"/>
          </w:tcPr>
          <w:p w14:paraId="4722225C">
            <w:pPr>
              <w:kinsoku/>
              <w:autoSpaceDE/>
              <w:autoSpaceDN/>
              <w:adjustRightInd/>
              <w:snapToGrid/>
              <w:textAlignment w:val="auto"/>
              <w:rPr>
                <w:rFonts w:ascii="宋体" w:hAnsi="宋体"/>
                <w:sz w:val="18"/>
                <w:szCs w:val="18"/>
              </w:rPr>
            </w:pPr>
          </w:p>
        </w:tc>
        <w:tc>
          <w:tcPr>
            <w:tcW w:w="669" w:type="dxa"/>
            <w:tcBorders>
              <w:top w:val="single" w:color="000000" w:sz="4" w:space="0"/>
              <w:left w:val="single" w:color="000000" w:sz="4" w:space="0"/>
              <w:bottom w:val="single" w:color="000000" w:sz="4" w:space="0"/>
              <w:right w:val="single" w:color="000000" w:sz="4" w:space="0"/>
            </w:tcBorders>
          </w:tcPr>
          <w:p w14:paraId="149D6707">
            <w:pPr>
              <w:spacing w:before="65"/>
              <w:ind w:left="141" w:right="166"/>
              <w:rPr>
                <w:rFonts w:ascii="宋体" w:hAnsi="宋体"/>
                <w:sz w:val="18"/>
                <w:szCs w:val="18"/>
              </w:rPr>
            </w:pPr>
            <w:r>
              <w:rPr>
                <w:rFonts w:hint="eastAsia" w:ascii="宋体" w:hAnsi="宋体"/>
                <w:spacing w:val="-5"/>
                <w:sz w:val="18"/>
                <w:szCs w:val="18"/>
              </w:rPr>
              <w:t>社会</w:t>
            </w:r>
            <w:r>
              <w:rPr>
                <w:rFonts w:hint="eastAsia" w:ascii="宋体" w:hAnsi="宋体"/>
                <w:sz w:val="18"/>
                <w:szCs w:val="18"/>
              </w:rPr>
              <w:t xml:space="preserve"> </w:t>
            </w:r>
            <w:r>
              <w:rPr>
                <w:rFonts w:hint="eastAsia" w:ascii="宋体" w:hAnsi="宋体"/>
                <w:spacing w:val="-7"/>
                <w:sz w:val="18"/>
                <w:szCs w:val="18"/>
              </w:rPr>
              <w:t>公众</w:t>
            </w:r>
          </w:p>
          <w:p w14:paraId="62C3AD8E">
            <w:pPr>
              <w:ind w:left="141"/>
              <w:rPr>
                <w:rFonts w:hint="eastAsia" w:ascii="宋体" w:hAnsi="宋体"/>
                <w:sz w:val="18"/>
                <w:szCs w:val="18"/>
              </w:rPr>
            </w:pPr>
            <w:r>
              <w:rPr>
                <w:rFonts w:hint="eastAsia" w:ascii="宋体" w:hAnsi="宋体"/>
                <w:spacing w:val="-3"/>
                <w:sz w:val="18"/>
                <w:szCs w:val="18"/>
              </w:rPr>
              <w:t>或服</w:t>
            </w:r>
          </w:p>
          <w:p w14:paraId="424EAB84">
            <w:pPr>
              <w:ind w:left="141"/>
              <w:rPr>
                <w:rFonts w:hint="eastAsia" w:ascii="宋体" w:hAnsi="宋体"/>
                <w:sz w:val="18"/>
                <w:szCs w:val="18"/>
              </w:rPr>
            </w:pPr>
            <w:r>
              <w:rPr>
                <w:rFonts w:hint="eastAsia" w:ascii="宋体" w:hAnsi="宋体"/>
                <w:spacing w:val="-3"/>
                <w:sz w:val="18"/>
                <w:szCs w:val="18"/>
              </w:rPr>
              <w:t>务对</w:t>
            </w:r>
          </w:p>
          <w:p w14:paraId="7D871551">
            <w:pPr>
              <w:ind w:left="141"/>
              <w:rPr>
                <w:rFonts w:hint="eastAsia" w:ascii="宋体" w:hAnsi="宋体"/>
                <w:sz w:val="18"/>
                <w:szCs w:val="18"/>
              </w:rPr>
            </w:pPr>
            <w:r>
              <w:rPr>
                <w:rFonts w:hint="eastAsia" w:ascii="宋体" w:hAnsi="宋体"/>
                <w:spacing w:val="4"/>
                <w:sz w:val="18"/>
                <w:szCs w:val="18"/>
              </w:rPr>
              <w:t>象满</w:t>
            </w:r>
          </w:p>
          <w:p w14:paraId="35650BB3">
            <w:pPr>
              <w:ind w:left="141"/>
              <w:rPr>
                <w:rFonts w:ascii="宋体" w:hAnsi="宋体"/>
                <w:sz w:val="18"/>
                <w:szCs w:val="18"/>
              </w:rPr>
            </w:pPr>
            <w:r>
              <w:rPr>
                <w:rFonts w:hint="eastAsia" w:ascii="宋体" w:hAnsi="宋体"/>
                <w:spacing w:val="5"/>
                <w:sz w:val="18"/>
                <w:szCs w:val="18"/>
              </w:rPr>
              <w:t>意度</w:t>
            </w:r>
          </w:p>
        </w:tc>
        <w:tc>
          <w:tcPr>
            <w:tcW w:w="489" w:type="dxa"/>
            <w:tcBorders>
              <w:top w:val="single" w:color="000000" w:sz="4" w:space="0"/>
              <w:left w:val="single" w:color="000000" w:sz="4" w:space="0"/>
              <w:bottom w:val="single" w:color="000000" w:sz="4" w:space="0"/>
              <w:right w:val="single" w:color="000000" w:sz="4" w:space="0"/>
            </w:tcBorders>
          </w:tcPr>
          <w:p w14:paraId="6D20D6C9">
            <w:pPr>
              <w:pStyle w:val="10"/>
              <w:spacing w:line="254" w:lineRule="auto"/>
              <w:rPr>
                <w:sz w:val="21"/>
              </w:rPr>
            </w:pPr>
          </w:p>
          <w:p w14:paraId="40F63C5A">
            <w:pPr>
              <w:pStyle w:val="10"/>
              <w:spacing w:line="254" w:lineRule="auto"/>
              <w:rPr>
                <w:sz w:val="20"/>
              </w:rPr>
            </w:pPr>
          </w:p>
          <w:p w14:paraId="19CEDE76">
            <w:pPr>
              <w:spacing w:before="58"/>
              <w:ind w:left="192"/>
              <w:rPr>
                <w:rFonts w:ascii="宋体" w:hAnsi="宋体"/>
                <w:sz w:val="18"/>
                <w:szCs w:val="18"/>
              </w:rPr>
            </w:pPr>
            <w:r>
              <w:rPr>
                <w:rFonts w:hint="eastAsia" w:ascii="宋体" w:hAnsi="宋体"/>
                <w:sz w:val="18"/>
                <w:szCs w:val="18"/>
              </w:rPr>
              <w:t>5</w:t>
            </w:r>
          </w:p>
        </w:tc>
        <w:tc>
          <w:tcPr>
            <w:tcW w:w="4086" w:type="dxa"/>
            <w:tcBorders>
              <w:top w:val="single" w:color="000000" w:sz="4" w:space="0"/>
              <w:left w:val="single" w:color="000000" w:sz="4" w:space="0"/>
              <w:bottom w:val="single" w:color="000000" w:sz="4" w:space="0"/>
              <w:right w:val="single" w:color="000000" w:sz="4" w:space="0"/>
            </w:tcBorders>
          </w:tcPr>
          <w:p w14:paraId="1F7B6073">
            <w:pPr>
              <w:pStyle w:val="10"/>
              <w:spacing w:line="244" w:lineRule="auto"/>
              <w:rPr>
                <w:sz w:val="21"/>
              </w:rPr>
            </w:pPr>
          </w:p>
          <w:p w14:paraId="303B8BB7">
            <w:pPr>
              <w:pStyle w:val="10"/>
              <w:spacing w:line="244" w:lineRule="auto"/>
              <w:rPr>
                <w:sz w:val="20"/>
              </w:rPr>
            </w:pPr>
          </w:p>
          <w:p w14:paraId="6DCAAFDF">
            <w:pPr>
              <w:spacing w:before="59"/>
              <w:ind w:left="73"/>
              <w:rPr>
                <w:rFonts w:ascii="宋体" w:hAnsi="宋体"/>
                <w:sz w:val="18"/>
                <w:szCs w:val="18"/>
              </w:rPr>
            </w:pPr>
            <w:r>
              <w:rPr>
                <w:rFonts w:hint="eastAsia" w:ascii="宋体" w:hAnsi="宋体"/>
                <w:spacing w:val="-1"/>
                <w:sz w:val="18"/>
                <w:szCs w:val="18"/>
              </w:rPr>
              <w:t>社会公众或服务对象满意度</w:t>
            </w:r>
          </w:p>
        </w:tc>
        <w:tc>
          <w:tcPr>
            <w:tcW w:w="2987" w:type="dxa"/>
            <w:tcBorders>
              <w:top w:val="single" w:color="000000" w:sz="4" w:space="0"/>
              <w:left w:val="single" w:color="000000" w:sz="4" w:space="0"/>
              <w:bottom w:val="single" w:color="000000" w:sz="4" w:space="0"/>
              <w:right w:val="single" w:color="000000" w:sz="4" w:space="0"/>
            </w:tcBorders>
          </w:tcPr>
          <w:p w14:paraId="11E08C59">
            <w:pPr>
              <w:pStyle w:val="10"/>
              <w:spacing w:line="273" w:lineRule="auto"/>
              <w:rPr>
                <w:sz w:val="21"/>
              </w:rPr>
            </w:pPr>
          </w:p>
          <w:p w14:paraId="43956903">
            <w:pPr>
              <w:spacing w:before="58"/>
              <w:ind w:left="117"/>
              <w:rPr>
                <w:rFonts w:ascii="宋体" w:hAnsi="宋体"/>
                <w:sz w:val="18"/>
                <w:szCs w:val="18"/>
              </w:rPr>
            </w:pPr>
            <w:r>
              <w:rPr>
                <w:rFonts w:hint="eastAsia" w:ascii="宋体" w:hAnsi="宋体"/>
                <w:spacing w:val="7"/>
                <w:sz w:val="18"/>
                <w:szCs w:val="18"/>
              </w:rPr>
              <w:t>90%(含)以上计5分；</w:t>
            </w:r>
          </w:p>
          <w:p w14:paraId="4A1BA462">
            <w:pPr>
              <w:spacing w:before="23" w:line="256" w:lineRule="auto"/>
              <w:ind w:left="116" w:right="60" w:hanging="19"/>
              <w:rPr>
                <w:rFonts w:ascii="宋体" w:hAnsi="宋体"/>
                <w:sz w:val="18"/>
                <w:szCs w:val="18"/>
              </w:rPr>
            </w:pPr>
            <w:r>
              <w:rPr>
                <w:rFonts w:hint="eastAsia" w:ascii="宋体" w:hAnsi="宋体"/>
                <w:spacing w:val="22"/>
                <w:sz w:val="18"/>
                <w:szCs w:val="18"/>
              </w:rPr>
              <w:t>80%(含)-90%,计4分；70%(含)</w:t>
            </w:r>
            <w:r>
              <w:rPr>
                <w:rFonts w:hint="eastAsia" w:ascii="宋体" w:hAnsi="宋体"/>
                <w:spacing w:val="16"/>
                <w:sz w:val="18"/>
                <w:szCs w:val="18"/>
              </w:rPr>
              <w:t xml:space="preserve"> </w:t>
            </w:r>
            <w:r>
              <w:rPr>
                <w:rFonts w:hint="eastAsia" w:ascii="宋体" w:hAnsi="宋体"/>
                <w:spacing w:val="-1"/>
                <w:sz w:val="18"/>
                <w:szCs w:val="18"/>
              </w:rPr>
              <w:t>-80%,计3分；低于70%计0分。</w:t>
            </w:r>
          </w:p>
        </w:tc>
        <w:tc>
          <w:tcPr>
            <w:tcW w:w="644" w:type="dxa"/>
            <w:tcBorders>
              <w:top w:val="single" w:color="000000" w:sz="4" w:space="0"/>
              <w:left w:val="single" w:color="000000" w:sz="4" w:space="0"/>
              <w:bottom w:val="single" w:color="000000" w:sz="4" w:space="0"/>
              <w:right w:val="single" w:color="000000" w:sz="4" w:space="0"/>
            </w:tcBorders>
            <w:vAlign w:val="center"/>
          </w:tcPr>
          <w:p w14:paraId="2A7A332B">
            <w:pPr>
              <w:pStyle w:val="10"/>
              <w:jc w:val="center"/>
              <w:rPr>
                <w:rFonts w:hint="eastAsia" w:eastAsia="宋体"/>
                <w:sz w:val="20"/>
                <w:lang w:val="en-US" w:eastAsia="zh-CN"/>
              </w:rPr>
            </w:pPr>
            <w:r>
              <w:rPr>
                <w:rFonts w:hint="eastAsia"/>
                <w:sz w:val="20"/>
                <w:lang w:val="en-US" w:eastAsia="zh-CN"/>
              </w:rPr>
              <w:t>5</w:t>
            </w:r>
          </w:p>
        </w:tc>
      </w:tr>
      <w:tr w14:paraId="418AD5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973" w:type="dxa"/>
            <w:gridSpan w:val="3"/>
            <w:tcBorders>
              <w:top w:val="single" w:color="000000" w:sz="4" w:space="0"/>
              <w:left w:val="single" w:color="000000" w:sz="4" w:space="0"/>
              <w:bottom w:val="single" w:color="000000" w:sz="4" w:space="0"/>
              <w:right w:val="single" w:color="000000" w:sz="4" w:space="0"/>
            </w:tcBorders>
          </w:tcPr>
          <w:p w14:paraId="307EB7F5">
            <w:pPr>
              <w:spacing w:before="197"/>
              <w:ind w:left="805"/>
              <w:rPr>
                <w:rFonts w:ascii="宋体" w:hAnsi="宋体"/>
                <w:sz w:val="18"/>
                <w:szCs w:val="18"/>
              </w:rPr>
            </w:pPr>
            <w:r>
              <w:rPr>
                <w:rFonts w:hint="eastAsia" w:ascii="宋体" w:hAnsi="宋体"/>
                <w:spacing w:val="-2"/>
                <w:sz w:val="18"/>
                <w:szCs w:val="18"/>
              </w:rPr>
              <w:t>合计</w:t>
            </w:r>
          </w:p>
        </w:tc>
        <w:tc>
          <w:tcPr>
            <w:tcW w:w="489" w:type="dxa"/>
            <w:tcBorders>
              <w:top w:val="single" w:color="000000" w:sz="4" w:space="0"/>
              <w:left w:val="single" w:color="000000" w:sz="4" w:space="0"/>
              <w:bottom w:val="single" w:color="000000" w:sz="4" w:space="0"/>
              <w:right w:val="single" w:color="000000" w:sz="4" w:space="0"/>
            </w:tcBorders>
          </w:tcPr>
          <w:p w14:paraId="17E10C51">
            <w:pPr>
              <w:spacing w:before="213"/>
              <w:ind w:left="102"/>
              <w:rPr>
                <w:rFonts w:ascii="宋体" w:hAnsi="宋体"/>
                <w:sz w:val="18"/>
                <w:szCs w:val="18"/>
              </w:rPr>
            </w:pPr>
            <w:r>
              <w:rPr>
                <w:rFonts w:hint="eastAsia" w:ascii="宋体" w:hAnsi="宋体"/>
                <w:spacing w:val="-5"/>
                <w:sz w:val="18"/>
                <w:szCs w:val="18"/>
              </w:rPr>
              <w:t>100</w:t>
            </w:r>
          </w:p>
        </w:tc>
        <w:tc>
          <w:tcPr>
            <w:tcW w:w="4086" w:type="dxa"/>
            <w:tcBorders>
              <w:top w:val="single" w:color="000000" w:sz="4" w:space="0"/>
              <w:left w:val="single" w:color="000000" w:sz="4" w:space="0"/>
              <w:bottom w:val="single" w:color="000000" w:sz="4" w:space="0"/>
              <w:right w:val="single" w:color="000000" w:sz="4" w:space="0"/>
            </w:tcBorders>
          </w:tcPr>
          <w:p w14:paraId="1D12C97F">
            <w:pPr>
              <w:pStyle w:val="10"/>
              <w:rPr>
                <w:sz w:val="20"/>
              </w:rPr>
            </w:pPr>
          </w:p>
        </w:tc>
        <w:tc>
          <w:tcPr>
            <w:tcW w:w="2987" w:type="dxa"/>
            <w:tcBorders>
              <w:top w:val="single" w:color="000000" w:sz="4" w:space="0"/>
              <w:left w:val="single" w:color="000000" w:sz="4" w:space="0"/>
              <w:bottom w:val="single" w:color="000000" w:sz="4" w:space="0"/>
              <w:right w:val="single" w:color="000000" w:sz="4" w:space="0"/>
            </w:tcBorders>
          </w:tcPr>
          <w:p w14:paraId="137C27DB">
            <w:pPr>
              <w:pStyle w:val="10"/>
              <w:rPr>
                <w:sz w:val="20"/>
              </w:rPr>
            </w:pPr>
          </w:p>
        </w:tc>
        <w:tc>
          <w:tcPr>
            <w:tcW w:w="644" w:type="dxa"/>
            <w:tcBorders>
              <w:top w:val="single" w:color="000000" w:sz="4" w:space="0"/>
              <w:left w:val="single" w:color="000000" w:sz="4" w:space="0"/>
              <w:bottom w:val="single" w:color="000000" w:sz="4" w:space="0"/>
              <w:right w:val="single" w:color="000000" w:sz="4" w:space="0"/>
            </w:tcBorders>
            <w:vAlign w:val="center"/>
          </w:tcPr>
          <w:p w14:paraId="7089C78C">
            <w:pPr>
              <w:pStyle w:val="10"/>
              <w:jc w:val="center"/>
              <w:rPr>
                <w:rFonts w:hint="default" w:eastAsia="宋体"/>
                <w:sz w:val="20"/>
                <w:lang w:val="en-US" w:eastAsia="zh-CN"/>
              </w:rPr>
            </w:pPr>
            <w:r>
              <w:rPr>
                <w:rFonts w:hint="eastAsia"/>
                <w:sz w:val="20"/>
                <w:lang w:val="en-US" w:eastAsia="zh-CN"/>
              </w:rPr>
              <w:t>95</w:t>
            </w:r>
          </w:p>
        </w:tc>
      </w:tr>
    </w:tbl>
    <w:p w14:paraId="6F33C267">
      <w:bookmarkStart w:id="0" w:name="_GoBack"/>
      <w:bookmarkEnd w:id="0"/>
    </w:p>
    <w:sectPr>
      <w:pgSz w:w="11906" w:h="16838"/>
      <w:pgMar w:top="1247" w:right="1134" w:bottom="124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407A19"/>
    <w:multiLevelType w:val="singleLevel"/>
    <w:tmpl w:val="C1407A19"/>
    <w:lvl w:ilvl="0" w:tentative="0">
      <w:start w:val="4"/>
      <w:numFmt w:val="chineseCounting"/>
      <w:suff w:val="nothing"/>
      <w:lvlText w:val="%1、"/>
      <w:lvlJc w:val="left"/>
      <w:rPr>
        <w:rFonts w:hint="eastAsia"/>
      </w:rPr>
    </w:lvl>
  </w:abstractNum>
  <w:abstractNum w:abstractNumId="1">
    <w:nsid w:val="606EA89E"/>
    <w:multiLevelType w:val="singleLevel"/>
    <w:tmpl w:val="606EA89E"/>
    <w:lvl w:ilvl="0" w:tentative="0">
      <w:start w:val="2"/>
      <w:numFmt w:val="chineseCounting"/>
      <w:lvlText w:val="(%1)"/>
      <w:lvlJc w:val="left"/>
      <w:pPr>
        <w:tabs>
          <w:tab w:val="left" w:pos="312"/>
        </w:tabs>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33AB3"/>
    <w:rsid w:val="00162A17"/>
    <w:rsid w:val="00433AB3"/>
    <w:rsid w:val="1A455711"/>
    <w:rsid w:val="1A5956CF"/>
    <w:rsid w:val="1A763445"/>
    <w:rsid w:val="1D0F6E7A"/>
    <w:rsid w:val="22332A38"/>
    <w:rsid w:val="2820389B"/>
    <w:rsid w:val="307554EA"/>
    <w:rsid w:val="3705239A"/>
    <w:rsid w:val="39302AD9"/>
    <w:rsid w:val="44E550F0"/>
    <w:rsid w:val="5BB05A39"/>
    <w:rsid w:val="5CD75876"/>
    <w:rsid w:val="634E21A6"/>
    <w:rsid w:val="6ECA7AEA"/>
    <w:rsid w:val="7BB53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宋体" w:cs="Arial"/>
      <w:color w:val="000000"/>
      <w:kern w:val="0"/>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4">
    <w:name w:val="Body Text"/>
    <w:basedOn w:val="1"/>
    <w:link w:val="9"/>
    <w:unhideWhenUsed/>
    <w:qFormat/>
    <w:uiPriority w:val="99"/>
    <w:rPr>
      <w:rFonts w:ascii="仿宋" w:hAnsi="仿宋" w:eastAsia="仿宋" w:cs="宋体"/>
      <w:sz w:val="31"/>
      <w:szCs w:val="31"/>
    </w:rPr>
  </w:style>
  <w:style w:type="paragraph" w:styleId="5">
    <w:name w:val="footer"/>
    <w:basedOn w:val="1"/>
    <w:link w:val="11"/>
    <w:unhideWhenUsed/>
    <w:qFormat/>
    <w:uiPriority w:val="99"/>
    <w:pPr>
      <w:tabs>
        <w:tab w:val="center" w:pos="4153"/>
        <w:tab w:val="right" w:pos="8306"/>
      </w:tabs>
    </w:pPr>
    <w:rPr>
      <w:sz w:val="18"/>
      <w:szCs w:val="18"/>
    </w:rPr>
  </w:style>
  <w:style w:type="paragraph" w:styleId="6">
    <w:name w:val="Normal (Web)"/>
    <w:basedOn w:val="1"/>
    <w:qFormat/>
    <w:uiPriority w:val="0"/>
    <w:pPr>
      <w:widowControl/>
      <w:spacing w:line="450" w:lineRule="atLeast"/>
      <w:jc w:val="left"/>
    </w:pPr>
    <w:rPr>
      <w:rFonts w:ascii="宋体" w:hAnsi="宋体" w:cs="宋体"/>
      <w:kern w:val="0"/>
      <w:sz w:val="24"/>
    </w:rPr>
  </w:style>
  <w:style w:type="character" w:customStyle="1" w:styleId="9">
    <w:name w:val="正文文本 Char"/>
    <w:basedOn w:val="8"/>
    <w:link w:val="4"/>
    <w:qFormat/>
    <w:uiPriority w:val="99"/>
    <w:rPr>
      <w:rFonts w:ascii="仿宋" w:hAnsi="仿宋" w:eastAsia="仿宋" w:cs="宋体"/>
      <w:color w:val="000000"/>
      <w:kern w:val="0"/>
      <w:sz w:val="31"/>
      <w:szCs w:val="31"/>
    </w:rPr>
  </w:style>
  <w:style w:type="paragraph" w:customStyle="1" w:styleId="10">
    <w:name w:val="Table Text"/>
    <w:basedOn w:val="1"/>
    <w:semiHidden/>
    <w:qFormat/>
    <w:uiPriority w:val="0"/>
  </w:style>
  <w:style w:type="character" w:customStyle="1" w:styleId="11">
    <w:name w:val="页脚 Char"/>
    <w:basedOn w:val="8"/>
    <w:link w:val="5"/>
    <w:qFormat/>
    <w:uiPriority w:val="99"/>
    <w:rPr>
      <w:rFonts w:ascii="Arial" w:hAnsi="Arial" w:eastAsia="宋体" w:cs="Arial"/>
      <w:color w:val="000000"/>
      <w:kern w:val="0"/>
      <w:sz w:val="18"/>
      <w:szCs w:val="18"/>
    </w:rPr>
  </w:style>
  <w:style w:type="table" w:customStyle="1" w:styleId="12">
    <w:name w:val="Table Normal"/>
    <w:basedOn w:val="7"/>
    <w:qFormat/>
    <w:uiPriority w:val="0"/>
    <w:rPr>
      <w:rFonts w:ascii="Times New Roman" w:hAnsi="Times New Roman" w:eastAsia="Times New Roman" w:cs="Times New Roman"/>
      <w:kern w:val="0"/>
      <w:sz w:val="20"/>
      <w:szCs w:val="20"/>
    </w:rPr>
    <w:tblPr>
      <w:tblCellMar>
        <w:top w:w="0" w:type="dxa"/>
        <w:left w:w="0" w:type="dxa"/>
        <w:bottom w:w="0" w:type="dxa"/>
        <w:right w:w="0" w:type="dxa"/>
      </w:tblCellMar>
    </w:tblPr>
  </w:style>
  <w:style w:type="character" w:customStyle="1" w:styleId="13">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86</Words>
  <Characters>105</Characters>
  <Lines>46</Lines>
  <Paragraphs>13</Paragraphs>
  <TotalTime>96</TotalTime>
  <ScaleCrop>false</ScaleCrop>
  <LinksUpToDate>false</LinksUpToDate>
  <CharactersWithSpaces>199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2025-04-08T00:51:00Z</dcterms:created>
  <dc:creator>Administrator</dc:creator>
  <cp:lastModifiedBy>Administrator</cp:lastModifiedBy>
  <cp:lastPrinted>2025-04-24T03:08:00Z</cp:lastPrinted>
  <dcterms:modified xsi:type="dcterms:W3CDTF">2025-10-14T02:35:05Z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eyJoZGlkIjoiN2UzMDU1Njc2MWNjYjc1MzQ2ZTc3ZGIyNTc5NDBmODkifQ==</vt:lpwstr>
  </property>
  <property fmtid="{D5CDD505-2E9C-101B-9397-08002B2CF9AE}" pid="3" name="KSOProductBuildVer">
    <vt:lpwstr>2052-12.1.0.23125</vt:lpwstr>
  </property>
  <property fmtid="{D5CDD505-2E9C-101B-9397-08002B2CF9AE}" pid="4" name="ICV">
    <vt:lpwstr>B41A7EE144CC4E01B3EE9B56A60BF3D5_12</vt:lpwstr>
  </property>
</Properties>
</file>