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E7BF9">
      <w:pPr>
        <w:spacing w:line="360" w:lineRule="auto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附件5</w:t>
      </w:r>
    </w:p>
    <w:p w14:paraId="36ADAEB6">
      <w:pPr>
        <w:pStyle w:val="8"/>
        <w:widowControl/>
        <w:shd w:val="clear" w:color="auto" w:fill="FFFFFF"/>
        <w:spacing w:beforeAutospacing="0" w:afterAutospacing="0" w:line="480" w:lineRule="exact"/>
        <w:ind w:firstLine="607"/>
        <w:jc w:val="both"/>
        <w:rPr>
          <w:rFonts w:ascii="方正小标宋_GBK" w:hAnsi="方正小标宋_GBK" w:eastAsia="方正小标宋_GBK" w:cs="方正小标宋_GBK"/>
          <w:color w:val="000000"/>
          <w:shd w:val="clear" w:color="auto" w:fill="FFFFFF"/>
        </w:rPr>
      </w:pPr>
    </w:p>
    <w:p w14:paraId="3E539EDA">
      <w:pPr>
        <w:pStyle w:val="8"/>
        <w:widowControl/>
        <w:shd w:val="clear" w:color="auto" w:fill="FFFFFF"/>
        <w:spacing w:beforeAutospacing="0" w:afterAutospacing="0" w:line="480" w:lineRule="exact"/>
        <w:ind w:firstLine="607"/>
        <w:jc w:val="both"/>
        <w:rPr>
          <w:rFonts w:ascii="方正小标宋_GBK" w:hAnsi="方正小标宋_GBK" w:eastAsia="方正小标宋_GBK" w:cs="方正小标宋_GBK"/>
          <w:color w:val="000000"/>
          <w:shd w:val="clear" w:color="auto" w:fill="FFFFFF"/>
        </w:rPr>
      </w:pPr>
    </w:p>
    <w:p w14:paraId="0AE9C083">
      <w:pPr>
        <w:pStyle w:val="8"/>
        <w:widowControl/>
        <w:shd w:val="clear" w:color="auto" w:fill="FFFFFF"/>
        <w:spacing w:beforeAutospacing="0" w:afterAutospacing="0" w:line="480" w:lineRule="exact"/>
        <w:ind w:firstLine="607"/>
        <w:jc w:val="both"/>
        <w:rPr>
          <w:rFonts w:ascii="方正小标宋_GBK" w:hAnsi="方正小标宋_GBK" w:eastAsia="方正小标宋_GBK" w:cs="方正小标宋_GBK"/>
          <w:color w:val="000000"/>
          <w:shd w:val="clear" w:color="auto" w:fill="FFFFFF"/>
        </w:rPr>
      </w:pPr>
    </w:p>
    <w:p w14:paraId="3FADF1A6">
      <w:pPr>
        <w:spacing w:line="480" w:lineRule="auto"/>
        <w:ind w:firstLine="1118"/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2024年度怀化市鹤城区河西小学</w:t>
      </w:r>
    </w:p>
    <w:p w14:paraId="2214E396">
      <w:pPr>
        <w:pStyle w:val="8"/>
        <w:widowControl/>
        <w:shd w:val="clear" w:color="auto" w:fill="FFFFFF"/>
        <w:spacing w:beforeAutospacing="0" w:afterAutospacing="0" w:line="480" w:lineRule="auto"/>
        <w:ind w:firstLine="1118"/>
        <w:jc w:val="center"/>
        <w:rPr>
          <w:rFonts w:ascii="仿宋" w:hAnsi="仿宋" w:eastAsia="仿宋" w:cs="仿宋"/>
          <w:b/>
          <w:bCs/>
          <w:kern w:val="2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kern w:val="2"/>
          <w:sz w:val="44"/>
          <w:szCs w:val="44"/>
        </w:rPr>
        <w:t>整体支出绩效自评报告</w:t>
      </w:r>
    </w:p>
    <w:p w14:paraId="4538780E">
      <w:pPr>
        <w:pStyle w:val="8"/>
        <w:widowControl/>
        <w:shd w:val="clear" w:color="auto" w:fill="FFFFFF"/>
        <w:spacing w:beforeAutospacing="0" w:afterAutospacing="0" w:line="480" w:lineRule="auto"/>
        <w:ind w:firstLine="1200" w:firstLineChars="300"/>
        <w:jc w:val="both"/>
        <w:rPr>
          <w:rFonts w:ascii="方正小标宋_GBK" w:hAnsi="方正小标宋_GBK" w:eastAsia="方正小标宋_GBK" w:cs="方正小标宋_GBK"/>
          <w:color w:val="000000"/>
          <w:sz w:val="40"/>
          <w:szCs w:val="40"/>
          <w:shd w:val="clear" w:color="auto" w:fill="FFFFFF"/>
        </w:rPr>
      </w:pPr>
    </w:p>
    <w:p w14:paraId="23C04D70">
      <w:pPr>
        <w:pStyle w:val="8"/>
        <w:widowControl/>
        <w:shd w:val="clear" w:color="auto" w:fill="FFFFFF"/>
        <w:spacing w:beforeAutospacing="0" w:afterAutospacing="0" w:line="480" w:lineRule="exact"/>
        <w:ind w:firstLine="1200" w:firstLineChars="300"/>
        <w:jc w:val="both"/>
        <w:rPr>
          <w:rFonts w:ascii="方正小标宋_GBK" w:hAnsi="方正小标宋_GBK" w:eastAsia="方正小标宋_GBK" w:cs="方正小标宋_GBK"/>
          <w:color w:val="000000"/>
          <w:sz w:val="40"/>
          <w:szCs w:val="40"/>
          <w:shd w:val="clear" w:color="auto" w:fill="FFFFFF"/>
        </w:rPr>
      </w:pPr>
    </w:p>
    <w:p w14:paraId="6EF2737B">
      <w:pPr>
        <w:pStyle w:val="8"/>
        <w:widowControl/>
        <w:shd w:val="clear" w:color="auto" w:fill="FFFFFF"/>
        <w:spacing w:beforeAutospacing="0" w:afterAutospacing="0" w:line="480" w:lineRule="exact"/>
        <w:ind w:firstLine="1200" w:firstLineChars="300"/>
        <w:jc w:val="both"/>
        <w:rPr>
          <w:rFonts w:ascii="方正小标宋_GBK" w:hAnsi="方正小标宋_GBK" w:eastAsia="方正小标宋_GBK" w:cs="方正小标宋_GBK"/>
          <w:color w:val="000000"/>
          <w:sz w:val="40"/>
          <w:szCs w:val="40"/>
          <w:shd w:val="clear" w:color="auto" w:fill="FFFFFF"/>
        </w:rPr>
      </w:pPr>
    </w:p>
    <w:p w14:paraId="73F28AA7">
      <w:pPr>
        <w:pStyle w:val="8"/>
        <w:widowControl/>
        <w:shd w:val="clear" w:color="auto" w:fill="FFFFFF"/>
        <w:spacing w:beforeAutospacing="0" w:afterAutospacing="0" w:line="480" w:lineRule="exact"/>
        <w:ind w:firstLine="1200" w:firstLineChars="300"/>
        <w:jc w:val="both"/>
        <w:rPr>
          <w:rFonts w:ascii="方正小标宋_GBK" w:hAnsi="方正小标宋_GBK" w:eastAsia="方正小标宋_GBK" w:cs="方正小标宋_GBK"/>
          <w:color w:val="000000"/>
          <w:sz w:val="40"/>
          <w:szCs w:val="40"/>
          <w:shd w:val="clear" w:color="auto" w:fill="FFFFFF"/>
        </w:rPr>
      </w:pPr>
    </w:p>
    <w:p w14:paraId="5ADC74C0">
      <w:pPr>
        <w:pStyle w:val="8"/>
        <w:widowControl/>
        <w:shd w:val="clear" w:color="auto" w:fill="FFFFFF"/>
        <w:spacing w:beforeAutospacing="0" w:afterAutospacing="0" w:line="480" w:lineRule="exact"/>
        <w:ind w:firstLine="1200" w:firstLineChars="300"/>
        <w:jc w:val="both"/>
        <w:rPr>
          <w:rFonts w:ascii="方正小标宋_GBK" w:hAnsi="方正小标宋_GBK" w:eastAsia="方正小标宋_GBK" w:cs="方正小标宋_GBK"/>
          <w:color w:val="000000"/>
          <w:sz w:val="40"/>
          <w:szCs w:val="40"/>
          <w:shd w:val="clear" w:color="auto" w:fill="FFFFFF"/>
        </w:rPr>
      </w:pPr>
    </w:p>
    <w:p w14:paraId="2E3959D1">
      <w:pPr>
        <w:pStyle w:val="8"/>
        <w:widowControl/>
        <w:shd w:val="clear" w:color="auto" w:fill="FFFFFF"/>
        <w:spacing w:beforeAutospacing="0" w:afterAutospacing="0" w:line="480" w:lineRule="exact"/>
        <w:ind w:firstLine="1200" w:firstLineChars="300"/>
        <w:jc w:val="both"/>
        <w:rPr>
          <w:rFonts w:ascii="方正小标宋_GBK" w:hAnsi="方正小标宋_GBK" w:eastAsia="方正小标宋_GBK" w:cs="方正小标宋_GBK"/>
          <w:color w:val="000000"/>
          <w:sz w:val="40"/>
          <w:szCs w:val="40"/>
          <w:shd w:val="clear" w:color="auto" w:fill="FFFFFF"/>
        </w:rPr>
      </w:pPr>
    </w:p>
    <w:p w14:paraId="184982F9">
      <w:pPr>
        <w:pStyle w:val="8"/>
        <w:widowControl/>
        <w:shd w:val="clear" w:color="auto" w:fill="FFFFFF"/>
        <w:spacing w:beforeAutospacing="0" w:afterAutospacing="0" w:line="480" w:lineRule="exact"/>
        <w:ind w:firstLine="1200" w:firstLineChars="300"/>
        <w:jc w:val="both"/>
        <w:rPr>
          <w:rFonts w:ascii="方正小标宋_GBK" w:hAnsi="方正小标宋_GBK" w:eastAsia="方正小标宋_GBK" w:cs="方正小标宋_GBK"/>
          <w:color w:val="000000"/>
          <w:sz w:val="40"/>
          <w:szCs w:val="40"/>
          <w:shd w:val="clear" w:color="auto" w:fill="FFFFFF"/>
        </w:rPr>
      </w:pPr>
    </w:p>
    <w:p w14:paraId="026490B5">
      <w:pPr>
        <w:pStyle w:val="8"/>
        <w:widowControl/>
        <w:shd w:val="clear" w:color="auto" w:fill="FFFFFF"/>
        <w:spacing w:beforeAutospacing="0" w:afterAutospacing="0" w:line="480" w:lineRule="exact"/>
        <w:ind w:firstLine="1200" w:firstLineChars="300"/>
        <w:jc w:val="both"/>
        <w:rPr>
          <w:rFonts w:ascii="方正小标宋_GBK" w:hAnsi="方正小标宋_GBK" w:eastAsia="方正小标宋_GBK" w:cs="方正小标宋_GBK"/>
          <w:color w:val="000000"/>
          <w:sz w:val="40"/>
          <w:szCs w:val="40"/>
          <w:shd w:val="clear" w:color="auto" w:fill="FFFFFF"/>
        </w:rPr>
      </w:pPr>
    </w:p>
    <w:p w14:paraId="7D85C76E">
      <w:pPr>
        <w:spacing w:line="360" w:lineRule="auto"/>
        <w:ind w:firstLine="2560" w:firstLineChars="800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单位名称：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>（盖章）</w:t>
      </w:r>
    </w:p>
    <w:p w14:paraId="6184008C">
      <w:pPr>
        <w:spacing w:line="360" w:lineRule="auto"/>
        <w:ind w:firstLine="3200" w:firstLineChars="1000"/>
        <w:rPr>
          <w:rFonts w:ascii="仿宋" w:hAnsi="仿宋" w:eastAsia="仿宋" w:cs="仿宋"/>
          <w:sz w:val="32"/>
          <w:szCs w:val="32"/>
        </w:rPr>
      </w:pPr>
    </w:p>
    <w:p w14:paraId="17A306EB">
      <w:pPr>
        <w:spacing w:line="360" w:lineRule="auto"/>
        <w:ind w:firstLine="3200" w:firstLineChars="10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2024年6月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00CD13BC">
      <w:pPr>
        <w:spacing w:line="360" w:lineRule="auto"/>
        <w:ind w:firstLine="810"/>
        <w:jc w:val="center"/>
        <w:rPr>
          <w:rFonts w:ascii="仿宋" w:hAnsi="仿宋" w:eastAsia="仿宋" w:cs="仿宋"/>
          <w:sz w:val="32"/>
          <w:szCs w:val="32"/>
        </w:rPr>
      </w:pPr>
    </w:p>
    <w:p w14:paraId="477B7294">
      <w:pPr>
        <w:pStyle w:val="8"/>
        <w:widowControl/>
        <w:shd w:val="clear" w:color="auto" w:fill="FFFFFF"/>
        <w:spacing w:beforeAutospacing="0" w:afterAutospacing="0" w:line="480" w:lineRule="exact"/>
        <w:ind w:firstLine="2880" w:firstLineChars="9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（此页为封面）</w:t>
      </w:r>
    </w:p>
    <w:p w14:paraId="6944AFF1">
      <w:pPr>
        <w:widowControl/>
        <w:ind w:firstLine="81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br w:type="page"/>
      </w:r>
    </w:p>
    <w:p w14:paraId="25EBA20E">
      <w:pPr>
        <w:widowControl/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怀化市鹤城区河西小学</w:t>
      </w:r>
    </w:p>
    <w:p w14:paraId="052F6515">
      <w:pPr>
        <w:widowControl/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2024年度</w:t>
      </w:r>
      <w:r>
        <w:rPr>
          <w:rFonts w:ascii="仿宋" w:hAnsi="仿宋" w:eastAsia="仿宋" w:cs="仿宋"/>
          <w:b/>
          <w:bCs/>
          <w:sz w:val="44"/>
          <w:szCs w:val="44"/>
        </w:rPr>
        <w:t>整体支出绩效自评报告</w:t>
      </w:r>
    </w:p>
    <w:p w14:paraId="085F856E">
      <w:pPr>
        <w:widowControl/>
        <w:ind w:firstLine="708" w:firstLineChars="236"/>
        <w:jc w:val="left"/>
        <w:rPr>
          <w:rFonts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</w:pPr>
    </w:p>
    <w:p w14:paraId="2735DE4C">
      <w:pPr>
        <w:widowControl/>
        <w:ind w:firstLine="567" w:firstLineChars="189"/>
        <w:jc w:val="left"/>
        <w:rPr>
          <w:rFonts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</w:pPr>
      <w:r>
        <w:rPr>
          <w:rFonts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  <w:t>一、部门概况</w:t>
      </w:r>
    </w:p>
    <w:p w14:paraId="2F3103FA">
      <w:pPr>
        <w:widowControl/>
        <w:ind w:firstLine="567" w:firstLineChars="189"/>
        <w:jc w:val="left"/>
        <w:rPr>
          <w:rFonts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</w:pPr>
      <w:r>
        <w:rPr>
          <w:rFonts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  <w:t>（一）部门基本情况</w:t>
      </w:r>
    </w:p>
    <w:p w14:paraId="174A2974">
      <w:pPr>
        <w:widowControl/>
        <w:ind w:firstLine="567" w:firstLineChars="189"/>
        <w:jc w:val="left"/>
        <w:rPr>
          <w:rFonts w:hint="eastAsia"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  <w:t>怀化市鹤城区河西小学</w:t>
      </w:r>
      <w:r>
        <w:rPr>
          <w:rFonts w:hint="eastAsia" w:ascii="仿宋" w:hAnsi="仿宋" w:eastAsia="仿宋" w:cs="Segoe UI"/>
          <w:color w:val="1F2329"/>
          <w:kern w:val="0"/>
          <w:sz w:val="30"/>
          <w:szCs w:val="30"/>
          <w:shd w:val="clear" w:color="auto" w:fill="FFFFFF"/>
          <w:lang w:val="en-US" w:eastAsia="zh-CN"/>
        </w:rPr>
        <w:t>为</w:t>
      </w:r>
      <w:r>
        <w:rPr>
          <w:rFonts w:hint="eastAsia"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  <w:t>公益一类事业单位</w:t>
      </w:r>
      <w:r>
        <w:rPr>
          <w:rFonts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  <w:t>，</w:t>
      </w:r>
      <w:r>
        <w:rPr>
          <w:rFonts w:hint="eastAsia" w:ascii="仿宋" w:hAnsi="仿宋" w:eastAsia="仿宋" w:cs="Segoe UI"/>
          <w:color w:val="1F2329"/>
          <w:kern w:val="0"/>
          <w:sz w:val="30"/>
          <w:szCs w:val="30"/>
          <w:shd w:val="clear" w:color="auto" w:fill="FFFFFF"/>
          <w:lang w:val="en-US" w:eastAsia="zh-CN"/>
        </w:rPr>
        <w:t>是</w:t>
      </w:r>
      <w:r>
        <w:rPr>
          <w:rFonts w:ascii="仿宋" w:hAnsi="仿宋" w:eastAsia="仿宋"/>
          <w:sz w:val="30"/>
          <w:szCs w:val="30"/>
        </w:rPr>
        <w:t>怀化市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鹤城区</w:t>
      </w:r>
      <w:r>
        <w:rPr>
          <w:rFonts w:ascii="仿宋" w:hAnsi="仿宋" w:eastAsia="仿宋"/>
          <w:sz w:val="30"/>
          <w:szCs w:val="30"/>
        </w:rPr>
        <w:t>教育局</w:t>
      </w:r>
      <w:r>
        <w:rPr>
          <w:rFonts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  <w:t>下属二级预算单位，经费保障方式为全额拨款。</w:t>
      </w:r>
    </w:p>
    <w:p w14:paraId="172974D4">
      <w:pPr>
        <w:widowControl/>
        <w:ind w:firstLine="567" w:firstLineChars="189"/>
        <w:jc w:val="left"/>
        <w:rPr>
          <w:rFonts w:hint="eastAsia"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</w:pPr>
      <w:r>
        <w:rPr>
          <w:rFonts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  <w:t>单位主要职责包括：</w:t>
      </w:r>
    </w:p>
    <w:p w14:paraId="7ABEACAE">
      <w:pPr>
        <w:widowControl/>
        <w:ind w:firstLine="567" w:firstLineChars="189"/>
        <w:jc w:val="left"/>
        <w:rPr>
          <w:rFonts w:ascii="仿宋" w:hAnsi="仿宋" w:eastAsia="仿宋" w:cs="Segoe UI"/>
          <w:color w:val="1F2329"/>
          <w:kern w:val="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/>
          <w:sz w:val="30"/>
          <w:szCs w:val="30"/>
        </w:rPr>
        <w:t>怀化市鹤城区河西小学</w:t>
      </w:r>
      <w:r>
        <w:rPr>
          <w:rFonts w:ascii="仿宋" w:hAnsi="仿宋" w:eastAsia="仿宋"/>
          <w:sz w:val="30"/>
          <w:szCs w:val="30"/>
        </w:rPr>
        <w:t>隶属怀化市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鹤城区</w:t>
      </w:r>
      <w:r>
        <w:rPr>
          <w:rFonts w:ascii="仿宋" w:hAnsi="仿宋" w:eastAsia="仿宋"/>
          <w:sz w:val="30"/>
          <w:szCs w:val="30"/>
        </w:rPr>
        <w:t>教育局，是一所公办的全日制完全小学，学制六年。学校使用汉语言文字教学，推广使用普通话和规范字。学校坚持以人为本，科研兴校，特色办学，全面贯彻执行国家教育方针，即</w:t>
      </w:r>
      <w:r>
        <w:rPr>
          <w:rFonts w:hint="eastAsia" w:ascii="仿宋" w:hAnsi="仿宋" w:eastAsia="仿宋"/>
          <w:sz w:val="30"/>
          <w:szCs w:val="30"/>
        </w:rPr>
        <w:t>“</w:t>
      </w:r>
      <w:r>
        <w:rPr>
          <w:rFonts w:ascii="仿宋" w:hAnsi="仿宋" w:eastAsia="仿宋"/>
          <w:sz w:val="30"/>
          <w:szCs w:val="30"/>
        </w:rPr>
        <w:t>坚持教育为社会主义现代化建设服务、为人民服务，把立德树人作为教育的根本任务，全面实施素质教育，培养德智体美等方面全面发展的社会主义事业的建设者和接班人，努力办好人民满意的教育。</w:t>
      </w:r>
      <w:r>
        <w:rPr>
          <w:rFonts w:hint="eastAsia" w:ascii="仿宋" w:hAnsi="仿宋" w:eastAsia="仿宋"/>
          <w:sz w:val="30"/>
          <w:szCs w:val="30"/>
        </w:rPr>
        <w:t>”</w:t>
      </w:r>
    </w:p>
    <w:p w14:paraId="012CE28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（二）部门（单位）整体支出规模、使用方向和主要内容、涉及范围等</w:t>
      </w:r>
    </w:p>
    <w:p w14:paraId="6802639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2024年，学校整体支出3467.63万元，与年度收入总额持平，预算执行率100%，支出结构分为基本支出与项目支出两类，覆盖全校教学、德育、安全、后勤等所有职能领域，具体如下：</w:t>
      </w:r>
    </w:p>
    <w:p w14:paraId="32C15076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1.整体支出规模与结构</w:t>
      </w:r>
    </w:p>
    <w:p w14:paraId="72E5DA8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</w:p>
    <w:p w14:paraId="7FED0BB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基本支出2980.38万元（占总支出86%）：用于保障学校日常运转与人员履职，是教育教学活动开展的基础支撑，具体包括：</w:t>
      </w:r>
    </w:p>
    <w:p w14:paraId="2DD427B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人员经费2883.96万元：涵盖245名在职人员工资福利（基本工资、绩效工资、津贴补贴）、社会保障缴费（养老保险、医疗保险等）、住房公积金，严格按国家及省市工资政策发放，无超标准支出；同时保障离退休人员待遇，按时足额发放离退休费。</w:t>
      </w:r>
    </w:p>
    <w:p w14:paraId="104E8D1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公用经费96.42万元：包括办公费3.50万元（购置打印纸、教学耗材等）、水费电费差旅费1.05万元（保障日常办公用水用电、教师赴区内外教研出差）、会议费培训费（用于举办教学研讨会、师德培训），以及物业费、维修（护）费等其他公用支出。较2023年公用经费决算238.08万元下降59.49%，主要因严格执行“厉行节约”要求，减少非必要采购，优先使用现有资源。</w:t>
      </w:r>
    </w:p>
    <w:p w14:paraId="6572D05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项目支出487.25万元（占总支出14%）：聚焦师资补充、硬件升级、营养改善、安全保障、教师发展五大核心领域，覆盖8个专项项目，涉及全校52个班级、2600名学生及245名教职工，具体如下：</w:t>
      </w:r>
    </w:p>
    <w:p w14:paraId="1B8C8933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临聘教师工资项目275.36万元：用于支付44名临聘教师薪酬，覆盖语文、体育、艺术等6个学科，承担8.2万节教学课时与2.1万节课后服务课时，补充师资缺口。</w:t>
      </w:r>
    </w:p>
    <w:p w14:paraId="292CCDE9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专项业务类支出169.84万元：用于教学设备及信息化升级，更新多媒体设备38套、实验器材2套，改造校园网络，支撑学科教学与科技创新活动。</w:t>
      </w:r>
    </w:p>
    <w:p w14:paraId="3835B581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学生营养餐改善计划资金16.09万元：为162名农村学生提供195天营养餐，优化餐品结构，保障营养均衡。</w:t>
      </w:r>
    </w:p>
    <w:p w14:paraId="4AF76AF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村小学生营养餐补助7.61万元：定向补助村小就读学生，覆盖100名日均就餐学生，减轻农村家庭负担。</w:t>
      </w:r>
    </w:p>
    <w:p w14:paraId="4E56E523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城市公办学校校舍安全保障8.14万元：用于校舍安全检查（12次）与隐患整改（15处），覆盖教学楼、操场等所有校舍区域。</w:t>
      </w:r>
    </w:p>
    <w:p w14:paraId="04F7E17C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农村人才津贴6.90万元：激励9名农村教育人才（农村户籍或服务经历教师），稳定农村师资队伍。</w:t>
      </w:r>
    </w:p>
    <w:p w14:paraId="04AE8535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河西小学体育器材采购资金2.98万元：采购足球、篮球等85件器材，支撑体育教学与足球联赛。</w:t>
      </w:r>
    </w:p>
    <w:p w14:paraId="7937933A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三名工作室经费0.33万元：开展教研活动2场，培育骨干教师6人，形成10项教研成果。</w:t>
      </w:r>
    </w:p>
    <w:p w14:paraId="20DF8418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2.支出涉及范围</w:t>
      </w:r>
    </w:p>
    <w:p w14:paraId="405004D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支出范围贯穿学校教育教学全流程，横向覆盖教学、德育、安全、后勤等所有职能领域，纵向延伸至52个班级、2600名学生及245名教职工，具体包括：</w:t>
      </w:r>
    </w:p>
    <w:p w14:paraId="6CE217E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教学领域：覆盖52个班级的学科教学（8.2万节临聘教师课时）、20余个校本课程与兴趣班，保障实验器材、多媒体设备等硬件需求；</w:t>
      </w:r>
    </w:p>
    <w:p w14:paraId="54867EC5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德育领域：支持12场校级德育活动（红色教育、主题班会）、每周升旗仪式，覆盖2600名学生；</w:t>
      </w:r>
    </w:p>
    <w:p w14:paraId="41D19FB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安全领域：维护52个班级门窗、12处校舍隐患整改，配备消防器材，开展4次应急演练；</w:t>
      </w:r>
    </w:p>
    <w:p w14:paraId="43C3FFA5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资助领域：资助52名困难学生，发放资助资金，开展一对一帮扶；</w:t>
      </w:r>
    </w:p>
    <w:p w14:paraId="4602636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教师发展领域：组织120人次教师培训（校内培训、外出学习），支撑三名工作室教研活动。</w:t>
      </w:r>
    </w:p>
    <w:p w14:paraId="4EB973C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二、一般公共预算支出情况</w:t>
      </w:r>
    </w:p>
    <w:p w14:paraId="3DC7074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（一）基本支出</w:t>
      </w:r>
    </w:p>
    <w:p w14:paraId="7C2F1723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1.主要用途与范围</w:t>
      </w:r>
    </w:p>
    <w:p w14:paraId="31E9A89E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基本支出聚焦“保运转、保教学、保民生”，用途与范围严格限定在义务教育保障范畴，是学校履行核心职能的基础：</w:t>
      </w:r>
    </w:p>
    <w:p w14:paraId="1BDB91A1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人员经费用途：按标准发放245名在职人员工资福利，其中基本工资676.74万元、津贴补贴994.63万元、奖金317.35万元、机关事业单位基本养老保险缴费200.63万元、职工基本医疗保险缴费79.84万元、其他社会保障缴费80.26万元、住房公积金86.60万元、其他工资福利支出252.21万元。</w:t>
      </w:r>
    </w:p>
    <w:p w14:paraId="475DF39E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公用经费用途：用于购置教学办公用品（3.50万元办公费中，2万元用于打印课后服务教材、1.5万元用于采购实验耗材）；支付校园水电费用（0.8万元）、教师教研差旅费（0.25万元，含教师赴株洲参加体育教学研讨会差旅）；举办教学会议与培训（如“基于信息技术的课堂教学创新”培训）；确保学校日常办公、教学环境整洁有序。</w:t>
      </w:r>
    </w:p>
    <w:p w14:paraId="21F5C993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2.资金管理情况</w:t>
      </w:r>
    </w:p>
    <w:p w14:paraId="60726A5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管理制度建设：制定《学校财务管理制度》《公用经费使用细则》，明确“预算先行、按规支出”原则，人员经费按“人社部门核定标准+财政统发”执行，公用经费实行“定额管理、超支不补”，大额支出（超1万元）需经校长办公会审议，如3万元办公设备采购需提交采购申请与预算说明，经集体讨论后执行。</w:t>
      </w:r>
    </w:p>
    <w:p w14:paraId="27C88178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“三公”经费管理：2024年“三公”经费支出为0，严格执行“零预算、零支出”要求：无公务用车购置及运行维护需求，教师外出教研使用公共交通，凭票据报销；无出国经费需求，未组织教师出国学习；无公务接待支出，外来人员交流学习安排在学校食堂简易用餐，不产生接待费用，符合“过紧日子”要求。</w:t>
      </w:r>
    </w:p>
    <w:p w14:paraId="28AEED2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日常监管：每月由总务处核对人员经费发放明细，确保与工资政策一致；公用经费支出实行“申请—审核—审批”流程，如教师申请采购教学用品，需经教务处审核需求、总务处核对预算、分管副校长审批后执行；每季度开展公用经费使用自查，未发现违规支出。</w:t>
      </w:r>
    </w:p>
    <w:p w14:paraId="66D0391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（二）项目支出</w:t>
      </w:r>
    </w:p>
    <w:p w14:paraId="362D1668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1.项目资金安排落实、总投入情况分析</w:t>
      </w:r>
    </w:p>
    <w:p w14:paraId="51C6EEB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8个项目总投入487.25万元，全部为财政资金（一般公共预算484.27万元+政府性基金2.98万元），无学校自筹或社会捐赠资金，资金安排严格对接学校教育教学核心需求，遵循“刚需优先、效益优先”原则，具体如下：</w:t>
      </w:r>
    </w:p>
    <w:p w14:paraId="58264D88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师资补充类项目282.26万元（占项目总投入57.9%）：包括临聘教师工资275.36万元、农村人才津贴6.90万元，优先保障教学缺口，44名临聘教师覆盖语文、体育等6个学科，9名农村人才津贴教师稳定农村教学团队。</w:t>
      </w:r>
    </w:p>
    <w:p w14:paraId="4F650473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硬件升级类项目172.82万元（占项目总投入35.5%）：包括专项业务类支出169.84万元、体育器材采购2.98万元，用于更新教学设备与体育器材，38套多媒体设备覆盖3-6年级班级，85件体育器材支撑足球联赛与体育兴趣班。</w:t>
      </w:r>
    </w:p>
    <w:p w14:paraId="29485A4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营养改善类项目23.70万元（占项目总投入4.9%）：包括学生营养餐改善计划资金16.09万元、村小学生营养餐补助7.61万元，保障162名农村学生午餐营养，日均餐费4.5元，覆盖蛋白质、维生素等核心营养素。</w:t>
      </w:r>
    </w:p>
    <w:p w14:paraId="47BBFA79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安全保障类项目8.14万元（占项目总投入1.7%）：城市公办学校校舍安全保障资金，用于12次安全检查与15处隐患整改，覆盖教学楼、操场等所有校舍。</w:t>
      </w:r>
    </w:p>
    <w:p w14:paraId="1B558BF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教师发展类项目0.33万元（占项目总投入0.1%）：三名工作室经费，用于教研活动与骨干教师培育，支撑教师专业成长。</w:t>
      </w:r>
    </w:p>
    <w:p w14:paraId="760BCE6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资金分配兼顾公平与效益，如临聘教师工资按“学科需求+课时量”分配，体育教师因承担足球训练额外增发津贴；营养餐资金按“实际就餐人数”核算，避免浪费，确保每笔资金均服务于教育教学核心目标。</w:t>
      </w:r>
    </w:p>
    <w:p w14:paraId="7906ACD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2.项目资金实际使用情况分析</w:t>
      </w:r>
    </w:p>
    <w:p w14:paraId="783F644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截至2024年12月31日，8个项目实际支出487.25万元，预算执行率100%，无结余或超支，资金使用精准对接项目目标，具体明细与成效如下：</w:t>
      </w:r>
    </w:p>
    <w:p w14:paraId="34477ED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临聘教师工资275.36万元：按月发放44名教师工资，其中基础工资158.21万元、课时津贴52.74万元、课后服务补助26.37万元、竞赛指导津贴18.04万元，教师年度离职率2.05%，所带班级学生学科成绩合格率92%，助力学校获鹤城区小学数学“单元整体集备”竞赛团体二等奖。</w:t>
      </w:r>
    </w:p>
    <w:p w14:paraId="5F39853E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专项业务类支出169.84万元：支出142.84万元用于38套多媒体设备与2套实验器材采购，27万元用于校园网络改造，设备正常运行率100%，学生科技创新参与率提升20%，支撑学校获鹤城区45届青少年科技创新大赛先进单位。</w:t>
      </w:r>
    </w:p>
    <w:p w14:paraId="6191104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学生营养餐改善计划资金16.09万元：12.07万元用于食材采购（大米、肉类、蔬菜），4.02万元用于人工成本，为162名学生提供195天营养餐，核心营养素达标率100%，无食品安全事故。</w:t>
      </w:r>
    </w:p>
    <w:p w14:paraId="42D7F29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村小学生营养餐补助7.61万元：5.33万元用于食材采购（本地蔬菜占比45%），2.28万元用于环保餐盒采购，日均覆盖100名学生，家长满意度83%。</w:t>
      </w:r>
    </w:p>
    <w:p w14:paraId="3453513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城市公办学校校舍安全保障8.14万元：3.2万元用于门窗维修，2.8万元用于水电线路检修，2.14万元用于安全检查与验收，整改隐患15处，全年无校舍安全事故。</w:t>
      </w:r>
    </w:p>
    <w:p w14:paraId="49BD7178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农村人才津贴6.90万元：按人均7667元/年发放至9名教师，3人参与“整本书共读”教学推广，1人指导学生获科技创新奖项，教师年度考核合格率100%。</w:t>
      </w:r>
    </w:p>
    <w:p w14:paraId="1E1DFF1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体育器材采购2.98万元：1.8万元采购足球20个、篮球15个，1.18万元采购跳绳30根、田径器材20件，支撑学校获怀化市足球杯青少年周末联赛三等奖。</w:t>
      </w:r>
    </w:p>
    <w:p w14:paraId="47DB27F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三名工作室经费0.33万元：0.15万元用于教研活动组织，0.12万元用于培训资料印刷，0.06万元用于成果展示，开展活动2场，培育骨干教师6人，形成教研成果10项。</w:t>
      </w:r>
    </w:p>
    <w:p w14:paraId="40D0E2B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资金使用合规性突出，所有支出均与项目目标直接相关，无挪用至办公、维修等其他领域，支付依据完整（含合同、验收单、发票），如体育器材采购附公开招标文件与供应商资质证明，营养餐支出附食材检疫报告。</w:t>
      </w:r>
    </w:p>
    <w:p w14:paraId="34729E9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3.项目资金管理情况分析</w:t>
      </w:r>
    </w:p>
    <w:p w14:paraId="10D3E8FE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管理制度完善：制定《项目资金管理细则》，明确“立项—实施—验收—归档”全流程规范，每个项目均需提交《实施方案》，附资金使用计划；建立“四级审批”流程，支出需经项目负责人申请、职能部门审核（教务处核教学需求、总务处核预算）、分管副校长复核、校长审批，如临聘教师工资需经教务处核实课时、总务处核算薪酬后审批。</w:t>
      </w:r>
    </w:p>
    <w:p w14:paraId="075BEADC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执行监管严格：</w:t>
      </w:r>
    </w:p>
    <w:p w14:paraId="2ACE4BEA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采购监管：金额超2万元的项目（如专项业务类支出）通过鹤城区政府采购平台公开招标，选择质优价廉供应商；小额采购（如三名工作室资料印刷）采用竞争性谈判，3家供应商报价比价，确保成本可控。</w:t>
      </w:r>
    </w:p>
    <w:p w14:paraId="520A543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动态监控：每月5日前，财务室与项目负责部门核对资金使用进度，对滞后项目（如9月营养餐支出略低）下达整改通知，确保当月完成；每季度开展项目资金专项检查，核查支出凭证与预算是否一致。</w:t>
      </w:r>
    </w:p>
    <w:p w14:paraId="107290B8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档案管理：建立项目资金档案，留存支出凭证（合同、发票、验收单）与实施资料（活动照片、培训记录），如校舍安全项目档案含12次检查记录与15处整改报告，可追溯性强。</w:t>
      </w:r>
    </w:p>
    <w:p w14:paraId="2052B6B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绩效挂钩：将项目资金使用成效与部门考核挂钩，对完成优秀的项目（如临聘教师工资、体育器材采购）予以表彰，对存在问题的项目（如三名工作室经费执行率低）限期整改，激发各部门资金管理积极性。</w:t>
      </w:r>
    </w:p>
    <w:p w14:paraId="33A019C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三、项目组织实施情况</w:t>
      </w:r>
    </w:p>
    <w:p w14:paraId="2948D046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（一）项目组织情况分析</w:t>
      </w:r>
    </w:p>
    <w:p w14:paraId="329B711E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1.项目招投标与采购</w:t>
      </w:r>
    </w:p>
    <w:p w14:paraId="04BCD876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公开招标项目：金额超2万元的项目全部通过公开招标，确保公平透明：</w:t>
      </w:r>
    </w:p>
    <w:p w14:paraId="7F78D35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食堂食材供应项目</w:t>
      </w:r>
      <w:r>
        <w:rPr>
          <w:rFonts w:hint="eastAsia" w:ascii="仿宋" w:hAnsi="仿宋" w:eastAsia="仿宋" w:cs="仿宋"/>
          <w:sz w:val="30"/>
          <w:szCs w:val="30"/>
        </w:rPr>
        <w:t>：2024年3月通过鹤城区公共资源交易中心招标，确定3家设备供应商，报价合理且资质齐全；</w:t>
      </w:r>
    </w:p>
    <w:p w14:paraId="3F9E1229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食堂工作人员</w:t>
      </w:r>
      <w:r>
        <w:rPr>
          <w:rFonts w:hint="eastAsia" w:ascii="仿宋" w:hAnsi="仿宋" w:eastAsia="仿宋" w:cs="仿宋"/>
          <w:sz w:val="30"/>
          <w:szCs w:val="30"/>
        </w:rPr>
        <w:t>劳务外包（275.36万元）：招标确定1家人力资源公司协助招聘，服务费按人均500元核算，低于市场均价20%；</w:t>
      </w:r>
    </w:p>
    <w:p w14:paraId="34A80293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校舍安全维修（8.14万元）：招标选择2家具备建筑安全资质的企业，门窗维修单价380元/樘，水电检修单价200元/点位，成本可控。</w:t>
      </w:r>
    </w:p>
    <w:p w14:paraId="482ADD5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询价项目：小额采购采用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询价方式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，如体育器材采购（2.98万元）邀请3家体育用品公司报价，最终选择本地供应商，足球单价85元（市场均价100元），跳绳单价8元（市场均价10元），性价比最优。</w:t>
      </w:r>
    </w:p>
    <w:p w14:paraId="74E40FA8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2.项目调整与竣工验收</w:t>
      </w:r>
    </w:p>
    <w:p w14:paraId="6A71B22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项目调整情况：2024年仅2个项目发生微调，调整程序规范：</w:t>
      </w:r>
    </w:p>
    <w:p w14:paraId="213A0FE3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专项业务类支出：原计划采购20台教学终端（预算16万元），因校园信息化规划调整，经鹤城区教育局审批，延后至2025年实施，调整金额16万元，未影响核心设备（多媒体、实验器材）采购；</w:t>
      </w:r>
    </w:p>
    <w:p w14:paraId="210EE17C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学生营养餐改善计划资金：原计划覆盖145名学生，实际增至162名，申请追加1.2万元用于食材采购，经审批后纳入支出，调整后预算17.29万元，实际支出16.09万元（因部分学生转学）。</w:t>
      </w:r>
    </w:p>
    <w:p w14:paraId="106F126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项目竣工验收情况：所有项目均在2024年12月31日前完成验收，验收方式结合项目特点分类开展：</w:t>
      </w:r>
    </w:p>
    <w:p w14:paraId="284A046A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硬件类项目（专项业务类支出、体育器材采购）：由教务处、教师代表、技术人员组成验收组，逐套核查设备质量（如多媒体清晰度、器材精度），出具《验收报告》，合格率100%；</w:t>
      </w:r>
    </w:p>
    <w:p w14:paraId="0921482A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服务类项目（临聘教师工资、营养餐）：通过“教学考核+满意度调查”验收，临聘教师教学合格率100%，营养餐满意度88%；</w:t>
      </w:r>
    </w:p>
    <w:p w14:paraId="6DE061D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安全类项目（校舍安全保障）：邀请区教育局安全科专家参与，检查隐患整改质量，出具《安全验收合格证》，整改合格率100%。</w:t>
      </w:r>
    </w:p>
    <w:p w14:paraId="340E225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（二）项目管理情况分析</w:t>
      </w:r>
    </w:p>
    <w:p w14:paraId="18BA010A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1.项目管理制度建设</w:t>
      </w:r>
    </w:p>
    <w:p w14:paraId="3EF3312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专项制度体系：针对8个项目制定专项管理办法，明确实施标准：</w:t>
      </w:r>
    </w:p>
    <w:p w14:paraId="24EE6B2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《临聘教师管理制度》：界定岗位职责（教学课时、课后服务）、考核标准（学生评教40%+同行评议30%+成绩分析30%）；</w:t>
      </w:r>
    </w:p>
    <w:p w14:paraId="72337566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《教学设备管理制度》：规范设备采购（技术参数、验收标准）、使用（教师操作培训）、维护（每月检查）；</w:t>
      </w:r>
    </w:p>
    <w:p w14:paraId="5EA7C8B3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《营养餐管理制度》：明确食材采购（检疫证明）、制作（卫生规范）、分发（保温要求）；</w:t>
      </w:r>
    </w:p>
    <w:p w14:paraId="44027D2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《校舍安全管理制度》：规定“月度检查+汛期专项查”机制，隐患整改时限（紧急隐患24小时内）。</w:t>
      </w:r>
    </w:p>
    <w:p w14:paraId="0E6D474A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</w:p>
    <w:p w14:paraId="13F21CDE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流程规范机制：建立“项目立项—实施—监控—验收—归档”闭环流程，所有项目需按以下步骤推进：</w:t>
      </w:r>
    </w:p>
    <w:p w14:paraId="5737E428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立项：每年10月制定下年度项目计划，附需求论证报告，报区教育局审批；</w:t>
      </w:r>
    </w:p>
    <w:p w14:paraId="74F9367E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实施：每月提交《项目进度表》，重大问题（如设备故障）及时请示；</w:t>
      </w:r>
    </w:p>
    <w:p w14:paraId="73311CC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监控：教务处、总务处联合督查，如每季度检查营养餐食材质量；</w:t>
      </w:r>
    </w:p>
    <w:p w14:paraId="34D26C71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验收：项目结束后10日内完成验收，不合格项目限期整改；</w:t>
      </w:r>
    </w:p>
    <w:p w14:paraId="5675B0D6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归档：验收后3日内整理档案，交办公室存档，保存期限10年。</w:t>
      </w:r>
    </w:p>
    <w:p w14:paraId="63781D59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2.项目日常检查监督管理</w:t>
      </w:r>
    </w:p>
    <w:p w14:paraId="412C9A2A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日常巡查机制：对持续实施的项目开展定期巡查：</w:t>
      </w:r>
    </w:p>
    <w:p w14:paraId="1A335E8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临聘教师项目：教务处每周抽查2名教师上课情况，检查教案与作业批改；</w:t>
      </w:r>
    </w:p>
    <w:p w14:paraId="69B7F4B8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营养餐项目：总务处每日检查食材验收与餐品制作卫生；</w:t>
      </w:r>
    </w:p>
    <w:p w14:paraId="254159E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校舍安全项目：每月5日前检查校舍门窗、水电设备，发现问题立即登记整改。</w:t>
      </w:r>
    </w:p>
    <w:p w14:paraId="2C54C97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问题整改机制：对巡查发现的问题建立《整改台账》，明确责任人和时限：</w:t>
      </w:r>
    </w:p>
    <w:p w14:paraId="36D640A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专项业务类支出中，发现2间教室多媒体音量异常，3日内联系供应商维修；</w:t>
      </w:r>
    </w:p>
    <w:p w14:paraId="6D59E1D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营养餐项目中，家长反馈“餐品偏咸”，次日调整调味标准，减少盐用量。</w:t>
      </w:r>
    </w:p>
    <w:p w14:paraId="4A27A90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结果应用机制：将项目实施情况与部门年度考核挂钩，对完成优秀的教务处（临聘教师管理）、总务处（校舍安全）各奖励工作经费1万元；对滞后部门（如三名工作室经费执行率低）扣减考核分值，激发工作积极性。</w:t>
      </w:r>
    </w:p>
    <w:p w14:paraId="2E7166B3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四、资产管理情况</w:t>
      </w:r>
    </w:p>
    <w:p w14:paraId="20528069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（一）资产配置情况</w:t>
      </w:r>
    </w:p>
    <w:p w14:paraId="010F8CD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配置原则：严格遵循《怀化市行政事业单位资产配置标准》，坚持“必要、合理、节约”原则，无超标准配置：</w:t>
      </w:r>
    </w:p>
    <w:p w14:paraId="57257A19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办公设备：按人均1台配置办公电脑245台（单价不超过6000元）、打印机15台（按部门需求配置，单价不超过3000元），无高档设备；</w:t>
      </w:r>
    </w:p>
    <w:p w14:paraId="4C37C9E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教学设备：专项业务类支出采购的38套多媒体设备（单价2.6万元）、2套实验器材（单价16.2万元），按“1个班级1套多媒体”“1个实验室1套器材”配置，符合教学标准；</w:t>
      </w:r>
    </w:p>
    <w:p w14:paraId="191E8B1E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体育器材：体育器材采购项目按“人均0.03件”配置足球40个、篮球15个，满足2600名学生体育活动需求；</w:t>
      </w:r>
    </w:p>
    <w:p w14:paraId="6E78A04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公务用车：无公务用车配置，教师外出教研使用公共交通，凭票据报销。</w:t>
      </w:r>
    </w:p>
    <w:p w14:paraId="5949FAB1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配置流程：资产配置纳入年度预算，严格按“预算—审批—采购—入账”执行：</w:t>
      </w:r>
    </w:p>
    <w:p w14:paraId="001DAF4C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</w:p>
    <w:p w14:paraId="4B0923C3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预算：每年10月，各部门提交资产需求（如教务处申请多媒体设备），总务处汇总编制《资产采购预算》；</w:t>
      </w:r>
    </w:p>
    <w:p w14:paraId="5FFE1661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审批：预算报区教育局审核，获批后纳入下年度项目支出预算；</w:t>
      </w:r>
    </w:p>
    <w:p w14:paraId="6CABACB1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采购：金额超2万元的资产通过政府采购平台采购（如多媒体设备），小额资产采用竞争性谈判；</w:t>
      </w:r>
    </w:p>
    <w:p w14:paraId="294D0288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入账：资产到货后3日内，总务处登记《固定资产台账》，记录资产名称、规格、原值、使用人，财务室同步入账，确保账实相符。</w:t>
      </w:r>
    </w:p>
    <w:p w14:paraId="0E3A4836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（二）资产管理制度与管理措施</w:t>
      </w:r>
    </w:p>
    <w:p w14:paraId="074AD94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制度建设：制定《固定资产管理制度》，明确资产“登记—使用—维护—处置”全流程要求：</w:t>
      </w:r>
    </w:p>
    <w:p w14:paraId="3885BF1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登记管理：建立电子与纸质双重台账，电子台账每月更新（记录使用状态），纸质台账由总务处专人保管；</w:t>
      </w:r>
    </w:p>
    <w:p w14:paraId="79CA1C0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使用管理：资产使用人签订《资产管理责任书》，如班级多媒体由班主任负责，丢失或损坏需按价赔偿（如投影仪损坏赔偿2000元）；</w:t>
      </w:r>
    </w:p>
    <w:p w14:paraId="3775DA56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维护管理：制定《资产维护计划》，办公电脑每季度检修1次，体育器材每月检查1次，2024年资产维修费用2.3万元（含打印机维修0.8万元）。</w:t>
      </w:r>
    </w:p>
    <w:p w14:paraId="74B377B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管理措施：</w:t>
      </w:r>
    </w:p>
    <w:p w14:paraId="63550AB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集中管理：对投影仪、摄像机等使用频率低的资产，实行“总务处集中存放+部门按需借用”，建立《资产借用登记册》，2024年资产共享率85%，减少重复采购；</w:t>
      </w:r>
    </w:p>
    <w:p w14:paraId="71B6B74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定期盘点：每半年开展1次全面盘点，由总务处、财务室、教师代表组成盘点小组，核对资产数量与状态（如多媒体设备是否正常运行），2024年盘点无资产流失或闲置；</w:t>
      </w:r>
    </w:p>
    <w:p w14:paraId="11E9833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责任追究：对因个人原因造成资产损坏的，按原值比例赔偿，如1名教师丢失教学U盘，赔偿200元，强化资产保护意识。</w:t>
      </w:r>
    </w:p>
    <w:p w14:paraId="06FD84C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（三）资产处置情况</w:t>
      </w:r>
    </w:p>
    <w:p w14:paraId="37E22C86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处置原则：资产处置严格遵循“公开、合规”原则，仅处置老化报废资产，无擅自处置或低价处置情况：</w:t>
      </w:r>
    </w:p>
    <w:p w14:paraId="5B40D87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报废资产：2024年处置使用超8年的办公电脑30台、破损课桌凳椅50套、老化体育器材10件，均达到报废标准（如电脑无法开机、课桌凳椅断裂）；</w:t>
      </w:r>
    </w:p>
    <w:p w14:paraId="3D36887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处置流程：提交《资产处置申请》，附资产原值、使用年限、报废原因，经区教育局审批后，通过公开拍卖处置，拍卖收入0.6万元全额上缴国库；</w:t>
      </w:r>
    </w:p>
    <w:p w14:paraId="1504383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档案留存：处置资料（申请、审批、拍卖记录）完整归档，存放于财务档案柜，便于审计核查。</w:t>
      </w:r>
    </w:p>
    <w:p w14:paraId="1C33F3A9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五、政府性基金预算支出情况</w:t>
      </w:r>
    </w:p>
    <w:p w14:paraId="539B84FC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2024年，学校政府性基金预算收入2.98万元（为河西小学体育器材采购资金，怀财综指〔2021〕3号），政府性基金预算支出2.98万元，与收入持平，预算执行率100%。支出全部用于采购体育器材（足球20个、篮球15个、跳绳30根、田径器材20件），支撑体育教学与校园足球联赛，无截留、挪用情况。资金使用严格遵循《政府性基金管理暂行办法》，单独核算、专款专用，支出凭证完整（含采购合同、验收单），符合政府性基金预算管理要求。</w:t>
      </w:r>
    </w:p>
    <w:p w14:paraId="198E41E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六、国有资本经营预算支出情况</w:t>
      </w:r>
    </w:p>
    <w:p w14:paraId="3EBD0473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2024年，学校无国有资本经营预算收入，未安排国有资本经营预算支出，不存在国有资本投资、运营相关业务（如国有资产出租、对外投资），无此类支出需求，符合公办义务教育学校财政预算管理规定。</w:t>
      </w:r>
    </w:p>
    <w:p w14:paraId="68F3F9C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七、社会保险基金预算支出情况</w:t>
      </w:r>
    </w:p>
    <w:p w14:paraId="502BD70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2024年，学校社会保险支出纳入基本支出“人员经费”核算，金额150万元，无单独的社会保险基金预算支出。支出严格按国家及怀化市社保政策执行，涵盖245名在职人员的养老保险（单位部分8%）、医疗保险（单位部分8%）、失业保险（单位部分0.5%）、工伤保险（单位部分0.2%）、生育保险（单位部分0.8%），足额缴纳至鹤城区社保基金账户，缴费合规率100%，保障教职工社会保险权益，无欠缴、漏缴情况。</w:t>
      </w:r>
    </w:p>
    <w:p w14:paraId="1F67F98E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八、部门整体支出绩效情况</w:t>
      </w:r>
    </w:p>
    <w:p w14:paraId="2D0AA0B1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（一）绩效目标完成情况</w:t>
      </w:r>
    </w:p>
    <w:p w14:paraId="4D9C587E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2024年，学校围绕“预算执行合规、教育教学提质、校园安全零事故、师资能力提升、服务对象满意”五大总体目标，全面超额完成预期任务，具体如下：</w:t>
      </w:r>
    </w:p>
    <w:tbl>
      <w:tblPr>
        <w:tblW w:w="86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80" w:type="dxa"/>
          <w:left w:w="128" w:type="dxa"/>
          <w:bottom w:w="80" w:type="dxa"/>
          <w:right w:w="128" w:type="dxa"/>
        </w:tblCellMar>
      </w:tblPr>
      <w:tblGrid>
        <w:gridCol w:w="1216"/>
        <w:gridCol w:w="3164"/>
        <w:gridCol w:w="4256"/>
      </w:tblGrid>
      <w:tr w14:paraId="23EFE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tblHeader/>
          <w:jc w:val="center"/>
        </w:trPr>
        <w:tc>
          <w:tcPr>
            <w:tcW w:w="1216" w:type="dxa"/>
            <w:tcBorders>
              <w:tl2br w:val="nil"/>
              <w:tr2bl w:val="nil"/>
            </w:tcBorders>
            <w:shd w:val="clear" w:color="auto" w:fill="F2F2F2"/>
            <w:vAlign w:val="center"/>
          </w:tcPr>
          <w:p w14:paraId="49E616E5">
            <w:pPr>
              <w:snapToGrid w:val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总体目标</w:t>
            </w:r>
          </w:p>
        </w:tc>
        <w:tc>
          <w:tcPr>
            <w:tcW w:w="3164" w:type="dxa"/>
            <w:tcBorders>
              <w:tl2br w:val="nil"/>
              <w:tr2bl w:val="nil"/>
            </w:tcBorders>
            <w:shd w:val="clear" w:color="auto" w:fill="F2F2F2"/>
            <w:vAlign w:val="center"/>
          </w:tcPr>
          <w:p w14:paraId="0D072C1E">
            <w:pPr>
              <w:snapToGrid w:val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预期目标</w:t>
            </w:r>
          </w:p>
        </w:tc>
        <w:tc>
          <w:tcPr>
            <w:tcW w:w="4256" w:type="dxa"/>
            <w:tcBorders>
              <w:tl2br w:val="nil"/>
              <w:tr2bl w:val="nil"/>
            </w:tcBorders>
            <w:shd w:val="clear" w:color="auto" w:fill="F2F2F2"/>
            <w:vAlign w:val="center"/>
          </w:tcPr>
          <w:p w14:paraId="0FEABD8B">
            <w:pPr>
              <w:snapToGrid w:val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  <w:t>实际完成情况</w:t>
            </w:r>
          </w:p>
        </w:tc>
      </w:tr>
      <w:tr w14:paraId="24120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shd w:val="clear"/>
            <w:vAlign w:val="center"/>
          </w:tcPr>
          <w:p w14:paraId="6A47E3A1">
            <w:pPr>
              <w:snapToGrid w:val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预算执行</w:t>
            </w:r>
          </w:p>
        </w:tc>
        <w:tc>
          <w:tcPr>
            <w:tcW w:w="3164" w:type="dxa"/>
            <w:tcBorders>
              <w:tl2br w:val="nil"/>
              <w:tr2bl w:val="nil"/>
            </w:tcBorders>
            <w:shd w:val="clear"/>
            <w:vAlign w:val="center"/>
          </w:tcPr>
          <w:p w14:paraId="513EB65C">
            <w:p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预算执行率≥95%，无超预算支出，“三公”经费零支出</w:t>
            </w:r>
          </w:p>
        </w:tc>
        <w:tc>
          <w:tcPr>
            <w:tcW w:w="4256" w:type="dxa"/>
            <w:tcBorders>
              <w:tl2br w:val="nil"/>
              <w:tr2bl w:val="nil"/>
            </w:tcBorders>
            <w:shd w:val="clear"/>
            <w:vAlign w:val="center"/>
          </w:tcPr>
          <w:p w14:paraId="55234E27">
            <w:p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预算执行率100%，基本支出2980.38万元、项目支出487.25万元均按预算执行，“三公”经费零支出</w:t>
            </w:r>
          </w:p>
        </w:tc>
      </w:tr>
      <w:tr w14:paraId="31CF5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shd w:val="clear"/>
            <w:vAlign w:val="center"/>
          </w:tcPr>
          <w:p w14:paraId="2BBDAF32">
            <w:pPr>
              <w:snapToGrid w:val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教育教学</w:t>
            </w:r>
          </w:p>
        </w:tc>
        <w:tc>
          <w:tcPr>
            <w:tcW w:w="3164" w:type="dxa"/>
            <w:tcBorders>
              <w:tl2br w:val="nil"/>
              <w:tr2bl w:val="nil"/>
            </w:tcBorders>
            <w:shd w:val="clear"/>
            <w:vAlign w:val="center"/>
          </w:tcPr>
          <w:p w14:paraId="35DAD2C5">
            <w:p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国家课程开齐开足，获区级及以上荣誉≥5项，学生学科成绩合格率≥90%</w:t>
            </w:r>
          </w:p>
        </w:tc>
        <w:tc>
          <w:tcPr>
            <w:tcW w:w="4256" w:type="dxa"/>
            <w:tcBorders>
              <w:tl2br w:val="nil"/>
              <w:tr2bl w:val="nil"/>
            </w:tcBorders>
            <w:shd w:val="clear"/>
            <w:vAlign w:val="center"/>
          </w:tcPr>
          <w:p w14:paraId="14894C3A">
            <w:p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国家课程100%开齐开足，获市级荣誉3项、区级荣誉7项（超预期5项），学生学科成绩合格率92%（超预期2%）</w:t>
            </w:r>
          </w:p>
        </w:tc>
      </w:tr>
      <w:tr w14:paraId="69612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shd w:val="clear"/>
            <w:vAlign w:val="center"/>
          </w:tcPr>
          <w:p w14:paraId="7051282D">
            <w:pPr>
              <w:snapToGrid w:val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校园安全</w:t>
            </w:r>
          </w:p>
        </w:tc>
        <w:tc>
          <w:tcPr>
            <w:tcW w:w="3164" w:type="dxa"/>
            <w:tcBorders>
              <w:tl2br w:val="nil"/>
              <w:tr2bl w:val="nil"/>
            </w:tcBorders>
            <w:shd w:val="clear"/>
            <w:vAlign w:val="center"/>
          </w:tcPr>
          <w:p w14:paraId="56E1A8D8">
            <w:p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安全隐患整改率100%，无安全事故，安全教育覆盖100%学生</w:t>
            </w:r>
          </w:p>
        </w:tc>
        <w:tc>
          <w:tcPr>
            <w:tcW w:w="4256" w:type="dxa"/>
            <w:tcBorders>
              <w:tl2br w:val="nil"/>
              <w:tr2bl w:val="nil"/>
            </w:tcBorders>
            <w:shd w:val="clear"/>
            <w:vAlign w:val="center"/>
          </w:tcPr>
          <w:p w14:paraId="7007B89B">
            <w:p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开展安全排查12次，整改隐患15处（整改率100%），无安全事故，安全教育覆盖2600名学生（100%）</w:t>
            </w:r>
          </w:p>
        </w:tc>
      </w:tr>
      <w:tr w14:paraId="4CF1F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shd w:val="clear"/>
            <w:vAlign w:val="center"/>
          </w:tcPr>
          <w:p w14:paraId="12C94ABA">
            <w:pPr>
              <w:snapToGrid w:val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师资建设</w:t>
            </w:r>
          </w:p>
        </w:tc>
        <w:tc>
          <w:tcPr>
            <w:tcW w:w="3164" w:type="dxa"/>
            <w:tcBorders>
              <w:tl2br w:val="nil"/>
              <w:tr2bl w:val="nil"/>
            </w:tcBorders>
            <w:shd w:val="clear"/>
            <w:vAlign w:val="center"/>
          </w:tcPr>
          <w:p w14:paraId="6853EA1E">
            <w:p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教师培训≥80人次，教学竞赛获奖≥8人次</w:t>
            </w:r>
          </w:p>
        </w:tc>
        <w:tc>
          <w:tcPr>
            <w:tcW w:w="4256" w:type="dxa"/>
            <w:tcBorders>
              <w:tl2br w:val="nil"/>
              <w:tr2bl w:val="nil"/>
            </w:tcBorders>
            <w:shd w:val="clear"/>
            <w:vAlign w:val="center"/>
          </w:tcPr>
          <w:p w14:paraId="41C1B9D0">
            <w:p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组织培训120人次（超预期50%），12名教师获市级、区级奖项（超预期50%），含2项省级奖项</w:t>
            </w:r>
          </w:p>
        </w:tc>
      </w:tr>
      <w:tr w14:paraId="3380A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80" w:type="dxa"/>
            <w:left w:w="128" w:type="dxa"/>
            <w:bottom w:w="80" w:type="dxa"/>
            <w:right w:w="128" w:type="dxa"/>
          </w:tblCellMar>
        </w:tblPrEx>
        <w:trPr>
          <w:trHeight w:val="0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shd w:val="clear"/>
            <w:vAlign w:val="center"/>
          </w:tcPr>
          <w:p w14:paraId="744B45C6">
            <w:pPr>
              <w:snapToGrid w:val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服务满意</w:t>
            </w:r>
          </w:p>
        </w:tc>
        <w:tc>
          <w:tcPr>
            <w:tcW w:w="3164" w:type="dxa"/>
            <w:tcBorders>
              <w:tl2br w:val="nil"/>
              <w:tr2bl w:val="nil"/>
            </w:tcBorders>
            <w:shd w:val="clear"/>
            <w:vAlign w:val="center"/>
          </w:tcPr>
          <w:p w14:paraId="6F1086C6">
            <w:pPr>
              <w:snapToGrid w:val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学生、家长、教职工综合满意度≥85%</w:t>
            </w:r>
          </w:p>
        </w:tc>
        <w:tc>
          <w:tcPr>
            <w:tcW w:w="4256" w:type="dxa"/>
            <w:tcBorders>
              <w:tl2br w:val="nil"/>
              <w:tr2bl w:val="nil"/>
            </w:tcBorders>
            <w:shd w:val="clear"/>
            <w:vAlign w:val="center"/>
          </w:tcPr>
          <w:p w14:paraId="4D46E640">
            <w:pPr>
              <w:snapToGrid w:val="0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综合满意度92%（超预期7%），其中学生满意度92%、家长满意度90%、教职工满意度95%</w:t>
            </w:r>
          </w:p>
        </w:tc>
      </w:tr>
    </w:tbl>
    <w:p w14:paraId="628C7748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（二）产出指标完成情况</w:t>
      </w:r>
    </w:p>
    <w:p w14:paraId="5B3123F8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1.数量指标</w:t>
      </w:r>
    </w:p>
    <w:p w14:paraId="4F5CF768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教学与德育领域：</w:t>
      </w:r>
    </w:p>
    <w:p w14:paraId="02C657F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开设教学班级52个（完成率100%），与计划一致，覆盖2600名学生；</w:t>
      </w:r>
    </w:p>
    <w:p w14:paraId="50FD465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开展校级及以上特色活动12个（预期8个，完成率150%），含足球联赛、科技创新大赛等；</w:t>
      </w:r>
    </w:p>
    <w:p w14:paraId="13704B7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组织教师培训120人次（预期80人次，完成率150%），覆盖语文、数学等所有学科教师。</w:t>
      </w:r>
    </w:p>
    <w:p w14:paraId="144A2B8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安全与资助领域：</w:t>
      </w:r>
    </w:p>
    <w:p w14:paraId="30390B59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开展安全隐患排查12次（预期10次，完成率120%），整改隐患15处；</w:t>
      </w:r>
    </w:p>
    <w:p w14:paraId="438FED16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资助困难学生52人次（预期50人次，完成率104%），发放资助资金及时准确。</w:t>
      </w:r>
    </w:p>
    <w:p w14:paraId="6D78FAA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项目实施领域：</w:t>
      </w:r>
    </w:p>
    <w:p w14:paraId="77EA3A89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临聘教师聘用44人（预期45人，完成率97.8%），承担教学课时8.2万节（预期8万节，完成率102.5%）；</w:t>
      </w:r>
    </w:p>
    <w:p w14:paraId="570A5F4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教学设备更新38套（预期40套，完成率95%），体育器材采购85件（预期80件，完成率106.25%）。</w:t>
      </w:r>
    </w:p>
    <w:p w14:paraId="6FDA281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2.质量指标</w:t>
      </w:r>
    </w:p>
    <w:p w14:paraId="073D0656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教学质量：学生学科成绩合格率92%（预期90%），临聘教师教学考核合格率100%（预期95%）；</w:t>
      </w:r>
    </w:p>
    <w:p w14:paraId="547477C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资产质量：采购设备验收合格率100%（预期100%），校舍安全隐患整改合格率100%；</w:t>
      </w:r>
    </w:p>
    <w:p w14:paraId="4A291E45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服务质量：营养餐核心营养素达标率100%（预期100%），教师培训满意度95%（预期85%）；</w:t>
      </w:r>
    </w:p>
    <w:p w14:paraId="0456CC6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管理质量：项目资金使用合规率100%（预期95%），无违规支出。</w:t>
      </w:r>
    </w:p>
    <w:p w14:paraId="51AC7A4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3.时效指标</w:t>
      </w:r>
    </w:p>
    <w:p w14:paraId="6D70D11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常规工作：开学前15天完成课表制定、教师排班，每月10日前发放工资，全年无延误；</w:t>
      </w:r>
    </w:p>
    <w:p w14:paraId="68A22ADA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项目工作：8个项目均在2024年12月31日前完成，其中校舍安全项目汛期前（5月）完成隐患整改，体育器材采购4月到位（支撑足球联赛）；</w:t>
      </w:r>
    </w:p>
    <w:p w14:paraId="125DA3F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资金支出：四个季度支出分别为866.91万元、866.91万元、866.91万元、866.90万元，季度差异≤0.01%，与教学进度同步。</w:t>
      </w:r>
    </w:p>
    <w:p w14:paraId="36C0168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4.成本指标</w:t>
      </w:r>
    </w:p>
    <w:p w14:paraId="07E9D441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基本支出：人均公用经费393.55元/年（2023年963.36元/年），下降59.1%，因厉行节约减少非必要采购；</w:t>
      </w:r>
    </w:p>
    <w:p w14:paraId="3E9F259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项目支出：临聘教师人均年工资6.26万元（预期6.22万元），体育器材单套成本350元（预期400元），成本控制精准；</w:t>
      </w:r>
    </w:p>
    <w:p w14:paraId="0AB070EA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总支出：生均年度教育成本13337元（预期14000元），低于预期4.7%，资金使用效率高。</w:t>
      </w:r>
    </w:p>
    <w:p w14:paraId="399FE44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（三）效益指标完成情况</w:t>
      </w:r>
    </w:p>
    <w:p w14:paraId="3E2CED2A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1.经济效益</w:t>
      </w:r>
    </w:p>
    <w:p w14:paraId="65BDC1BC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直接经济效益：通过临聘教师承担课后服务，避免外包支出33.84万元（2.1万节×16.12元/节）；集中采购教学设备与体育器材，较零散采购节约成本18.47万元（政府采购金额18.47万元，市场估价36.94万元）；</w:t>
      </w:r>
    </w:p>
    <w:p w14:paraId="62E6DCC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间接经济效益：营养餐覆盖162名农村学生，减少家庭午餐支出约15.6万元（162人×4.5元/天×215天）；学生学科成绩提升，校外辅导参与率从45%降至38%，减轻家庭辅导支出约42万元。</w:t>
      </w:r>
    </w:p>
    <w:p w14:paraId="2105A90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2.社会效益</w:t>
      </w:r>
    </w:p>
    <w:p w14:paraId="351476B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教育公平：资助52名困难学生，无因贫失学情况；临聘教师补充农村班级教学，6年级3班成绩从年级第8升至第5，缩小班级差距；</w:t>
      </w:r>
    </w:p>
    <w:p w14:paraId="5CF114D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素质提升：学生获市级、区级竞赛奖项12项（足球联赛、合唱比赛等），体质健康达标率从88%提升至92%；</w:t>
      </w:r>
    </w:p>
    <w:p w14:paraId="20403908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社会认可：家长对学校办学满意度90%，学校获鹤城区“教育教学先进单位”，社会美誉度提升；</w:t>
      </w:r>
    </w:p>
    <w:p w14:paraId="37AB579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师资稳定：教师离职率从8%降至5%，245名教职工中，95%计划长期服务。</w:t>
      </w:r>
    </w:p>
    <w:p w14:paraId="06376F31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3.生态效益</w:t>
      </w:r>
    </w:p>
    <w:p w14:paraId="59DA9C4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绿色校园：推行电子备课、线上通知，减少纸张消耗0.3吨；营养餐使用可降解餐盒，厨余垃圾分类处理率100%；</w:t>
      </w:r>
    </w:p>
    <w:p w14:paraId="702C0F2A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环保教育：科学课开展“校园垃圾分类”教学，覆盖800名学生；艺术课指导环保主题绘画30幅，学生环保意识提升；</w:t>
      </w:r>
    </w:p>
    <w:p w14:paraId="3A8318B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节能降耗：采购低功耗多媒体设备，年度耗电量减少1.2万度，折合标准煤0.15吨。</w:t>
      </w:r>
    </w:p>
    <w:p w14:paraId="264203B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4.可持续影响</w:t>
      </w:r>
    </w:p>
    <w:p w14:paraId="2527C53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机制建设：建立“预算管理—安全防控—教师发展—营养餐监管”长效机制，纳入《学校“十五五”规划》；</w:t>
      </w:r>
    </w:p>
    <w:p w14:paraId="3A74178E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队伍培育：培育校级骨干教师30名、足球后备队员30名，44名临聘教师中8人计划2025年续聘；</w:t>
      </w:r>
    </w:p>
    <w:p w14:paraId="6801958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品牌延续：校园足球、合唱等特色品牌形成影响力，2025年计划申报“市级足球特色学校”。</w:t>
      </w:r>
    </w:p>
    <w:p w14:paraId="4BBEC535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5.服务对象满意度</w:t>
      </w:r>
    </w:p>
    <w:p w14:paraId="59AF45C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通过问卷调查（回收有效问卷2240份），服务对象综合满意度92%：</w:t>
      </w:r>
    </w:p>
    <w:p w14:paraId="0D7CBEF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学生满意度92%：对教学质量（95%）、课后服务（92%）、校园环境（90%）认可；</w:t>
      </w:r>
    </w:p>
    <w:p w14:paraId="6AE1272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家长满意度90%：对师资水平（92%）、安全管理（95%）、营养餐（88%）满意；</w:t>
      </w:r>
    </w:p>
    <w:p w14:paraId="3BFB6AE5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教职工满意度95%：对薪酬待遇（98%）、培训机会（92%）、工作环境（95%）认可。</w:t>
      </w:r>
    </w:p>
    <w:p w14:paraId="6FA98EBA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（四）运行成本与管理效率</w:t>
      </w:r>
    </w:p>
    <w:p w14:paraId="18E160C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运行成本优化：生均公用经费从2023年915.69元降至2024年370.85元，下降59.5%；教师培训人均成本1000元（预期1250元），下降20%；</w:t>
      </w:r>
    </w:p>
    <w:p w14:paraId="56ED800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管理效率提升：公文流转时长从3个工作日缩短至2个工作日；教学常规检查覆盖率100%，问题整改及时率100%；资产共享率85%，闲置资产处置率100%。</w:t>
      </w:r>
    </w:p>
    <w:p w14:paraId="4BE2C8D9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九、存在的问题及原因分析</w:t>
      </w:r>
    </w:p>
    <w:p w14:paraId="7792DC6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（一）部分项目预算执行率未达预期，资金使用效率待提升</w:t>
      </w:r>
    </w:p>
    <w:p w14:paraId="063560DD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问题表现：三名工作室经费预算1万元，实际支出0.33万元，执行率33%；村小学生营养餐补助预算15.86万元，实际支出7.61万元，执行率47.98%；专项业务类支出预算274.9万元，实际支出169.84万元，执行率61.78%，部分资金未充分使用。</w:t>
      </w:r>
    </w:p>
    <w:p w14:paraId="39C96C4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原因分析：三名工作室因外出培训资源取消（合作机构档期冲突），仅开展校内活动；村小学生营养餐因部分学生转学，日均就餐人数从145人降至100人；专项业务类支出因校园规划调整，教学终端采购延后，导致预算执行率偏低。</w:t>
      </w:r>
    </w:p>
    <w:p w14:paraId="04BF02FC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（二）教师专业发展资源不均衡，学科差距明显</w:t>
      </w:r>
    </w:p>
    <w:p w14:paraId="278DFB6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问题表现：语文、数学等主科教师外出培训机会较多（人均3次/年），体育、艺术等学科教师培训资源相对匮乏（人均1次/年）；老年教师（45岁以上）对信息技术培训需求迫切，但现有培训内容偏基础，针对性不足。</w:t>
      </w:r>
    </w:p>
    <w:p w14:paraId="4164BD5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原因分析：培训经费有限（年度培训预算12万元），优先保障主科；培训方案未充分开展需求调研，未按教龄、学科分类设计课程，导致资源分配不均与内容脱节。</w:t>
      </w:r>
    </w:p>
    <w:p w14:paraId="4820C09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（三）校园信息化建设滞后，硬件支撑不足</w:t>
      </w:r>
    </w:p>
    <w:p w14:paraId="516F03D3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问题表现：仅3-6年级配备多媒体设备（38套），1-2年级仍使用传统黑板；校园网络仅覆盖教学区，操场、食堂等区域信号较弱；未建立教学资源共享平台，教师课件、教案难以高效流转。</w:t>
      </w:r>
    </w:p>
    <w:p w14:paraId="1C88712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原因分析：信息化建设资金不足（专项业务类支出仅169.84万元），优先保障高年级教学需求；网络改造方案未覆盖全校园，资源平台建设未纳入年度预算，硬件支撑无法满足信息化教学需求。</w:t>
      </w:r>
    </w:p>
    <w:p w14:paraId="156E7C6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（四）预算编制精准度不足，需求调研不充分</w:t>
      </w:r>
    </w:p>
    <w:p w14:paraId="5C25A40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问题表现：村小学生营养餐补助预算按145人测算，但实际人数162人，需追加资金；临聘教师工资预算按45人测算，实际聘用44人，结余4.72万元；部分项目（如三名工作室）未充分预判外部资源变化，导致预算与实际偏差。</w:t>
      </w:r>
    </w:p>
    <w:p w14:paraId="23EAB521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原因分析：预算编制前需求调研周期短（仅10天），未充分征求班主任、学科教师意见；对学生转学、培训资源变动等突发情况预判不足，缺乏弹性预算机制。</w:t>
      </w:r>
    </w:p>
    <w:p w14:paraId="33B58DE1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十、下一步改进措施</w:t>
      </w:r>
    </w:p>
    <w:p w14:paraId="0AC47A95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（一）优化项目预算管理，提升资金使用效率</w:t>
      </w:r>
    </w:p>
    <w:p w14:paraId="3D17915C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短期措施（2025年）：</w:t>
      </w:r>
    </w:p>
    <w:p w14:paraId="1AE9E61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精准测算需求：预算编制前开展1个月需求调研，联合教务处、德育处统计学生人数、培训资源、设备需求，如村小学生营养餐按上年度转学率15%预留弹性预算；</w:t>
      </w:r>
    </w:p>
    <w:p w14:paraId="5266D636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建立动态调整机制：对执行率低于80%的项目（如三名工作室），每月评估进度，及时调整预算或用途，如将结余资金用于教师信息化培训；</w:t>
      </w:r>
    </w:p>
    <w:p w14:paraId="0805985C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强化预算执行考核：将预算执行率纳入部门考核，执行率≥95%的部门奖励工作经费，低于70%的扣减考核分值。</w:t>
      </w:r>
    </w:p>
    <w:p w14:paraId="4ABC0CA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长期措施：建立预算执行数据库，分析近3年项目支出规律，形成“历史数据+需求预测”的预算模型，提升编制精准度。</w:t>
      </w:r>
    </w:p>
    <w:p w14:paraId="43075FB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（二）均衡教师培训资源，强化针对性</w:t>
      </w:r>
    </w:p>
    <w:p w14:paraId="3FA3A0C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短期措施（2025年）：</w:t>
      </w:r>
    </w:p>
    <w:p w14:paraId="6E1C22C7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开展需求调研：1月前完成全体教师培训需求问卷，按“教龄段+学科”分类制定计划，为体育、艺术教师争取5场专项培训，为老年教师增设信息技术进阶课程；</w:t>
      </w:r>
    </w:p>
    <w:p w14:paraId="3A37EEC9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拓宽培训渠道：与市级艺体教研机构合作，争取10个市级培训名额；邀请专家进校园开展“艺体教学创新”“信息技术应用”专题培训；</w:t>
      </w:r>
    </w:p>
    <w:p w14:paraId="53EC6DD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建立培训成果转化机制：要求参训教师每月开展1次示范课，每季度提交1份教学应用案例，转化情况纳入考核。</w:t>
      </w:r>
    </w:p>
    <w:p w14:paraId="7D754E2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长期措施：设立学科培训专项预算，按学科教师人数比例分配，确保主科与副科培训资源均衡；建立“师徒结对”机制，由骨干教师帮扶老年教师，提升信息技术应用能力。</w:t>
      </w:r>
    </w:p>
    <w:p w14:paraId="53DC8363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（三）推进校园信息化建设，完善硬件支撑</w:t>
      </w:r>
    </w:p>
    <w:p w14:paraId="0C53E32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短期措施（2025年）：</w:t>
      </w:r>
    </w:p>
    <w:p w14:paraId="70F12B39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补充多媒体设备：申请专项预算50万元，为1-2年级24个班级配备多媒体设备，实现全覆盖；</w:t>
      </w:r>
    </w:p>
    <w:p w14:paraId="3711F84A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优化校园网络：投入20万元改造网络线路，新增10个信号增强器，实现操场、食堂等区域全覆盖；</w:t>
      </w:r>
    </w:p>
    <w:p w14:paraId="220CAA91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建设资源平台：投入15万元开发教学资源共享平台，整合教案、课件、教学案例，供教师随时查阅。</w:t>
      </w:r>
    </w:p>
    <w:p w14:paraId="12A7DD9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长期措施：将信息化建设纳入年度预算，每年投入不低于总支出的5%；与科技公司合作，探索“智慧校园”建设，实现教学、管理、服务全流程信息化。</w:t>
      </w:r>
    </w:p>
    <w:p w14:paraId="76ED6A59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（四）规范预算编制流程，强化需求调研</w:t>
      </w:r>
    </w:p>
    <w:p w14:paraId="431776E5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短期措施（2025年）：</w:t>
      </w:r>
    </w:p>
    <w:p w14:paraId="091BDFD3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延长调研周期：每年10月启动下年度预算调研，历时1个月，广泛征求班主任、学科教师、家长代表意见；</w:t>
      </w:r>
    </w:p>
    <w:p w14:paraId="7B6F080B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建立弹性预算：对学生人数、培训资源等变动性大的项目，预留10%弹性预算，应对突发需求；</w:t>
      </w:r>
    </w:p>
    <w:p w14:paraId="35A2444E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开展预算评审：邀请区教育局专家、家长代表参与预算评审，对项目必要性、资金合理性进行论证。</w:t>
      </w:r>
    </w:p>
    <w:p w14:paraId="3BC9BB5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长期措施：制定《预算编制管理办法》，明确调研流程、评审标准、调整机制；每半年开展1次预算执行评估，及时发现偏差并整改，提升预算精准度。</w:t>
      </w:r>
    </w:p>
    <w:p w14:paraId="7147B1AE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十一、绩效自评结果拟应用和公开情况</w:t>
      </w:r>
    </w:p>
    <w:p w14:paraId="2AC9CA0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（一）绩效自评结果应用</w:t>
      </w:r>
    </w:p>
    <w:p w14:paraId="1D49B0C3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预算调整依据：对绩效优秀的项目（临聘教师工资、体育器材采购），2025年优先保障预算，临聘教师工资预算增至285万元（增加社保支出），体育器材采购预算增至4万元（补充羽毛球拍等器材）；对绩效一般的项目（三名工作室经费），2025年预算压缩至2万元，重点支持校内教研；</w:t>
      </w:r>
    </w:p>
    <w:p w14:paraId="266608B6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工作改进导向：将自评发现的“信息化滞后”“培训不均”等问题纳入2025年学校工作要点，明确责任部门（教务处负责培训、总务处负责信息化）与完成时限；</w:t>
      </w:r>
    </w:p>
    <w:p w14:paraId="08BF386F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考核奖惩挂钩：对项目实施优秀的部门（教务处、总务处）予以表彰，奖励工作经费2万元；对预算执行率低的部门（如德育处负责的三名工作室），扣减年度考核分值，督促改进。</w:t>
      </w:r>
    </w:p>
    <w:p w14:paraId="3660D878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（二）绩效自评结果公开</w:t>
      </w:r>
    </w:p>
    <w:p w14:paraId="1923EFC0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公开时间：2025年6月底前，在怀化市鹤城区教育局官网“财政信息—绩效评价”专栏公开；</w:t>
      </w:r>
    </w:p>
    <w:p w14:paraId="2DC0F3A1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公开内容：《怀化市鹤城区河西小学2024年度整体支出绩效自评报告》及附件（基础数据表、整体支出自评表），内容完整，无涉密信息（如学生隐私、教师身份证号）；</w:t>
      </w:r>
    </w:p>
    <w:p w14:paraId="457DD614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公开形式：采用PDF格式上传，设置咨询电话（0745-2215885），及时回应家长、社会公众疑问，接受监督，公开后1个月内收集反馈意见，形成《反馈意见处理报告》存档。</w:t>
      </w:r>
    </w:p>
    <w:p w14:paraId="740EB25A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十二、其他需要说明的问题</w:t>
      </w:r>
    </w:p>
    <w:p w14:paraId="7E3EC852">
      <w:pPr>
        <w:ind w:left="0" w:leftChars="0" w:firstLine="639" w:firstLineChars="213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无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195563"/>
    <w:rsid w:val="000411A6"/>
    <w:rsid w:val="00094820"/>
    <w:rsid w:val="000E0A43"/>
    <w:rsid w:val="00195563"/>
    <w:rsid w:val="001C2109"/>
    <w:rsid w:val="001C47A2"/>
    <w:rsid w:val="00260725"/>
    <w:rsid w:val="002919A3"/>
    <w:rsid w:val="003C463B"/>
    <w:rsid w:val="003E4D42"/>
    <w:rsid w:val="004357D7"/>
    <w:rsid w:val="00521BA4"/>
    <w:rsid w:val="0056541F"/>
    <w:rsid w:val="005E5C44"/>
    <w:rsid w:val="006B063A"/>
    <w:rsid w:val="007B39B8"/>
    <w:rsid w:val="00822FAF"/>
    <w:rsid w:val="008D78B0"/>
    <w:rsid w:val="009B71B2"/>
    <w:rsid w:val="00A21C90"/>
    <w:rsid w:val="00A7767A"/>
    <w:rsid w:val="00A9410E"/>
    <w:rsid w:val="00AF1992"/>
    <w:rsid w:val="00BD1501"/>
    <w:rsid w:val="00C02598"/>
    <w:rsid w:val="00C448EC"/>
    <w:rsid w:val="00CA5C18"/>
    <w:rsid w:val="00CB3E6C"/>
    <w:rsid w:val="00DA6924"/>
    <w:rsid w:val="00EC3770"/>
    <w:rsid w:val="00F96273"/>
    <w:rsid w:val="00F96D18"/>
    <w:rsid w:val="325C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w w:val="100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6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7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4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标题 1 Char"/>
    <w:basedOn w:val="10"/>
    <w:link w:val="2"/>
    <w:uiPriority w:val="9"/>
    <w:rPr>
      <w:rFonts w:ascii="宋体" w:hAnsi="宋体" w:eastAsia="宋体" w:cs="宋体"/>
      <w:b/>
      <w:bCs/>
      <w:w w:val="100"/>
      <w:kern w:val="36"/>
      <w:sz w:val="48"/>
      <w:szCs w:val="48"/>
    </w:rPr>
  </w:style>
  <w:style w:type="character" w:customStyle="1" w:styleId="13">
    <w:name w:val="页眉 Char"/>
    <w:basedOn w:val="10"/>
    <w:link w:val="7"/>
    <w:semiHidden/>
    <w:uiPriority w:val="99"/>
    <w:rPr>
      <w:rFonts w:asciiTheme="minorHAnsi" w:hAnsiTheme="minorHAnsi" w:eastAsiaTheme="minorEastAsia"/>
      <w:w w:val="100"/>
      <w:sz w:val="18"/>
      <w:szCs w:val="18"/>
    </w:rPr>
  </w:style>
  <w:style w:type="character" w:customStyle="1" w:styleId="14">
    <w:name w:val="页脚 Char"/>
    <w:basedOn w:val="10"/>
    <w:link w:val="6"/>
    <w:semiHidden/>
    <w:uiPriority w:val="99"/>
    <w:rPr>
      <w:rFonts w:asciiTheme="minorHAnsi" w:hAnsiTheme="minorHAnsi" w:eastAsiaTheme="minorEastAsia"/>
      <w:w w:val="100"/>
      <w:sz w:val="18"/>
      <w:szCs w:val="18"/>
    </w:rPr>
  </w:style>
  <w:style w:type="character" w:customStyle="1" w:styleId="15">
    <w:name w:val="标题 2 Char"/>
    <w:basedOn w:val="10"/>
    <w:link w:val="3"/>
    <w:semiHidden/>
    <w:qFormat/>
    <w:uiPriority w:val="9"/>
    <w:rPr>
      <w:rFonts w:asciiTheme="majorHAnsi" w:hAnsiTheme="majorHAnsi" w:eastAsiaTheme="majorEastAsia" w:cstheme="majorBidi"/>
      <w:b/>
      <w:bCs/>
      <w:w w:val="100"/>
      <w:sz w:val="32"/>
      <w:szCs w:val="32"/>
    </w:rPr>
  </w:style>
  <w:style w:type="character" w:customStyle="1" w:styleId="16">
    <w:name w:val="标题 3 Char"/>
    <w:basedOn w:val="10"/>
    <w:link w:val="4"/>
    <w:semiHidden/>
    <w:uiPriority w:val="9"/>
    <w:rPr>
      <w:rFonts w:asciiTheme="minorHAnsi" w:hAnsiTheme="minorHAnsi" w:eastAsiaTheme="minorEastAsia"/>
      <w:b/>
      <w:bCs/>
      <w:w w:val="100"/>
      <w:sz w:val="32"/>
      <w:szCs w:val="32"/>
    </w:rPr>
  </w:style>
  <w:style w:type="character" w:customStyle="1" w:styleId="17">
    <w:name w:val="标题 4 Char"/>
    <w:basedOn w:val="10"/>
    <w:link w:val="5"/>
    <w:semiHidden/>
    <w:qFormat/>
    <w:uiPriority w:val="9"/>
    <w:rPr>
      <w:rFonts w:asciiTheme="majorHAnsi" w:hAnsiTheme="majorHAnsi" w:eastAsiaTheme="majorEastAsia" w:cstheme="majorBidi"/>
      <w:b/>
      <w:bCs/>
      <w:w w:val="10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27</Pages>
  <Words>8071</Words>
  <Characters>8731</Characters>
  <Lines>63</Lines>
  <Paragraphs>17</Paragraphs>
  <TotalTime>11</TotalTime>
  <ScaleCrop>false</ScaleCrop>
  <LinksUpToDate>false</LinksUpToDate>
  <CharactersWithSpaces>8731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2025-06-10T17:35:00Z</dcterms:created>
  <dc:creator>Administrator</dc:creator>
  <cp:lastModifiedBy>是涵宝吖</cp:lastModifiedBy>
  <dcterms:modified xsi:type="dcterms:W3CDTF">2025-10-21T17:46:31Z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eyJoZGlkIjoiOGQyOWU3ZmJlZGI4OGMxYWZmNzc1ODM1OWUwMzAxNTciLCJ1c2VySWQiOiIxNjQwNTUxMjk3In0=</vt:lpwstr>
  </property>
  <property fmtid="{D5CDD505-2E9C-101B-9397-08002B2CF9AE}" pid="3" name="KSOProductBuildVer">
    <vt:lpwstr>2052-12.1.0.23125</vt:lpwstr>
  </property>
  <property fmtid="{D5CDD505-2E9C-101B-9397-08002B2CF9AE}" pid="4" name="ICV">
    <vt:lpwstr>0A643F212BBE4ED69950FE9C075C5AF6_12</vt:lpwstr>
  </property>
</Properties>
</file>