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D66023">
      <w:pPr>
        <w:spacing w:before="306" w:line="218" w:lineRule="auto"/>
        <w:jc w:val="center"/>
        <w:rPr>
          <w:rFonts w:hint="eastAsia" w:ascii="宋体" w:hAnsi="宋体" w:eastAsia="宋体" w:cs="宋体"/>
          <w:b/>
          <w:bCs/>
          <w:spacing w:val="-7"/>
          <w:sz w:val="43"/>
          <w:szCs w:val="43"/>
          <w:lang w:val="en-US" w:eastAsia="zh-CN"/>
        </w:rPr>
      </w:pPr>
      <w:r>
        <w:rPr>
          <w:rFonts w:hint="eastAsia" w:ascii="宋体" w:hAnsi="宋体" w:eastAsia="宋体" w:cs="宋体"/>
          <w:b/>
          <w:bCs/>
          <w:spacing w:val="-7"/>
          <w:sz w:val="43"/>
          <w:szCs w:val="43"/>
          <w:lang w:val="en-US" w:eastAsia="zh-CN"/>
        </w:rPr>
        <w:t>怀化市鹤城区金融事务服务中心</w:t>
      </w:r>
    </w:p>
    <w:p w14:paraId="076D78DE">
      <w:pPr>
        <w:spacing w:before="306" w:line="218" w:lineRule="auto"/>
        <w:jc w:val="center"/>
        <w:rPr>
          <w:rFonts w:ascii="宋体" w:hAnsi="宋体" w:eastAsia="宋体" w:cs="宋体"/>
          <w:sz w:val="43"/>
          <w:szCs w:val="43"/>
        </w:rPr>
      </w:pPr>
      <w:r>
        <w:rPr>
          <w:rFonts w:ascii="宋体" w:hAnsi="宋体" w:eastAsia="宋体" w:cs="宋体"/>
          <w:b/>
          <w:bCs/>
          <w:spacing w:val="-7"/>
          <w:sz w:val="43"/>
          <w:szCs w:val="43"/>
        </w:rPr>
        <w:t>部门整体支出绩效自评报告</w:t>
      </w:r>
    </w:p>
    <w:p w14:paraId="0601F4BF">
      <w:pPr>
        <w:spacing w:line="253" w:lineRule="auto"/>
        <w:rPr>
          <w:rFonts w:ascii="Arial"/>
          <w:sz w:val="21"/>
        </w:rPr>
      </w:pPr>
    </w:p>
    <w:p w14:paraId="63A8D68F">
      <w:pPr>
        <w:spacing w:line="253" w:lineRule="auto"/>
        <w:rPr>
          <w:rFonts w:ascii="Arial"/>
          <w:sz w:val="21"/>
        </w:rPr>
      </w:pPr>
    </w:p>
    <w:p w14:paraId="1576480D">
      <w:pPr>
        <w:keepNext w:val="0"/>
        <w:keepLines w:val="0"/>
        <w:pageBreakBefore w:val="0"/>
        <w:wordWrap/>
        <w:overflowPunct/>
        <w:topLinePunct w:val="0"/>
        <w:bidi w:val="0"/>
        <w:spacing w:line="560" w:lineRule="exact"/>
        <w:ind w:left="420" w:leftChars="200" w:right="0" w:rightChars="0" w:firstLine="587" w:firstLineChars="200"/>
        <w:outlineLvl w:val="6"/>
        <w:rPr>
          <w:rFonts w:ascii="楷体" w:hAnsi="楷体" w:eastAsia="楷体" w:cs="楷体"/>
          <w:spacing w:val="-1"/>
          <w:sz w:val="32"/>
          <w:szCs w:val="32"/>
        </w:rPr>
      </w:pPr>
      <w:r>
        <w:rPr>
          <w:rFonts w:ascii="黑体" w:hAnsi="黑体" w:eastAsia="黑体" w:cs="黑体"/>
          <w:b/>
          <w:bCs/>
          <w:spacing w:val="-14"/>
          <w:sz w:val="32"/>
          <w:szCs w:val="32"/>
        </w:rPr>
        <w:t>一、部门、单位基本情况</w:t>
      </w:r>
    </w:p>
    <w:p w14:paraId="6C25657D">
      <w:pPr>
        <w:keepNext w:val="0"/>
        <w:keepLines w:val="0"/>
        <w:pageBreakBefore w:val="0"/>
        <w:wordWrap/>
        <w:overflowPunct/>
        <w:topLinePunct w:val="0"/>
        <w:bidi w:val="0"/>
        <w:spacing w:line="560" w:lineRule="exact"/>
        <w:ind w:left="420" w:leftChars="200" w:right="0" w:rightChars="0" w:firstLine="636" w:firstLineChars="200"/>
        <w:rPr>
          <w:rFonts w:ascii="楷体" w:hAnsi="楷体" w:eastAsia="楷体" w:cs="楷体"/>
          <w:spacing w:val="-1"/>
          <w:sz w:val="32"/>
          <w:szCs w:val="32"/>
        </w:rPr>
      </w:pPr>
      <w:r>
        <w:rPr>
          <w:rFonts w:ascii="楷体" w:hAnsi="楷体" w:eastAsia="楷体" w:cs="楷体"/>
          <w:spacing w:val="-1"/>
          <w:sz w:val="32"/>
          <w:szCs w:val="32"/>
        </w:rPr>
        <w:t>(一)机构设置情况</w:t>
      </w:r>
    </w:p>
    <w:p w14:paraId="54ACE9A9">
      <w:pPr>
        <w:keepNext w:val="0"/>
        <w:keepLines w:val="0"/>
        <w:pageBreakBefore w:val="0"/>
        <w:widowControl/>
        <w:shd w:val="clear" w:color="auto" w:fill="FFFFFF"/>
        <w:wordWrap/>
        <w:overflowPunct/>
        <w:topLinePunct w:val="0"/>
        <w:bidi w:val="0"/>
        <w:spacing w:line="560" w:lineRule="exact"/>
        <w:ind w:left="420" w:leftChars="200" w:right="0" w:rightChars="0"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怀化市鹤城区金融事务服务中心是怀化市鹤城区人民政府工作部门，正科级财政全额拨款事业单位。下设三个部门：综合部、金融服务部、市场发展部。</w:t>
      </w:r>
      <w:r>
        <w:rPr>
          <w:rFonts w:hint="eastAsia" w:ascii="仿宋_GB2312" w:hAnsi="仿宋_GB2312" w:eastAsia="仿宋_GB2312" w:cs="仿宋_GB2312"/>
          <w:sz w:val="32"/>
          <w:szCs w:val="32"/>
          <w:lang w:val="en-US" w:eastAsia="zh-CN"/>
        </w:rPr>
        <w:t>怀化市鹤城区金融事务服务中心为一般部门预算单位，无二级部门预算单位。</w:t>
      </w:r>
    </w:p>
    <w:p w14:paraId="73CFD1D2">
      <w:pPr>
        <w:keepNext w:val="0"/>
        <w:keepLines w:val="0"/>
        <w:pageBreakBefore w:val="0"/>
        <w:widowControl/>
        <w:numPr>
          <w:ilvl w:val="0"/>
          <w:numId w:val="0"/>
        </w:numPr>
        <w:shd w:val="clear" w:color="auto" w:fill="FFFFFF"/>
        <w:wordWrap/>
        <w:overflowPunct/>
        <w:topLinePunct w:val="0"/>
        <w:bidi w:val="0"/>
        <w:spacing w:line="560" w:lineRule="exact"/>
        <w:ind w:leftChars="400" w:right="0" w:rightChars="0"/>
        <w:rPr>
          <w:rFonts w:ascii="楷体" w:hAnsi="楷体" w:eastAsia="楷体" w:cs="楷体"/>
          <w:spacing w:val="-2"/>
          <w:sz w:val="32"/>
          <w:szCs w:val="32"/>
        </w:rPr>
      </w:pPr>
      <w:r>
        <w:rPr>
          <w:rFonts w:hint="eastAsia" w:ascii="楷体" w:hAnsi="楷体" w:eastAsia="楷体" w:cs="楷体"/>
          <w:spacing w:val="-2"/>
          <w:sz w:val="32"/>
          <w:szCs w:val="32"/>
          <w:lang w:eastAsia="zh-CN"/>
        </w:rPr>
        <w:t>（</w:t>
      </w:r>
      <w:r>
        <w:rPr>
          <w:rFonts w:hint="eastAsia" w:ascii="楷体" w:hAnsi="楷体" w:eastAsia="楷体" w:cs="楷体"/>
          <w:spacing w:val="-2"/>
          <w:sz w:val="32"/>
          <w:szCs w:val="32"/>
          <w:lang w:val="en-US" w:eastAsia="zh-CN"/>
        </w:rPr>
        <w:t>二</w:t>
      </w:r>
      <w:r>
        <w:rPr>
          <w:rFonts w:hint="eastAsia" w:ascii="楷体" w:hAnsi="楷体" w:eastAsia="楷体" w:cs="楷体"/>
          <w:spacing w:val="-2"/>
          <w:sz w:val="32"/>
          <w:szCs w:val="32"/>
          <w:lang w:eastAsia="zh-CN"/>
        </w:rPr>
        <w:t>）</w:t>
      </w:r>
      <w:r>
        <w:rPr>
          <w:rFonts w:ascii="楷体" w:hAnsi="楷体" w:eastAsia="楷体" w:cs="楷体"/>
          <w:spacing w:val="-2"/>
          <w:sz w:val="32"/>
          <w:szCs w:val="32"/>
        </w:rPr>
        <w:t>人员编制情况</w:t>
      </w:r>
    </w:p>
    <w:p w14:paraId="460C53F7">
      <w:pPr>
        <w:keepNext w:val="0"/>
        <w:keepLines w:val="0"/>
        <w:pageBreakBefore w:val="0"/>
        <w:widowControl/>
        <w:numPr>
          <w:ilvl w:val="0"/>
          <w:numId w:val="0"/>
        </w:numPr>
        <w:shd w:val="clear" w:color="auto" w:fill="FFFFFF"/>
        <w:kinsoku w:val="0"/>
        <w:wordWrap/>
        <w:overflowPunct/>
        <w:topLinePunct w:val="0"/>
        <w:autoSpaceDE w:val="0"/>
        <w:autoSpaceDN w:val="0"/>
        <w:bidi w:val="0"/>
        <w:adjustRightInd w:val="0"/>
        <w:snapToGrid w:val="0"/>
        <w:spacing w:line="560" w:lineRule="exact"/>
        <w:ind w:left="420" w:leftChars="200" w:right="0" w:rightChars="0" w:firstLine="632" w:firstLineChars="200"/>
        <w:textAlignment w:val="baseline"/>
        <w:rPr>
          <w:rFonts w:ascii="楷体" w:hAnsi="楷体" w:eastAsia="楷体" w:cs="楷体"/>
          <w:spacing w:val="-2"/>
          <w:sz w:val="32"/>
          <w:szCs w:val="32"/>
        </w:rPr>
      </w:pPr>
      <w:r>
        <w:rPr>
          <w:rFonts w:hint="eastAsia" w:ascii="仿宋_GB2312" w:hAnsi="仿宋_GB2312" w:eastAsia="仿宋_GB2312" w:cs="仿宋_GB2312"/>
          <w:spacing w:val="-2"/>
          <w:sz w:val="32"/>
          <w:szCs w:val="32"/>
          <w:lang w:val="en-US" w:eastAsia="zh-CN"/>
        </w:rPr>
        <w:t>全额拨款事业编制共计7人。</w:t>
      </w:r>
    </w:p>
    <w:p w14:paraId="5CD29F6C">
      <w:pPr>
        <w:keepNext w:val="0"/>
        <w:keepLines w:val="0"/>
        <w:pageBreakBefore w:val="0"/>
        <w:numPr>
          <w:ilvl w:val="0"/>
          <w:numId w:val="0"/>
        </w:numPr>
        <w:wordWrap/>
        <w:overflowPunct/>
        <w:topLinePunct w:val="0"/>
        <w:bidi w:val="0"/>
        <w:spacing w:line="560" w:lineRule="exact"/>
        <w:ind w:leftChars="400" w:right="0" w:rightChars="0"/>
        <w:rPr>
          <w:rFonts w:ascii="楷体" w:hAnsi="楷体" w:eastAsia="楷体" w:cs="楷体"/>
          <w:spacing w:val="-1"/>
          <w:sz w:val="32"/>
          <w:szCs w:val="32"/>
        </w:rPr>
      </w:pPr>
      <w:r>
        <w:rPr>
          <w:rFonts w:hint="eastAsia" w:ascii="楷体" w:hAnsi="楷体" w:eastAsia="楷体" w:cs="楷体"/>
          <w:spacing w:val="-1"/>
          <w:sz w:val="32"/>
          <w:szCs w:val="32"/>
          <w:lang w:eastAsia="zh-CN"/>
        </w:rPr>
        <w:t>（</w:t>
      </w:r>
      <w:r>
        <w:rPr>
          <w:rFonts w:hint="eastAsia" w:ascii="楷体" w:hAnsi="楷体" w:eastAsia="楷体" w:cs="楷体"/>
          <w:spacing w:val="-1"/>
          <w:sz w:val="32"/>
          <w:szCs w:val="32"/>
          <w:lang w:val="en-US" w:eastAsia="zh-CN"/>
        </w:rPr>
        <w:t>三</w:t>
      </w:r>
      <w:r>
        <w:rPr>
          <w:rFonts w:hint="eastAsia" w:ascii="楷体" w:hAnsi="楷体" w:eastAsia="楷体" w:cs="楷体"/>
          <w:spacing w:val="-1"/>
          <w:sz w:val="32"/>
          <w:szCs w:val="32"/>
          <w:lang w:eastAsia="zh-CN"/>
        </w:rPr>
        <w:t>）</w:t>
      </w:r>
      <w:r>
        <w:rPr>
          <w:rFonts w:ascii="楷体" w:hAnsi="楷体" w:eastAsia="楷体" w:cs="楷体"/>
          <w:spacing w:val="-1"/>
          <w:sz w:val="32"/>
          <w:szCs w:val="32"/>
        </w:rPr>
        <w:t>主要职能职责</w:t>
      </w:r>
    </w:p>
    <w:p w14:paraId="2E6C74E3">
      <w:pPr>
        <w:keepNext w:val="0"/>
        <w:keepLines w:val="0"/>
        <w:pageBreakBefore w:val="0"/>
        <w:widowControl/>
        <w:shd w:val="clear" w:color="auto" w:fill="FFFFFF"/>
        <w:wordWrap/>
        <w:overflowPunct/>
        <w:topLinePunct w:val="0"/>
        <w:bidi w:val="0"/>
        <w:spacing w:line="560" w:lineRule="exact"/>
        <w:ind w:left="420" w:leftChars="200" w:right="0" w:rightChars="0" w:firstLine="640" w:firstLineChars="200"/>
        <w:rPr>
          <w:rFonts w:ascii="楷体" w:hAnsi="楷体" w:eastAsia="楷体" w:cs="楷体"/>
          <w:spacing w:val="-1"/>
          <w:sz w:val="32"/>
          <w:szCs w:val="32"/>
        </w:rPr>
      </w:pPr>
      <w:r>
        <w:rPr>
          <w:rFonts w:hint="eastAsia" w:ascii="仿宋_GB2312" w:hAnsi="仿宋_GB2312" w:eastAsia="仿宋_GB2312" w:cs="仿宋_GB2312"/>
          <w:sz w:val="32"/>
          <w:szCs w:val="32"/>
          <w:lang w:val="en-US" w:eastAsia="zh-CN"/>
        </w:rPr>
        <w:t>1.研究分析国家金融政策、宏观金融形势和全区金融运行情况；拟订全区金融业发展规划和促进全区金融业发展的地方性政策措施，并组织实施。2.参与地方金融信用体系建设，会同有关部门推进金融安全区创建，改善金融生态环境。3.承担全区金融政策、金融知识的宣传、培训及金融人才队伍的建设工作。4.承担与区域内金融机构的联络、协调工作，组织开展政府与金融机构合作、金融机构与企业对接；协调引导金融机构服务全区经济建设发展大局。5.承担协调引进各类金融机构，协调推动企业上市、资产证券化、债券融资工作。6.承担区怀化市鹤城区人民政府办公室交办的其他工作。</w:t>
      </w:r>
    </w:p>
    <w:p w14:paraId="500901CA">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36" w:firstLineChars="200"/>
        <w:jc w:val="both"/>
        <w:rPr>
          <w:rFonts w:ascii="楷体" w:hAnsi="楷体" w:eastAsia="楷体" w:cs="楷体"/>
          <w:spacing w:val="-1"/>
          <w:sz w:val="32"/>
          <w:szCs w:val="32"/>
        </w:rPr>
      </w:pPr>
      <w:r>
        <w:rPr>
          <w:rFonts w:ascii="楷体" w:hAnsi="楷体" w:eastAsia="楷体" w:cs="楷体"/>
          <w:spacing w:val="-1"/>
          <w:sz w:val="32"/>
          <w:szCs w:val="32"/>
        </w:rPr>
        <w:t>绩效目标设定情况</w:t>
      </w:r>
      <w:bookmarkStart w:id="0" w:name="_GoBack"/>
      <w:bookmarkEnd w:id="0"/>
    </w:p>
    <w:p w14:paraId="1EE43C6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Autospacing="0" w:after="0" w:afterAutospacing="0" w:line="560" w:lineRule="exact"/>
        <w:ind w:left="420" w:leftChars="200" w:right="0" w:rightChars="0" w:firstLine="640" w:firstLineChars="200"/>
        <w:jc w:val="both"/>
        <w:textAlignment w:val="baseline"/>
        <w:rPr>
          <w:rFonts w:hint="default" w:ascii="仿宋_GB2312" w:hAnsi="Times New Roman" w:eastAsia="仿宋_GB2312" w:cs="仿宋_GB2312"/>
          <w:i w:val="0"/>
          <w:iCs w:val="0"/>
          <w:caps w:val="0"/>
          <w:snapToGrid w:val="0"/>
          <w:color w:val="000000"/>
          <w:spacing w:val="0"/>
          <w:kern w:val="0"/>
          <w:sz w:val="32"/>
          <w:szCs w:val="32"/>
          <w:shd w:val="clear" w:fill="FFFFFF"/>
          <w:lang w:val="en-US" w:eastAsia="zh-CN" w:bidi="ar"/>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（1）着力抓好融资对接。搭建银企对接平台。引导商业银行加大信贷投放。鼓励商业银行发展普惠金融。</w:t>
      </w:r>
    </w:p>
    <w:p w14:paraId="64BD0F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2</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）着力抓好企业上市。深入实施企业上市</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破零倍增</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计划。加大上市后备资源培育。组织开展上市培训，建立</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一对一</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协调机制。</w:t>
      </w:r>
    </w:p>
    <w:p w14:paraId="288531E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（3）着力抓好风险防控。支持化解政府债务风险，常态化开展金融领域扫黑除恶工作。</w:t>
      </w:r>
    </w:p>
    <w:p w14:paraId="024C1A1E">
      <w:pPr>
        <w:keepNext w:val="0"/>
        <w:keepLines w:val="0"/>
        <w:pageBreakBefore w:val="0"/>
        <w:wordWrap/>
        <w:overflowPunct/>
        <w:topLinePunct w:val="0"/>
        <w:bidi w:val="0"/>
        <w:spacing w:line="560" w:lineRule="exact"/>
        <w:ind w:left="420" w:leftChars="200" w:right="0" w:rightChars="0" w:firstLine="567" w:firstLineChars="200"/>
        <w:outlineLvl w:val="6"/>
        <w:rPr>
          <w:rFonts w:ascii="黑体" w:hAnsi="黑体" w:eastAsia="黑体" w:cs="黑体"/>
          <w:sz w:val="32"/>
          <w:szCs w:val="32"/>
        </w:rPr>
      </w:pPr>
      <w:r>
        <w:rPr>
          <w:rFonts w:ascii="黑体" w:hAnsi="黑体" w:eastAsia="黑体" w:cs="黑体"/>
          <w:b/>
          <w:bCs/>
          <w:spacing w:val="-19"/>
          <w:sz w:val="32"/>
          <w:szCs w:val="32"/>
        </w:rPr>
        <w:t>二、部门整体支出管理及使用情况</w:t>
      </w:r>
    </w:p>
    <w:p w14:paraId="2691FD8B">
      <w:pPr>
        <w:keepNext w:val="0"/>
        <w:keepLines w:val="0"/>
        <w:pageBreakBefore w:val="0"/>
        <w:wordWrap/>
        <w:overflowPunct/>
        <w:topLinePunct w:val="0"/>
        <w:bidi w:val="0"/>
        <w:spacing w:line="560" w:lineRule="exact"/>
        <w:ind w:left="420" w:leftChars="200" w:right="0" w:rightChars="0" w:firstLine="612" w:firstLineChars="200"/>
        <w:rPr>
          <w:rFonts w:ascii="楷体" w:hAnsi="楷体" w:eastAsia="楷体" w:cs="楷体"/>
          <w:spacing w:val="-7"/>
          <w:sz w:val="32"/>
          <w:szCs w:val="32"/>
        </w:rPr>
      </w:pPr>
      <w:r>
        <w:rPr>
          <w:rFonts w:ascii="楷体" w:hAnsi="楷体" w:eastAsia="楷体" w:cs="楷体"/>
          <w:spacing w:val="-7"/>
          <w:sz w:val="32"/>
          <w:szCs w:val="32"/>
        </w:rPr>
        <w:t>(一)预算执行、使用、管理总体情况。</w:t>
      </w:r>
    </w:p>
    <w:p w14:paraId="1394BEB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仿宋_GB2312" w:hAnsi="Times New Roman" w:eastAsia="仿宋_GB2312" w:cs="仿宋_GB2312"/>
          <w:i w:val="0"/>
          <w:iCs w:val="0"/>
          <w:caps w:val="0"/>
          <w:snapToGrid w:val="0"/>
          <w:color w:val="000000"/>
          <w:spacing w:val="0"/>
          <w:kern w:val="0"/>
          <w:sz w:val="32"/>
          <w:szCs w:val="32"/>
          <w:shd w:val="clear" w:fill="FFFFFF"/>
          <w:lang w:val="en-US" w:eastAsia="zh-CN" w:bidi="ar"/>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本单位预算收入全部为财政拨款收入，预算收入为99.32万元。实际支出由基本支出和项目支出构成，基本支出分为人员经费和公用经费，分别为65.48万元和18.90万元，项目支出为14.94万元。无结转结余情况。</w:t>
      </w:r>
    </w:p>
    <w:p w14:paraId="47AF33C5">
      <w:pPr>
        <w:keepNext w:val="0"/>
        <w:keepLines w:val="0"/>
        <w:pageBreakBefore w:val="0"/>
        <w:wordWrap/>
        <w:overflowPunct/>
        <w:topLinePunct w:val="0"/>
        <w:bidi w:val="0"/>
        <w:spacing w:line="560" w:lineRule="exact"/>
        <w:ind w:left="420" w:leftChars="200" w:right="0" w:rightChars="0" w:firstLine="636" w:firstLineChars="200"/>
        <w:rPr>
          <w:rFonts w:ascii="楷体" w:hAnsi="楷体" w:eastAsia="楷体" w:cs="楷体"/>
          <w:sz w:val="32"/>
          <w:szCs w:val="32"/>
        </w:rPr>
      </w:pPr>
      <w:r>
        <w:rPr>
          <w:rFonts w:ascii="楷体" w:hAnsi="楷体" w:eastAsia="楷体" w:cs="楷体"/>
          <w:spacing w:val="-1"/>
          <w:sz w:val="32"/>
          <w:szCs w:val="32"/>
        </w:rPr>
        <w:t>(二)部门预算执行情况</w:t>
      </w:r>
    </w:p>
    <w:p w14:paraId="07CD316D">
      <w:pPr>
        <w:keepNext w:val="0"/>
        <w:keepLines w:val="0"/>
        <w:pageBreakBefore w:val="0"/>
        <w:wordWrap/>
        <w:overflowPunct/>
        <w:topLinePunct w:val="0"/>
        <w:bidi w:val="0"/>
        <w:spacing w:line="560" w:lineRule="exact"/>
        <w:ind w:left="420" w:leftChars="200" w:right="0" w:rightChars="0" w:firstLine="612" w:firstLineChars="200"/>
        <w:rPr>
          <w:rFonts w:ascii="楷体" w:hAnsi="楷体" w:eastAsia="楷体" w:cs="楷体"/>
          <w:spacing w:val="-7"/>
          <w:sz w:val="32"/>
          <w:szCs w:val="32"/>
        </w:rPr>
      </w:pPr>
      <w:r>
        <w:rPr>
          <w:rFonts w:ascii="楷体" w:hAnsi="楷体" w:eastAsia="楷体" w:cs="楷体"/>
          <w:spacing w:val="-7"/>
          <w:sz w:val="32"/>
          <w:szCs w:val="32"/>
        </w:rPr>
        <w:t>1.基本支出情况</w:t>
      </w:r>
    </w:p>
    <w:p w14:paraId="715D08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ascii="仿宋_GB2312" w:hAnsi="Times New Roman" w:eastAsia="仿宋_GB2312" w:cs="仿宋_GB2312"/>
          <w:i w:val="0"/>
          <w:iCs w:val="0"/>
          <w:caps w:val="0"/>
          <w:snapToGrid w:val="0"/>
          <w:color w:val="000000"/>
          <w:spacing w:val="0"/>
          <w:kern w:val="0"/>
          <w:sz w:val="32"/>
          <w:szCs w:val="32"/>
          <w:shd w:val="clear" w:fill="FFFFFF"/>
          <w:lang w:val="en-US" w:eastAsia="zh-CN" w:bidi="ar"/>
        </w:rPr>
        <w:t>我</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单位</w:t>
      </w:r>
      <w:r>
        <w:rPr>
          <w:rFonts w:ascii="仿宋_GB2312" w:hAnsi="Times New Roman" w:eastAsia="仿宋_GB2312" w:cs="仿宋_GB2312"/>
          <w:i w:val="0"/>
          <w:iCs w:val="0"/>
          <w:caps w:val="0"/>
          <w:snapToGrid w:val="0"/>
          <w:color w:val="000000"/>
          <w:spacing w:val="0"/>
          <w:kern w:val="0"/>
          <w:sz w:val="32"/>
          <w:szCs w:val="32"/>
          <w:shd w:val="clear" w:fill="FFFFFF"/>
          <w:lang w:val="en-US" w:eastAsia="zh-CN" w:bidi="ar"/>
        </w:rPr>
        <w:t>基本支出主要用于保障</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单位</w:t>
      </w:r>
      <w:r>
        <w:rPr>
          <w:rFonts w:ascii="仿宋_GB2312" w:hAnsi="Times New Roman" w:eastAsia="仿宋_GB2312" w:cs="仿宋_GB2312"/>
          <w:i w:val="0"/>
          <w:iCs w:val="0"/>
          <w:caps w:val="0"/>
          <w:snapToGrid w:val="0"/>
          <w:color w:val="000000"/>
          <w:spacing w:val="0"/>
          <w:kern w:val="0"/>
          <w:sz w:val="32"/>
          <w:szCs w:val="32"/>
          <w:shd w:val="clear" w:fill="FFFFFF"/>
          <w:lang w:val="en-US" w:eastAsia="zh-CN" w:bidi="ar"/>
        </w:rPr>
        <w:t>正常运转、完成日常工作任务而发生的各项支出，包括用于基本工资、津贴补贴等人员经费以及办公费、印刷费、水电费、办公设备购置等日常公用经费。</w:t>
      </w:r>
    </w:p>
    <w:p w14:paraId="6364D91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pP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202</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3</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年我单位基本支出预算总金额为</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84.38</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万元，其中年初批复预算</w:t>
      </w:r>
      <w:r>
        <w:rPr>
          <w:rFonts w:hint="eastAsia" w:ascii="仿宋_GB2312" w:hAnsi="仿宋_GB2312" w:eastAsia="仿宋_GB2312" w:cs="仿宋_GB2312"/>
          <w:sz w:val="32"/>
          <w:szCs w:val="32"/>
          <w:lang w:val="en-US" w:eastAsia="zh-CN"/>
        </w:rPr>
        <w:t>36.53</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万元，</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202</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3</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年度我单位基本支出实际支出</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84.38万元</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，占支出总额</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99.32</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万元的85</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w:t>
      </w:r>
    </w:p>
    <w:p w14:paraId="349CAADB">
      <w:pPr>
        <w:keepNext w:val="0"/>
        <w:keepLines w:val="0"/>
        <w:pageBreakBefore w:val="0"/>
        <w:wordWrap/>
        <w:overflowPunct/>
        <w:topLinePunct w:val="0"/>
        <w:bidi w:val="0"/>
        <w:spacing w:line="560" w:lineRule="exact"/>
        <w:ind w:left="420" w:leftChars="200" w:right="0" w:rightChars="0" w:firstLine="612" w:firstLineChars="200"/>
        <w:rPr>
          <w:rFonts w:ascii="楷体" w:hAnsi="楷体" w:eastAsia="楷体" w:cs="楷体"/>
          <w:spacing w:val="-7"/>
          <w:sz w:val="32"/>
          <w:szCs w:val="32"/>
        </w:rPr>
      </w:pPr>
      <w:r>
        <w:rPr>
          <w:rFonts w:hint="eastAsia" w:ascii="楷体" w:hAnsi="楷体" w:eastAsia="楷体" w:cs="楷体"/>
          <w:spacing w:val="-7"/>
          <w:sz w:val="32"/>
          <w:szCs w:val="32"/>
          <w:lang w:val="en-US" w:eastAsia="zh-CN"/>
        </w:rPr>
        <w:t>2.</w:t>
      </w:r>
      <w:r>
        <w:rPr>
          <w:rFonts w:ascii="楷体" w:hAnsi="楷体" w:eastAsia="楷体" w:cs="楷体"/>
          <w:spacing w:val="-7"/>
          <w:sz w:val="32"/>
          <w:szCs w:val="32"/>
        </w:rPr>
        <w:t>项目支出情况</w:t>
      </w:r>
    </w:p>
    <w:p w14:paraId="6E2DA7F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ascii="仿宋_GB2312" w:hAnsi="Times New Roman" w:eastAsia="仿宋_GB2312" w:cs="仿宋_GB2312"/>
          <w:i w:val="0"/>
          <w:iCs w:val="0"/>
          <w:caps w:val="0"/>
          <w:snapToGrid w:val="0"/>
          <w:color w:val="000000"/>
          <w:spacing w:val="0"/>
          <w:kern w:val="0"/>
          <w:sz w:val="32"/>
          <w:szCs w:val="32"/>
          <w:shd w:val="clear" w:fill="FFFFFF"/>
          <w:lang w:val="en-US" w:eastAsia="zh-CN" w:bidi="ar"/>
        </w:rPr>
        <w:t>项目支出是在基本支出之外为完成其特定的行政工作任务而发生的支出，主要用于业务工作专项、运行维护专项等支出。</w:t>
      </w:r>
    </w:p>
    <w:p w14:paraId="61039BB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202</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3</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年年初预算批复的项目支出为</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1</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1.94</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万元，后续追加3万元，实际决算支出</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14.94万元</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元，占支出总额</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99.32</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万元的15</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无结转结余。</w:t>
      </w:r>
    </w:p>
    <w:p w14:paraId="27414C9C">
      <w:pPr>
        <w:keepNext w:val="0"/>
        <w:keepLines w:val="0"/>
        <w:pageBreakBefore w:val="0"/>
        <w:wordWrap/>
        <w:overflowPunct/>
        <w:topLinePunct w:val="0"/>
        <w:bidi w:val="0"/>
        <w:spacing w:line="560" w:lineRule="exact"/>
        <w:ind w:left="420" w:leftChars="200" w:right="0" w:rightChars="0" w:firstLine="632" w:firstLineChars="200"/>
        <w:rPr>
          <w:rFonts w:ascii="楷体" w:hAnsi="楷体" w:eastAsia="楷体" w:cs="楷体"/>
          <w:spacing w:val="-2"/>
          <w:sz w:val="32"/>
          <w:szCs w:val="32"/>
        </w:rPr>
      </w:pPr>
      <w:r>
        <w:rPr>
          <w:rFonts w:ascii="楷体" w:hAnsi="楷体" w:eastAsia="楷体" w:cs="楷体"/>
          <w:spacing w:val="-2"/>
          <w:sz w:val="32"/>
          <w:szCs w:val="32"/>
        </w:rPr>
        <w:t>(三)"三公"经费使用和管理情况</w:t>
      </w:r>
    </w:p>
    <w:p w14:paraId="4CF8AF18">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20" w:leftChars="200" w:right="0" w:rightChars="0" w:firstLine="640" w:firstLineChars="200"/>
        <w:textAlignment w:val="baseline"/>
        <w:rPr>
          <w:rFonts w:hint="default" w:ascii="仿宋_GB2312" w:hAnsi="Times New Roman" w:eastAsia="仿宋_GB2312" w:cs="仿宋_GB2312"/>
          <w:i w:val="0"/>
          <w:iCs w:val="0"/>
          <w:caps w:val="0"/>
          <w:snapToGrid w:val="0"/>
          <w:color w:val="000000"/>
          <w:spacing w:val="0"/>
          <w:kern w:val="0"/>
          <w:sz w:val="32"/>
          <w:szCs w:val="32"/>
          <w:shd w:val="clear" w:fill="FFFFFF"/>
          <w:lang w:val="en-US" w:eastAsia="zh-CN" w:bidi="ar"/>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无三公经费。</w:t>
      </w:r>
    </w:p>
    <w:p w14:paraId="1D7656E2">
      <w:pPr>
        <w:keepNext w:val="0"/>
        <w:keepLines w:val="0"/>
        <w:pageBreakBefore w:val="0"/>
        <w:wordWrap/>
        <w:overflowPunct/>
        <w:topLinePunct w:val="0"/>
        <w:bidi w:val="0"/>
        <w:spacing w:line="560" w:lineRule="exact"/>
        <w:ind w:left="420" w:leftChars="200" w:right="0" w:rightChars="0" w:firstLine="587" w:firstLineChars="200"/>
        <w:outlineLvl w:val="6"/>
        <w:rPr>
          <w:rFonts w:ascii="黑体" w:hAnsi="黑体" w:eastAsia="黑体" w:cs="黑体"/>
          <w:b/>
          <w:bCs/>
          <w:spacing w:val="-14"/>
          <w:sz w:val="32"/>
          <w:szCs w:val="32"/>
        </w:rPr>
      </w:pPr>
      <w:r>
        <w:rPr>
          <w:rFonts w:ascii="黑体" w:hAnsi="黑体" w:eastAsia="黑体" w:cs="黑体"/>
          <w:b/>
          <w:bCs/>
          <w:spacing w:val="-14"/>
          <w:sz w:val="32"/>
          <w:szCs w:val="32"/>
        </w:rPr>
        <w:t>三、政府性基金预算支出情况</w:t>
      </w:r>
    </w:p>
    <w:p w14:paraId="68ACE6C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仿宋_GB2312" w:hAnsi="Times New Roman" w:eastAsia="仿宋_GB2312" w:cs="仿宋_GB2312"/>
          <w:i w:val="0"/>
          <w:iCs w:val="0"/>
          <w:caps w:val="0"/>
          <w:snapToGrid w:val="0"/>
          <w:color w:val="000000"/>
          <w:spacing w:val="0"/>
          <w:kern w:val="0"/>
          <w:sz w:val="32"/>
          <w:szCs w:val="32"/>
          <w:shd w:val="clear" w:fill="FFFFFF"/>
          <w:lang w:val="en-US" w:eastAsia="zh-CN" w:bidi="ar"/>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无政府性基金预算支出。</w:t>
      </w:r>
    </w:p>
    <w:p w14:paraId="6A13FEA4">
      <w:pPr>
        <w:keepNext w:val="0"/>
        <w:keepLines w:val="0"/>
        <w:pageBreakBefore w:val="0"/>
        <w:numPr>
          <w:ilvl w:val="0"/>
          <w:numId w:val="2"/>
        </w:numPr>
        <w:wordWrap/>
        <w:overflowPunct/>
        <w:topLinePunct w:val="0"/>
        <w:bidi w:val="0"/>
        <w:spacing w:line="560" w:lineRule="exact"/>
        <w:ind w:left="420" w:leftChars="200" w:right="0" w:rightChars="0" w:firstLine="587" w:firstLineChars="200"/>
        <w:outlineLvl w:val="6"/>
        <w:rPr>
          <w:rFonts w:ascii="黑体" w:hAnsi="黑体" w:eastAsia="黑体" w:cs="黑体"/>
          <w:b/>
          <w:bCs/>
          <w:spacing w:val="-14"/>
          <w:sz w:val="32"/>
          <w:szCs w:val="32"/>
        </w:rPr>
      </w:pPr>
      <w:r>
        <w:rPr>
          <w:rFonts w:ascii="黑体" w:hAnsi="黑体" w:eastAsia="黑体" w:cs="黑体"/>
          <w:b/>
          <w:bCs/>
          <w:spacing w:val="-14"/>
          <w:sz w:val="32"/>
          <w:szCs w:val="32"/>
        </w:rPr>
        <w:t>国有资本经营预算支出情况</w:t>
      </w:r>
    </w:p>
    <w:p w14:paraId="17BA5D5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无国有资本经营预算支出。</w:t>
      </w:r>
    </w:p>
    <w:p w14:paraId="30D09F24">
      <w:pPr>
        <w:keepNext w:val="0"/>
        <w:keepLines w:val="0"/>
        <w:pageBreakBefore w:val="0"/>
        <w:numPr>
          <w:ilvl w:val="0"/>
          <w:numId w:val="2"/>
        </w:numPr>
        <w:wordWrap/>
        <w:overflowPunct/>
        <w:topLinePunct w:val="0"/>
        <w:bidi w:val="0"/>
        <w:spacing w:line="560" w:lineRule="exact"/>
        <w:ind w:left="420" w:leftChars="200" w:right="0" w:rightChars="0" w:firstLine="551" w:firstLineChars="200"/>
        <w:outlineLvl w:val="6"/>
        <w:rPr>
          <w:rFonts w:ascii="黑体" w:hAnsi="黑体" w:eastAsia="黑体" w:cs="黑体"/>
          <w:b/>
          <w:bCs/>
          <w:spacing w:val="-23"/>
          <w:sz w:val="32"/>
          <w:szCs w:val="32"/>
        </w:rPr>
      </w:pPr>
      <w:r>
        <w:rPr>
          <w:rFonts w:ascii="黑体" w:hAnsi="黑体" w:eastAsia="黑体" w:cs="黑体"/>
          <w:b/>
          <w:bCs/>
          <w:spacing w:val="-23"/>
          <w:sz w:val="32"/>
          <w:szCs w:val="32"/>
        </w:rPr>
        <w:t>社会保险基金预算支出情况</w:t>
      </w:r>
    </w:p>
    <w:p w14:paraId="61D49BF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无社会保险基金预算支出。</w:t>
      </w:r>
    </w:p>
    <w:p w14:paraId="214F48C6">
      <w:pPr>
        <w:keepNext w:val="0"/>
        <w:keepLines w:val="0"/>
        <w:pageBreakBefore w:val="0"/>
        <w:wordWrap/>
        <w:overflowPunct/>
        <w:topLinePunct w:val="0"/>
        <w:bidi w:val="0"/>
        <w:spacing w:line="560" w:lineRule="exact"/>
        <w:ind w:left="420" w:leftChars="200" w:right="0" w:rightChars="0" w:firstLine="583" w:firstLineChars="200"/>
        <w:outlineLvl w:val="6"/>
        <w:rPr>
          <w:rFonts w:ascii="黑体" w:hAnsi="黑体" w:eastAsia="黑体" w:cs="黑体"/>
          <w:sz w:val="32"/>
          <w:szCs w:val="32"/>
        </w:rPr>
      </w:pPr>
      <w:r>
        <w:rPr>
          <w:rFonts w:ascii="黑体" w:hAnsi="黑体" w:eastAsia="黑体" w:cs="黑体"/>
          <w:b/>
          <w:bCs/>
          <w:spacing w:val="-15"/>
          <w:sz w:val="32"/>
          <w:szCs w:val="32"/>
        </w:rPr>
        <w:t>六、部门整体支出绩效情况</w:t>
      </w:r>
    </w:p>
    <w:p w14:paraId="41193B09">
      <w:pPr>
        <w:pStyle w:val="3"/>
        <w:keepNext w:val="0"/>
        <w:keepLines w:val="0"/>
        <w:pageBreakBefore w:val="0"/>
        <w:wordWrap/>
        <w:overflowPunct/>
        <w:topLinePunct w:val="0"/>
        <w:bidi w:val="0"/>
        <w:spacing w:line="560" w:lineRule="exact"/>
        <w:ind w:left="420" w:leftChars="200" w:right="0" w:rightChars="0" w:firstLine="596" w:firstLineChars="200"/>
        <w:rPr>
          <w:spacing w:val="-11"/>
          <w:sz w:val="32"/>
          <w:szCs w:val="32"/>
        </w:rPr>
      </w:pPr>
      <w:r>
        <w:rPr>
          <w:rFonts w:ascii="楷体" w:hAnsi="楷体" w:eastAsia="楷体" w:cs="楷体"/>
          <w:spacing w:val="-11"/>
          <w:sz w:val="32"/>
          <w:szCs w:val="32"/>
        </w:rPr>
        <w:t>(一)综合评价结论。</w:t>
      </w:r>
      <w:r>
        <w:rPr>
          <w:spacing w:val="-11"/>
          <w:sz w:val="32"/>
          <w:szCs w:val="32"/>
        </w:rPr>
        <w:t>反映自评得分及评价等级。</w:t>
      </w:r>
    </w:p>
    <w:p w14:paraId="459F690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ascii="仿宋_GB2312" w:hAnsi="Times New Roman" w:eastAsia="仿宋_GB2312" w:cs="仿宋_GB2312"/>
          <w:i w:val="0"/>
          <w:iCs w:val="0"/>
          <w:caps w:val="0"/>
          <w:snapToGrid w:val="0"/>
          <w:color w:val="000000"/>
          <w:spacing w:val="0"/>
          <w:kern w:val="0"/>
          <w:sz w:val="32"/>
          <w:szCs w:val="32"/>
          <w:shd w:val="clear" w:fill="FFFFFF"/>
          <w:lang w:val="en-US" w:eastAsia="zh-CN" w:bidi="ar"/>
        </w:rPr>
        <w:t>我</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单位</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202</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3</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年度绩效自评得分</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100</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分，评价等级为优。评分具体情况如下：</w:t>
      </w:r>
    </w:p>
    <w:p w14:paraId="6CF6D69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1</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产出指标，该组指标共计</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60</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分，得分</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60</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分。其中：</w:t>
      </w:r>
    </w:p>
    <w:p w14:paraId="1E61B8B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1</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）数量指标，考核整体完成数量。专项工作完成率100%，该项指标共计</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15</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分，得分</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15</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w:t>
      </w:r>
    </w:p>
    <w:p w14:paraId="7E692B8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2</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）质量指标，考核整体工作质量。完成达标率100%，该项指标共计</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15</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分，得分</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15</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w:t>
      </w:r>
    </w:p>
    <w:p w14:paraId="65879F2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3</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）时效指标，考核整体时效性。2023年12月之前全部完成本单位绩效目标，该项指标共计</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1</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5</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分，得分</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15</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w:t>
      </w:r>
    </w:p>
    <w:p w14:paraId="66DBCF2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4</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）成本指标，成本控制在总成本范围内，该项指标共计</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15</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分，得分1</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5</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w:t>
      </w:r>
    </w:p>
    <w:p w14:paraId="745C0C6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Autospacing="0" w:after="0" w:afterAutospacing="0" w:line="560" w:lineRule="exact"/>
        <w:ind w:left="420" w:leftChars="200" w:right="0" w:rightChars="0" w:firstLine="640" w:firstLineChars="200"/>
        <w:jc w:val="both"/>
        <w:textAlignment w:val="baseline"/>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pP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2</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效益指标，共计</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30</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分，得分</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30</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包括：一是政银企合作更加紧密高效。二是创新金融服务更加优质贴心。三是信贷业务更加广泛便捷。四是融资工作更加有力有效。五是引导金融机构减费更加惠企利民。六是保险业市场运行更加平稳有序。七是严格兑现奖励资金。八</w:t>
      </w:r>
      <w:r>
        <w:rPr>
          <w:rFonts w:hint="eastAsia" w:ascii="仿宋_GB2312" w:hAnsi="Times New Roman" w:eastAsia="仿宋_GB2312" w:cs="仿宋_GB2312"/>
          <w:i w:val="0"/>
          <w:iCs w:val="0"/>
          <w:caps w:val="0"/>
          <w:snapToGrid w:val="0"/>
          <w:color w:val="000000"/>
          <w:spacing w:val="0"/>
          <w:kern w:val="0"/>
          <w:sz w:val="32"/>
          <w:szCs w:val="32"/>
          <w:shd w:val="clear" w:fill="FFFFFF"/>
          <w:lang w:val="zh-CN" w:eastAsia="zh-CN" w:bidi="ar"/>
        </w:rPr>
        <w:t>是</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精准指导企业申报。九</w:t>
      </w:r>
      <w:r>
        <w:rPr>
          <w:rFonts w:hint="eastAsia" w:ascii="仿宋_GB2312" w:hAnsi="Times New Roman" w:eastAsia="仿宋_GB2312" w:cs="仿宋_GB2312"/>
          <w:i w:val="0"/>
          <w:iCs w:val="0"/>
          <w:caps w:val="0"/>
          <w:snapToGrid w:val="0"/>
          <w:color w:val="000000"/>
          <w:spacing w:val="0"/>
          <w:kern w:val="0"/>
          <w:sz w:val="32"/>
          <w:szCs w:val="32"/>
          <w:shd w:val="clear" w:fill="FFFFFF"/>
          <w:lang w:val="zh-CN" w:eastAsia="zh-CN" w:bidi="ar"/>
        </w:rPr>
        <w:t>是优化</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上市辅导</w:t>
      </w:r>
      <w:r>
        <w:rPr>
          <w:rFonts w:hint="eastAsia" w:ascii="仿宋_GB2312" w:hAnsi="Times New Roman" w:eastAsia="仿宋_GB2312" w:cs="仿宋_GB2312"/>
          <w:i w:val="0"/>
          <w:iCs w:val="0"/>
          <w:caps w:val="0"/>
          <w:snapToGrid w:val="0"/>
          <w:color w:val="000000"/>
          <w:spacing w:val="0"/>
          <w:kern w:val="0"/>
          <w:sz w:val="32"/>
          <w:szCs w:val="32"/>
          <w:shd w:val="clear" w:fill="FFFFFF"/>
          <w:lang w:val="zh-CN" w:eastAsia="zh-CN" w:bidi="ar"/>
        </w:rPr>
        <w:t>服务。</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十是扶持挂牌企业发展。</w:t>
      </w:r>
    </w:p>
    <w:p w14:paraId="56A27D4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default" w:ascii="Times New Roman" w:hAnsi="Times New Roman" w:cs="Times New Roman"/>
          <w:i w:val="0"/>
          <w:iCs w:val="0"/>
          <w:caps w:val="0"/>
          <w:color w:val="2B2B2B"/>
          <w:spacing w:val="0"/>
          <w:sz w:val="32"/>
          <w:szCs w:val="32"/>
        </w:rPr>
      </w:pP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3</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满意度指标，该组指标共计</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10</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分，得分</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10</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分。</w:t>
      </w:r>
    </w:p>
    <w:p w14:paraId="2B7272B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Autospacing="0" w:after="0" w:afterAutospacing="0" w:line="560" w:lineRule="exact"/>
        <w:ind w:left="420" w:leftChars="200" w:right="0" w:rightChars="0" w:firstLine="640" w:firstLineChars="200"/>
        <w:jc w:val="both"/>
        <w:rPr>
          <w:rFonts w:hint="eastAsia" w:eastAsia="仿宋"/>
          <w:spacing w:val="-11"/>
          <w:sz w:val="32"/>
          <w:szCs w:val="32"/>
          <w:lang w:eastAsia="zh-CN"/>
        </w:rPr>
      </w:pP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本次满意度调查以电话回访形式进行，根据统计结果，综合满意度为</w:t>
      </w:r>
      <w:r>
        <w:rPr>
          <w:rFonts w:hint="eastAsia" w:ascii="Times New Roman" w:hAnsi="Times New Roman" w:cs="Times New Roman"/>
          <w:i w:val="0"/>
          <w:iCs w:val="0"/>
          <w:caps w:val="0"/>
          <w:snapToGrid w:val="0"/>
          <w:color w:val="000000"/>
          <w:spacing w:val="0"/>
          <w:kern w:val="0"/>
          <w:sz w:val="32"/>
          <w:szCs w:val="32"/>
          <w:shd w:val="clear" w:fill="FFFFFF"/>
          <w:lang w:val="en-US" w:eastAsia="zh-CN" w:bidi="ar"/>
        </w:rPr>
        <w:t>100</w:t>
      </w:r>
      <w:r>
        <w:rPr>
          <w:rFonts w:hint="default" w:ascii="Times New Roman" w:hAnsi="Times New Roman" w:eastAsia="Arial" w:cs="Times New Roman"/>
          <w:i w:val="0"/>
          <w:iCs w:val="0"/>
          <w:caps w:val="0"/>
          <w:snapToGrid w:val="0"/>
          <w:color w:val="000000"/>
          <w:spacing w:val="0"/>
          <w:kern w:val="0"/>
          <w:sz w:val="32"/>
          <w:szCs w:val="32"/>
          <w:shd w:val="clear" w:fill="FFFFFF"/>
          <w:lang w:val="en-US" w:eastAsia="zh-CN" w:bidi="ar"/>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w:t>
      </w:r>
    </w:p>
    <w:p w14:paraId="50021B2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Autospacing="0" w:after="0" w:afterAutospacing="0" w:line="560" w:lineRule="exact"/>
        <w:ind w:left="420" w:leftChars="200" w:right="0" w:rightChars="0" w:firstLine="660" w:firstLineChars="200"/>
        <w:jc w:val="both"/>
        <w:textAlignment w:val="baseline"/>
        <w:rPr>
          <w:rFonts w:hint="eastAsia"/>
          <w:lang w:val="en-US" w:eastAsia="zh-CN"/>
        </w:rPr>
      </w:pPr>
      <w:r>
        <w:rPr>
          <w:rFonts w:ascii="楷体" w:hAnsi="楷体" w:eastAsia="楷体" w:cs="楷体"/>
          <w:spacing w:val="5"/>
          <w:sz w:val="32"/>
          <w:szCs w:val="32"/>
        </w:rPr>
        <w:t>(二)评价指标分析(或综合评价情况</w:t>
      </w:r>
      <w:r>
        <w:rPr>
          <w:spacing w:val="5"/>
          <w:sz w:val="32"/>
          <w:szCs w:val="32"/>
        </w:rPr>
        <w:t>)。</w:t>
      </w:r>
      <w:r>
        <w:rPr>
          <w:rFonts w:hint="eastAsia" w:ascii="仿宋_GB2312" w:hAnsi="Times New Roman" w:eastAsia="仿宋_GB2312" w:cs="仿宋_GB2312"/>
          <w:i w:val="0"/>
          <w:iCs w:val="0"/>
          <w:caps w:val="0"/>
          <w:snapToGrid w:val="0"/>
          <w:color w:val="000000"/>
          <w:spacing w:val="0"/>
          <w:kern w:val="0"/>
          <w:sz w:val="32"/>
          <w:szCs w:val="32"/>
          <w:shd w:val="clear" w:fill="FFFFFF"/>
          <w:lang w:val="en-US" w:eastAsia="zh-CN" w:bidi="ar"/>
        </w:rPr>
        <w:t>围绕部门职责、行  业发展规划，以预算资金管理为主线，从整体绩效目标设定、预算配置、预算执行、预算管理、资产管理、职责履行、履职效益等方面综合分析。总结归纳本部门"四本预算"支出的绩效目标完成情况，实现产出和取得效益的情况。</w:t>
      </w:r>
    </w:p>
    <w:p w14:paraId="0C3FB3B9">
      <w:pPr>
        <w:keepNext w:val="0"/>
        <w:keepLines w:val="0"/>
        <w:pageBreakBefore w:val="0"/>
        <w:wordWrap/>
        <w:overflowPunct/>
        <w:topLinePunct w:val="0"/>
        <w:bidi w:val="0"/>
        <w:spacing w:line="560" w:lineRule="exact"/>
        <w:ind w:left="420" w:leftChars="200" w:right="0" w:rightChars="0" w:firstLine="640" w:firstLineChars="200"/>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eastAsia" w:ascii="黑体" w:hAnsi="黑体" w:eastAsia="黑体" w:cs="黑体"/>
          <w:b w:val="0"/>
          <w:bCs w:val="0"/>
          <w:sz w:val="32"/>
          <w:szCs w:val="32"/>
          <w:lang w:val="en-US" w:eastAsia="zh-CN"/>
        </w:rPr>
        <w:t>1.奋力当好服务实体经济发展的主力军。</w:t>
      </w:r>
      <w:r>
        <w:rPr>
          <w:rFonts w:hint="eastAsia" w:ascii="仿宋_GB2312" w:hAnsi="仿宋_GB2312" w:eastAsia="仿宋_GB2312" w:cs="仿宋_GB2312"/>
          <w:sz w:val="32"/>
          <w:szCs w:val="32"/>
          <w:lang w:val="en-US" w:eastAsia="zh-CN"/>
        </w:rPr>
        <w:t>聚焦打好打赢发展六仗，全面落实“稳经济20条”，高频对接省、市主管部门，深度联动辖区金融机构，切实以金融之力服务实体经济发展之需，竭力助推鹤城经济社会发展之进。</w:t>
      </w:r>
      <w:r>
        <w:rPr>
          <w:rFonts w:hint="eastAsia" w:ascii="楷体_GB2312" w:hAnsi="楷体_GB2312" w:eastAsia="楷体_GB2312" w:cs="楷体_GB2312"/>
          <w:b/>
          <w:bCs/>
          <w:sz w:val="32"/>
          <w:szCs w:val="32"/>
          <w:lang w:val="en-US" w:eastAsia="zh-CN"/>
        </w:rPr>
        <w:t>一是政银企合作更加紧密高效。</w:t>
      </w:r>
      <w:r>
        <w:rPr>
          <w:rFonts w:hint="eastAsia" w:ascii="仿宋_GB2312" w:hAnsi="仿宋_GB2312" w:eastAsia="仿宋_GB2312" w:cs="仿宋_GB2312"/>
          <w:sz w:val="32"/>
          <w:szCs w:val="32"/>
          <w:lang w:val="en-US" w:eastAsia="zh-CN"/>
        </w:rPr>
        <w:t>今年来，累计与辖区10家金融机构召开政银企战略合作对接会，</w:t>
      </w:r>
      <w:r>
        <w:rPr>
          <w:rFonts w:hint="eastAsia" w:ascii="仿宋_GB2312" w:hAnsi="仿宋_GB2312" w:eastAsia="仿宋_GB2312" w:cs="仿宋_GB2312"/>
          <w:sz w:val="32"/>
          <w:szCs w:val="32"/>
        </w:rPr>
        <w:t>及时向金融机构推送重点项目和企业融资需求，定期调度信贷投放和惠企政策落实。</w:t>
      </w:r>
      <w:r>
        <w:rPr>
          <w:rFonts w:hint="eastAsia" w:ascii="仿宋_GB2312" w:hAnsi="仿宋_GB2312" w:eastAsia="仿宋_GB2312" w:cs="仿宋_GB2312"/>
          <w:sz w:val="32"/>
          <w:szCs w:val="32"/>
          <w:lang w:val="en-US" w:eastAsia="zh-CN"/>
        </w:rPr>
        <w:t>全年</w:t>
      </w:r>
      <w:r>
        <w:rPr>
          <w:rFonts w:hint="eastAsia" w:ascii="仿宋_GB2312" w:hAnsi="仿宋_GB2312" w:eastAsia="仿宋_GB2312" w:cs="仿宋_GB2312"/>
          <w:sz w:val="32"/>
          <w:szCs w:val="32"/>
        </w:rPr>
        <w:t>房地产开发贷款余额31.75亿元，增长39.87%；涉农贷款余额155.44亿元，增长7.38%；制造业贷款余额23.4亿元，增长55.39%；绿色贷款余额69.01亿元，增长66.78%。</w:t>
      </w:r>
      <w:r>
        <w:rPr>
          <w:rFonts w:hint="eastAsia" w:ascii="楷体_GB2312" w:hAnsi="楷体_GB2312" w:eastAsia="楷体_GB2312" w:cs="楷体_GB2312"/>
          <w:b/>
          <w:bCs/>
          <w:sz w:val="32"/>
          <w:szCs w:val="32"/>
          <w:lang w:val="en-US" w:eastAsia="zh-CN"/>
        </w:rPr>
        <w:t>二是创新金融服务更加优质贴心。</w:t>
      </w:r>
      <w:r>
        <w:rPr>
          <w:rFonts w:hint="eastAsia" w:ascii="仿宋_GB2312" w:hAnsi="仿宋_GB2312" w:eastAsia="仿宋_GB2312" w:cs="仿宋_GB2312"/>
          <w:sz w:val="32"/>
          <w:szCs w:val="32"/>
          <w:lang w:val="en-US" w:eastAsia="zh-CN"/>
        </w:rPr>
        <w:t>积极组织属地企业参加“怀化市综合金融服务平台宣传推广活动”，有效搭建政银企三方全天候、常态化的线上对接渠道，有效解决了我区金融机构与市场主体之间信息不对称和市场主体融资难问题。同时，主导银行机构统一编制了《怀化市中小微企业信贷产品汇编》，逐企上门发放，认真宣传解读，确保了企业第一时间精准获悉融资信息。</w:t>
      </w:r>
      <w:r>
        <w:rPr>
          <w:rFonts w:hint="eastAsia" w:ascii="楷体_GB2312" w:hAnsi="楷体_GB2312" w:eastAsia="楷体_GB2312" w:cs="楷体_GB2312"/>
          <w:b/>
          <w:bCs/>
          <w:sz w:val="32"/>
          <w:szCs w:val="32"/>
          <w:lang w:val="en-US" w:eastAsia="zh-CN"/>
        </w:rPr>
        <w:t>三是信贷业务更加广泛便捷。</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rPr>
        <w:t>全区存款余</w:t>
      </w:r>
      <w:r>
        <w:rPr>
          <w:rFonts w:hint="eastAsia" w:ascii="仿宋_GB2312" w:hAnsi="仿宋_GB2312" w:eastAsia="仿宋_GB2312" w:cs="仿宋_GB2312"/>
          <w:sz w:val="32"/>
          <w:szCs w:val="32"/>
          <w:lang w:val="en-US" w:eastAsia="zh-CN"/>
        </w:rPr>
        <w:t>额1000.7</w:t>
      </w:r>
      <w:r>
        <w:rPr>
          <w:rFonts w:hint="eastAsia" w:ascii="仿宋_GB2312" w:hAnsi="仿宋_GB2312" w:eastAsia="仿宋_GB2312" w:cs="仿宋_GB2312"/>
          <w:sz w:val="32"/>
          <w:szCs w:val="32"/>
        </w:rPr>
        <w:t>亿元，增长</w:t>
      </w:r>
      <w:r>
        <w:rPr>
          <w:rFonts w:hint="eastAsia" w:ascii="仿宋_GB2312" w:hAnsi="仿宋_GB2312" w:eastAsia="仿宋_GB2312" w:cs="仿宋_GB2312"/>
          <w:sz w:val="32"/>
          <w:szCs w:val="32"/>
          <w:lang w:val="en-US" w:eastAsia="zh-CN"/>
        </w:rPr>
        <w:t>8.27</w:t>
      </w:r>
      <w:r>
        <w:rPr>
          <w:rFonts w:hint="eastAsia" w:ascii="仿宋_GB2312" w:hAnsi="仿宋_GB2312" w:eastAsia="仿宋_GB2312" w:cs="仿宋_GB2312"/>
          <w:sz w:val="32"/>
          <w:szCs w:val="32"/>
        </w:rPr>
        <w:t>%；贷款余额</w:t>
      </w:r>
      <w:r>
        <w:rPr>
          <w:rFonts w:hint="eastAsia" w:ascii="仿宋_GB2312" w:hAnsi="仿宋_GB2312" w:eastAsia="仿宋_GB2312" w:cs="仿宋_GB2312"/>
          <w:sz w:val="32"/>
          <w:szCs w:val="32"/>
          <w:lang w:eastAsia="zh-CN"/>
        </w:rPr>
        <w:t>842.85</w:t>
      </w:r>
      <w:r>
        <w:rPr>
          <w:rFonts w:hint="eastAsia" w:ascii="仿宋_GB2312" w:hAnsi="仿宋_GB2312" w:eastAsia="仿宋_GB2312" w:cs="仿宋_GB2312"/>
          <w:sz w:val="32"/>
          <w:szCs w:val="32"/>
        </w:rPr>
        <w:t>亿元，增长</w:t>
      </w:r>
      <w:r>
        <w:rPr>
          <w:rFonts w:hint="eastAsia" w:ascii="仿宋_GB2312" w:hAnsi="仿宋_GB2312" w:eastAsia="仿宋_GB2312" w:cs="仿宋_GB2312"/>
          <w:sz w:val="32"/>
          <w:szCs w:val="32"/>
          <w:lang w:val="en-US" w:eastAsia="zh-CN"/>
        </w:rPr>
        <w:t>11.99</w:t>
      </w:r>
      <w:r>
        <w:rPr>
          <w:rFonts w:hint="eastAsia" w:ascii="仿宋_GB2312" w:hAnsi="仿宋_GB2312" w:eastAsia="仿宋_GB2312" w:cs="仿宋_GB2312"/>
          <w:sz w:val="32"/>
          <w:szCs w:val="32"/>
        </w:rPr>
        <w:t>%；存贷比达</w:t>
      </w:r>
      <w:r>
        <w:rPr>
          <w:rFonts w:hint="eastAsia" w:ascii="仿宋_GB2312" w:hAnsi="仿宋_GB2312" w:eastAsia="仿宋_GB2312" w:cs="仿宋_GB2312"/>
          <w:sz w:val="32"/>
          <w:szCs w:val="32"/>
          <w:lang w:eastAsia="zh-CN"/>
        </w:rPr>
        <w:t>84.22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default" w:ascii="Times New Roman" w:hAnsi="Times New Roman" w:eastAsia="仿宋_GB2312" w:cs="Times New Roman"/>
          <w:sz w:val="32"/>
          <w:szCs w:val="32"/>
        </w:rPr>
        <w:t>累计通过“共享贷”“惠园贷”“财银贷”等业务为辖区企业放款5220万元。同时，积极协助推动政府性融资担保，湖南农担怀化分公司鹤城办事处在保额2101万元，共为27家涉农企业及个体户提供政策性担保业务。</w:t>
      </w:r>
      <w:r>
        <w:rPr>
          <w:rFonts w:hint="eastAsia" w:ascii="楷体_GB2312" w:hAnsi="楷体_GB2312" w:eastAsia="楷体_GB2312" w:cs="楷体_GB2312"/>
          <w:b/>
          <w:bCs/>
          <w:sz w:val="32"/>
          <w:szCs w:val="32"/>
          <w:lang w:val="en-US" w:eastAsia="zh-CN"/>
        </w:rPr>
        <w:t>四是融资工作更加有力有效。</w:t>
      </w:r>
      <w:r>
        <w:rPr>
          <w:rFonts w:hint="default" w:ascii="Times New Roman" w:hAnsi="Times New Roman" w:eastAsia="仿宋_GB2312" w:cs="Times New Roman"/>
          <w:sz w:val="32"/>
          <w:szCs w:val="32"/>
        </w:rPr>
        <w:t>成立区融资专班，锚定工作目标，定期召开会议协商推进，先后与中国银行、工商银行、交通银行等6家银行就融资项目深入沟通，目前已有</w:t>
      </w:r>
      <w:r>
        <w:rPr>
          <w:rFonts w:hint="default" w:ascii="Times New Roman" w:hAnsi="Times New Roman" w:eastAsia="仿宋_GB2312" w:cs="Times New Roman"/>
          <w:color w:val="auto"/>
          <w:sz w:val="32"/>
          <w:szCs w:val="32"/>
          <w:u w:val="none"/>
          <w:lang w:val="en-US" w:eastAsia="zh-CN"/>
        </w:rPr>
        <w:t>6</w:t>
      </w:r>
      <w:r>
        <w:rPr>
          <w:rFonts w:hint="default" w:ascii="Times New Roman" w:hAnsi="Times New Roman" w:eastAsia="仿宋_GB2312" w:cs="Times New Roman"/>
          <w:sz w:val="32"/>
          <w:szCs w:val="32"/>
        </w:rPr>
        <w:t>个项目获得银行信贷2.85亿元。</w:t>
      </w:r>
      <w:r>
        <w:rPr>
          <w:rFonts w:hint="eastAsia" w:ascii="楷体_GB2312" w:hAnsi="楷体_GB2312" w:eastAsia="楷体_GB2312" w:cs="楷体_GB2312"/>
          <w:b/>
          <w:bCs/>
          <w:sz w:val="32"/>
          <w:szCs w:val="32"/>
          <w:lang w:val="en-US" w:eastAsia="zh-CN"/>
        </w:rPr>
        <w:t>五是引导金融机构减费更加惠企利民。</w:t>
      </w:r>
      <w:r>
        <w:rPr>
          <w:rFonts w:hint="default" w:ascii="Times New Roman" w:hAnsi="Times New Roman" w:eastAsia="仿宋_GB2312" w:cs="Times New Roman"/>
          <w:sz w:val="32"/>
          <w:szCs w:val="32"/>
        </w:rPr>
        <w:t>充分发挥市场利率定价自律机制作用，牵头区属国有公司对接各银行机构，积极引导金融机构减费让利。截至目前，银行机构为区属国有公司累计减少利息支出1073万元。</w:t>
      </w:r>
      <w:r>
        <w:rPr>
          <w:rFonts w:hint="eastAsia" w:ascii="楷体_GB2312" w:hAnsi="楷体_GB2312" w:eastAsia="楷体_GB2312" w:cs="楷体_GB2312"/>
          <w:b/>
          <w:bCs/>
          <w:sz w:val="32"/>
          <w:szCs w:val="32"/>
          <w:lang w:val="en-US" w:eastAsia="zh-CN"/>
        </w:rPr>
        <w:t>六是保险业市场运行更加平稳有序。</w:t>
      </w:r>
      <w:r>
        <w:rPr>
          <w:rFonts w:hint="eastAsia" w:ascii="仿宋_GB2312" w:hAnsi="仿宋_GB2312" w:eastAsia="仿宋_GB2312" w:cs="仿宋_GB2312"/>
          <w:sz w:val="32"/>
          <w:szCs w:val="32"/>
        </w:rPr>
        <w:t>全年实现保费收入</w:t>
      </w:r>
      <w:r>
        <w:rPr>
          <w:rFonts w:hint="eastAsia" w:ascii="仿宋_GB2312" w:hAnsi="仿宋_GB2312" w:eastAsia="仿宋_GB2312" w:cs="仿宋_GB2312"/>
          <w:sz w:val="32"/>
          <w:szCs w:val="32"/>
          <w:lang w:val="en-US" w:eastAsia="zh-CN"/>
        </w:rPr>
        <w:t>36.26</w:t>
      </w:r>
      <w:r>
        <w:rPr>
          <w:rFonts w:hint="eastAsia" w:ascii="仿宋_GB2312" w:hAnsi="仿宋_GB2312" w:eastAsia="仿宋_GB2312" w:cs="仿宋_GB2312"/>
          <w:sz w:val="32"/>
          <w:szCs w:val="32"/>
        </w:rPr>
        <w:t>亿元，全市排名第</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en-US" w:eastAsia="zh-CN"/>
        </w:rPr>
        <w:t>6.15</w:t>
      </w:r>
      <w:r>
        <w:rPr>
          <w:rFonts w:hint="eastAsia" w:ascii="仿宋_GB2312" w:hAnsi="仿宋_GB2312" w:eastAsia="仿宋_GB2312" w:cs="仿宋_GB2312"/>
          <w:sz w:val="32"/>
          <w:szCs w:val="32"/>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w:t>
      </w:r>
    </w:p>
    <w:p w14:paraId="47041E1F">
      <w:pPr>
        <w:keepNext w:val="0"/>
        <w:keepLines w:val="0"/>
        <w:pageBreakBefore w:val="0"/>
        <w:widowControl w:val="0"/>
        <w:kinsoku/>
        <w:wordWrap/>
        <w:overflowPunct/>
        <w:topLinePunct w:val="0"/>
        <w:autoSpaceDE/>
        <w:autoSpaceDN/>
        <w:bidi w:val="0"/>
        <w:adjustRightInd/>
        <w:snapToGrid/>
        <w:spacing w:line="560" w:lineRule="exact"/>
        <w:ind w:left="420" w:leftChars="200" w:right="0" w:rightChars="0" w:firstLine="640" w:firstLineChars="200"/>
        <w:textAlignment w:val="auto"/>
        <w:rPr>
          <w:spacing w:val="-4"/>
          <w:sz w:val="31"/>
          <w:szCs w:val="31"/>
        </w:rPr>
      </w:pPr>
      <w:r>
        <w:rPr>
          <w:rFonts w:hint="eastAsia" w:ascii="黑体" w:hAnsi="黑体" w:eastAsia="黑体" w:cs="黑体"/>
          <w:b w:val="0"/>
          <w:bCs w:val="0"/>
          <w:sz w:val="32"/>
          <w:szCs w:val="32"/>
          <w:lang w:val="en-US" w:eastAsia="zh-CN"/>
        </w:rPr>
        <w:t>2.奋力当好企业上市的护航员。</w:t>
      </w:r>
      <w:r>
        <w:rPr>
          <w:rFonts w:hint="eastAsia" w:ascii="仿宋_GB2312" w:hAnsi="仿宋_GB2312" w:eastAsia="仿宋_GB2312" w:cs="仿宋_GB2312"/>
          <w:sz w:val="32"/>
          <w:szCs w:val="32"/>
          <w:lang w:val="en-US" w:eastAsia="zh-CN"/>
        </w:rPr>
        <w:t>深入推进企业上市“金芙蓉”跃升行动，切实为企业挂牌上市、发展壮大保驾护航。近年来，成功</w:t>
      </w:r>
      <w:r>
        <w:rPr>
          <w:rFonts w:hint="eastAsia" w:ascii="仿宋_GB2312" w:hAnsi="仿宋_GB2312" w:eastAsia="仿宋_GB2312" w:cs="仿宋_GB2312"/>
          <w:sz w:val="32"/>
          <w:szCs w:val="32"/>
        </w:rPr>
        <w:t>培育</w:t>
      </w:r>
      <w:r>
        <w:rPr>
          <w:rFonts w:hint="eastAsia" w:ascii="仿宋_GB2312" w:hAnsi="仿宋_GB2312" w:eastAsia="仿宋_GB2312" w:cs="仿宋_GB2312"/>
          <w:sz w:val="32"/>
          <w:szCs w:val="32"/>
          <w:lang w:val="en-US" w:eastAsia="zh-CN"/>
        </w:rPr>
        <w:t>首家</w:t>
      </w:r>
      <w:r>
        <w:rPr>
          <w:rFonts w:hint="eastAsia" w:ascii="仿宋_GB2312" w:hAnsi="仿宋_GB2312" w:eastAsia="仿宋_GB2312" w:cs="仿宋_GB2312"/>
          <w:sz w:val="32"/>
          <w:szCs w:val="32"/>
        </w:rPr>
        <w:t>本土上市企业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湖南德众汽车销售服务股份有限公司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zh-CN"/>
        </w:rPr>
        <w:t>湖南合源水务环境科技股份有限公司</w:t>
      </w:r>
      <w:r>
        <w:rPr>
          <w:rFonts w:hint="eastAsia" w:ascii="仿宋_GB2312" w:hAnsi="仿宋_GB2312" w:eastAsia="仿宋_GB2312" w:cs="仿宋_GB2312"/>
          <w:sz w:val="32"/>
          <w:szCs w:val="32"/>
          <w:lang w:val="en-US" w:eastAsia="zh-CN"/>
        </w:rPr>
        <w:t>成功在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新三板”挂牌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zh-CN"/>
        </w:rPr>
        <w:t>湖南</w:t>
      </w:r>
      <w:r>
        <w:rPr>
          <w:rFonts w:hint="eastAsia" w:ascii="仿宋_GB2312" w:hAnsi="仿宋_GB2312" w:eastAsia="仿宋_GB2312" w:cs="仿宋_GB2312"/>
          <w:sz w:val="32"/>
          <w:szCs w:val="32"/>
          <w:lang w:val="en-US" w:eastAsia="zh-CN"/>
        </w:rPr>
        <w:t>秦湘九州生物科技</w:t>
      </w:r>
      <w:r>
        <w:rPr>
          <w:rFonts w:hint="eastAsia" w:ascii="仿宋_GB2312" w:hAnsi="仿宋_GB2312" w:eastAsia="仿宋_GB2312" w:cs="仿宋_GB2312"/>
          <w:sz w:val="32"/>
          <w:szCs w:val="32"/>
          <w:lang w:val="zh-CN"/>
        </w:rPr>
        <w:t>股份有限公司、</w:t>
      </w:r>
      <w:r>
        <w:rPr>
          <w:rFonts w:hint="eastAsia" w:ascii="仿宋_GB2312" w:hAnsi="仿宋_GB2312" w:eastAsia="仿宋_GB2312" w:cs="仿宋_GB2312"/>
          <w:sz w:val="32"/>
          <w:szCs w:val="32"/>
          <w:lang w:val="en-US" w:eastAsia="zh-CN"/>
        </w:rPr>
        <w:t>湖南永利鑫汽车销售</w:t>
      </w:r>
      <w:r>
        <w:rPr>
          <w:rFonts w:hint="eastAsia" w:ascii="仿宋_GB2312" w:hAnsi="仿宋_GB2312" w:eastAsia="仿宋_GB2312" w:cs="仿宋_GB2312"/>
          <w:sz w:val="32"/>
          <w:szCs w:val="32"/>
          <w:lang w:val="zh-CN"/>
        </w:rPr>
        <w:t>股份有限公司</w:t>
      </w:r>
      <w:r>
        <w:rPr>
          <w:rFonts w:hint="eastAsia" w:ascii="仿宋_GB2312" w:hAnsi="仿宋_GB2312" w:eastAsia="仿宋_GB2312" w:cs="仿宋_GB2312"/>
          <w:sz w:val="32"/>
          <w:szCs w:val="32"/>
          <w:lang w:val="en-US" w:eastAsia="zh-CN"/>
        </w:rPr>
        <w:t>怀化海红盛电子科技有限公司、思车网汽车科技有限公司等10家企业成功在</w:t>
      </w:r>
      <w:r>
        <w:rPr>
          <w:rFonts w:hint="eastAsia" w:ascii="仿宋_GB2312" w:hAnsi="仿宋_GB2312" w:eastAsia="仿宋_GB2312" w:cs="仿宋_GB2312"/>
          <w:sz w:val="32"/>
          <w:szCs w:val="32"/>
          <w:lang w:val="zh-CN"/>
        </w:rPr>
        <w:t>湖南省股权交易所（四板）挂牌。</w:t>
      </w:r>
      <w:r>
        <w:rPr>
          <w:rFonts w:hint="eastAsia" w:ascii="仿宋_GB2312" w:hAnsi="仿宋_GB2312" w:eastAsia="仿宋_GB2312" w:cs="仿宋_GB2312"/>
          <w:sz w:val="32"/>
          <w:szCs w:val="32"/>
          <w:lang w:val="en-US" w:eastAsia="zh-CN"/>
        </w:rPr>
        <w:t>今年来，主要做了以下几个方面工作：</w:t>
      </w:r>
      <w:r>
        <w:rPr>
          <w:rFonts w:hint="eastAsia" w:ascii="楷体_GB2312" w:hAnsi="楷体_GB2312" w:eastAsia="楷体_GB2312" w:cs="楷体_GB2312"/>
          <w:b/>
          <w:bCs/>
          <w:sz w:val="32"/>
          <w:szCs w:val="32"/>
          <w:lang w:val="en-US" w:eastAsia="zh-CN"/>
        </w:rPr>
        <w:t>一是严格兑现奖励资金。</w:t>
      </w:r>
      <w:r>
        <w:rPr>
          <w:rFonts w:hint="eastAsia" w:ascii="仿宋_GB2312" w:hAnsi="仿宋_GB2312" w:eastAsia="仿宋_GB2312" w:cs="仿宋_GB2312"/>
          <w:sz w:val="32"/>
          <w:szCs w:val="32"/>
        </w:rPr>
        <w:t>第一时间兑现</w:t>
      </w:r>
      <w:r>
        <w:rPr>
          <w:rFonts w:hint="eastAsia" w:ascii="仿宋_GB2312" w:hAnsi="仿宋_GB2312" w:eastAsia="仿宋_GB2312" w:cs="仿宋_GB2312"/>
          <w:sz w:val="32"/>
          <w:szCs w:val="32"/>
          <w:lang w:val="en-US" w:eastAsia="zh-CN"/>
        </w:rPr>
        <w:t>2022年度湖南股交所挂牌企业区级奖励资金42万元，同时协助</w:t>
      </w:r>
      <w:r>
        <w:rPr>
          <w:rFonts w:hint="eastAsia" w:ascii="仿宋_GB2312" w:hAnsi="仿宋_GB2312" w:eastAsia="仿宋_GB2312" w:cs="仿宋_GB2312"/>
          <w:sz w:val="32"/>
          <w:szCs w:val="32"/>
        </w:rPr>
        <w:t>秦湘九州</w:t>
      </w:r>
      <w:r>
        <w:rPr>
          <w:rFonts w:hint="eastAsia" w:ascii="仿宋_GB2312" w:hAnsi="仿宋_GB2312" w:eastAsia="仿宋_GB2312" w:cs="仿宋_GB2312"/>
          <w:sz w:val="32"/>
          <w:szCs w:val="32"/>
          <w:lang w:val="en-US" w:eastAsia="zh-CN"/>
        </w:rPr>
        <w:t>生物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永利鑫汽车</w:t>
      </w:r>
      <w:r>
        <w:rPr>
          <w:rFonts w:hint="eastAsia" w:ascii="仿宋_GB2312" w:hAnsi="仿宋_GB2312" w:eastAsia="仿宋_GB2312" w:cs="仿宋_GB2312"/>
          <w:sz w:val="32"/>
          <w:szCs w:val="32"/>
          <w:lang w:val="en-US" w:eastAsia="zh-CN"/>
        </w:rPr>
        <w:t>获取省级奖补共20万元。</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val="zh-CN" w:eastAsia="zh-CN"/>
        </w:rPr>
        <w:t>是</w:t>
      </w:r>
      <w:r>
        <w:rPr>
          <w:rFonts w:hint="eastAsia" w:ascii="楷体_GB2312" w:hAnsi="楷体_GB2312" w:eastAsia="楷体_GB2312" w:cs="楷体_GB2312"/>
          <w:b/>
          <w:bCs/>
          <w:sz w:val="32"/>
          <w:szCs w:val="32"/>
          <w:lang w:val="en-US" w:eastAsia="zh-CN"/>
        </w:rPr>
        <w:t>精准指导企业申报。</w:t>
      </w:r>
      <w:r>
        <w:rPr>
          <w:rFonts w:hint="eastAsia" w:ascii="仿宋_GB2312" w:hAnsi="仿宋_GB2312" w:eastAsia="仿宋_GB2312" w:cs="仿宋_GB2312"/>
          <w:sz w:val="32"/>
          <w:szCs w:val="32"/>
          <w:lang w:val="en-US" w:eastAsia="zh-CN"/>
        </w:rPr>
        <w:t>成功指导</w:t>
      </w:r>
      <w:r>
        <w:rPr>
          <w:rFonts w:hint="eastAsia" w:ascii="仿宋_GB2312" w:hAnsi="仿宋_GB2312" w:eastAsia="仿宋_GB2312" w:cs="仿宋_GB2312"/>
          <w:sz w:val="32"/>
          <w:szCs w:val="32"/>
        </w:rPr>
        <w:t>湖南省博士康中医药有限公司</w:t>
      </w:r>
      <w:r>
        <w:rPr>
          <w:rFonts w:hint="eastAsia" w:ascii="仿宋_GB2312" w:hAnsi="仿宋_GB2312" w:eastAsia="仿宋_GB2312" w:cs="仿宋_GB2312"/>
          <w:sz w:val="32"/>
          <w:szCs w:val="32"/>
          <w:lang w:val="en-US" w:eastAsia="zh-CN"/>
        </w:rPr>
        <w:t>等5</w:t>
      </w:r>
      <w:r>
        <w:rPr>
          <w:rFonts w:hint="eastAsia" w:ascii="仿宋_GB2312" w:hAnsi="仿宋_GB2312" w:eastAsia="仿宋_GB2312" w:cs="仿宋_GB2312"/>
          <w:sz w:val="32"/>
          <w:szCs w:val="32"/>
          <w:lang w:val="zh-CN"/>
        </w:rPr>
        <w:t>家</w:t>
      </w:r>
      <w:r>
        <w:rPr>
          <w:rFonts w:hint="eastAsia" w:ascii="仿宋_GB2312" w:hAnsi="仿宋_GB2312" w:eastAsia="仿宋_GB2312" w:cs="仿宋_GB2312"/>
          <w:sz w:val="32"/>
          <w:szCs w:val="32"/>
          <w:lang w:val="en-US" w:eastAsia="zh-CN"/>
        </w:rPr>
        <w:t>企业入列</w:t>
      </w:r>
      <w:r>
        <w:rPr>
          <w:rFonts w:hint="eastAsia" w:ascii="仿宋_GB2312" w:hAnsi="仿宋_GB2312" w:eastAsia="仿宋_GB2312" w:cs="仿宋_GB2312"/>
          <w:sz w:val="32"/>
          <w:szCs w:val="32"/>
          <w:lang w:val="zh-CN"/>
        </w:rPr>
        <w:t>省重点</w:t>
      </w:r>
      <w:r>
        <w:rPr>
          <w:rFonts w:hint="eastAsia" w:ascii="仿宋_GB2312" w:hAnsi="仿宋_GB2312" w:eastAsia="仿宋_GB2312" w:cs="仿宋_GB2312"/>
          <w:sz w:val="32"/>
          <w:szCs w:val="32"/>
        </w:rPr>
        <w:t>拟</w:t>
      </w:r>
      <w:r>
        <w:rPr>
          <w:rFonts w:hint="eastAsia" w:ascii="仿宋_GB2312" w:hAnsi="仿宋_GB2312" w:eastAsia="仿宋_GB2312" w:cs="仿宋_GB2312"/>
          <w:sz w:val="32"/>
          <w:szCs w:val="32"/>
          <w:lang w:val="zh-CN"/>
        </w:rPr>
        <w:t>上市后备资源库，</w:t>
      </w:r>
      <w:r>
        <w:rPr>
          <w:rFonts w:hint="eastAsia" w:ascii="仿宋_GB2312" w:hAnsi="仿宋_GB2312" w:eastAsia="仿宋_GB2312" w:cs="仿宋_GB2312"/>
          <w:sz w:val="32"/>
          <w:szCs w:val="32"/>
          <w:lang w:val="en-US" w:eastAsia="zh-CN"/>
        </w:rPr>
        <w:t>为全市最多。</w:t>
      </w: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lang w:val="zh-CN" w:eastAsia="zh-CN"/>
        </w:rPr>
        <w:t>是优化</w:t>
      </w:r>
      <w:r>
        <w:rPr>
          <w:rFonts w:hint="eastAsia" w:ascii="楷体_GB2312" w:hAnsi="楷体_GB2312" w:eastAsia="楷体_GB2312" w:cs="楷体_GB2312"/>
          <w:b/>
          <w:bCs/>
          <w:sz w:val="32"/>
          <w:szCs w:val="32"/>
          <w:lang w:val="en-US" w:eastAsia="zh-CN"/>
        </w:rPr>
        <w:t>上市辅导</w:t>
      </w:r>
      <w:r>
        <w:rPr>
          <w:rFonts w:hint="eastAsia" w:ascii="楷体_GB2312" w:hAnsi="楷体_GB2312" w:eastAsia="楷体_GB2312" w:cs="楷体_GB2312"/>
          <w:b/>
          <w:bCs/>
          <w:sz w:val="32"/>
          <w:szCs w:val="32"/>
          <w:lang w:val="zh-CN" w:eastAsia="zh-CN"/>
        </w:rPr>
        <w:t>服务。</w:t>
      </w:r>
      <w:r>
        <w:rPr>
          <w:rFonts w:hint="eastAsia" w:ascii="仿宋_GB2312" w:hAnsi="仿宋_GB2312" w:eastAsia="仿宋_GB2312" w:cs="仿宋_GB2312"/>
          <w:sz w:val="32"/>
          <w:szCs w:val="32"/>
          <w:lang w:val="en-US" w:eastAsia="zh-CN"/>
        </w:rPr>
        <w:t>邀请湖南股交所交易所、省新三板协会资本市场专家为企业上市提供专业指导。组织24家企业参加省、市、区举办的北交所上市专题培训、资本市场培训。</w:t>
      </w:r>
      <w:r>
        <w:rPr>
          <w:rFonts w:hint="eastAsia" w:ascii="楷体_GB2312" w:hAnsi="楷体_GB2312" w:eastAsia="楷体_GB2312" w:cs="楷体_GB2312"/>
          <w:b/>
          <w:bCs/>
          <w:sz w:val="32"/>
          <w:szCs w:val="32"/>
          <w:lang w:val="en-US" w:eastAsia="zh-CN"/>
        </w:rPr>
        <w:t>四是扶持挂牌企业发展。</w:t>
      </w:r>
      <w:r>
        <w:rPr>
          <w:rFonts w:hint="eastAsia" w:ascii="仿宋_GB2312" w:hAnsi="仿宋_GB2312" w:eastAsia="仿宋_GB2312" w:cs="仿宋_GB2312"/>
          <w:sz w:val="32"/>
          <w:szCs w:val="32"/>
          <w:lang w:val="en-US" w:eastAsia="zh-CN"/>
        </w:rPr>
        <w:t>2023年秦湘九州、永利鑫汽车通过白名单制度分别获得贷款300万元、280万元，有力支持了企业生产经营。</w:t>
      </w:r>
    </w:p>
    <w:p w14:paraId="05D07E2D">
      <w:pPr>
        <w:rPr>
          <w:lang w:val="en-US" w:eastAsia="en-US"/>
        </w:rPr>
      </w:pPr>
    </w:p>
    <w:p w14:paraId="5667A69A">
      <w:pPr>
        <w:tabs>
          <w:tab w:val="left" w:pos="1028"/>
        </w:tabs>
        <w:rPr>
          <w:rFonts w:hint="default" w:eastAsia="宋体"/>
          <w:lang w:val="en-US" w:eastAsia="zh-CN"/>
        </w:rPr>
        <w:sectPr>
          <w:footerReference r:id="rId5" w:type="default"/>
          <w:pgSz w:w="11900" w:h="16840"/>
          <w:pgMar w:top="1254" w:right="550" w:bottom="1671" w:left="280" w:header="0" w:footer="1443" w:gutter="0"/>
          <w:cols w:space="720" w:num="1"/>
        </w:sectPr>
      </w:pPr>
    </w:p>
    <w:p w14:paraId="66C921D6">
      <w:pPr>
        <w:pStyle w:val="3"/>
        <w:spacing w:before="45" w:line="222" w:lineRule="auto"/>
        <w:ind w:left="265"/>
        <w:rPr>
          <w:sz w:val="22"/>
          <w:szCs w:val="22"/>
        </w:rPr>
      </w:pPr>
      <w:r>
        <w:rPr>
          <w:spacing w:val="17"/>
          <w:sz w:val="22"/>
          <w:szCs w:val="22"/>
        </w:rPr>
        <w:t>附件1-</w:t>
      </w:r>
      <w:r>
        <w:rPr>
          <w:spacing w:val="-49"/>
          <w:sz w:val="22"/>
          <w:szCs w:val="22"/>
        </w:rPr>
        <w:t xml:space="preserve"> </w:t>
      </w:r>
      <w:r>
        <w:rPr>
          <w:spacing w:val="17"/>
          <w:sz w:val="22"/>
          <w:szCs w:val="22"/>
        </w:rPr>
        <w:t>1</w:t>
      </w:r>
    </w:p>
    <w:p w14:paraId="3B92D41E">
      <w:pPr>
        <w:spacing w:before="124" w:line="218" w:lineRule="auto"/>
        <w:ind w:left="2320"/>
        <w:rPr>
          <w:rFonts w:ascii="宋体" w:hAnsi="宋体" w:eastAsia="宋体" w:cs="宋体"/>
          <w:sz w:val="36"/>
          <w:szCs w:val="36"/>
        </w:rPr>
      </w:pPr>
      <w:r>
        <w:rPr>
          <w:rFonts w:ascii="宋体" w:hAnsi="宋体" w:eastAsia="宋体" w:cs="宋体"/>
          <w:b/>
          <w:bCs/>
          <w:spacing w:val="-13"/>
          <w:sz w:val="36"/>
          <w:szCs w:val="36"/>
        </w:rPr>
        <w:t>部门整体支出绩效评价基础数据表</w:t>
      </w:r>
    </w:p>
    <w:p w14:paraId="3950E7AD">
      <w:pPr>
        <w:spacing w:before="197" w:line="219" w:lineRule="auto"/>
        <w:rPr>
          <w:rFonts w:hint="default" w:ascii="宋体" w:hAnsi="宋体" w:eastAsia="宋体" w:cs="宋体"/>
          <w:sz w:val="22"/>
          <w:szCs w:val="22"/>
          <w:lang w:val="en-US" w:eastAsia="zh-CN"/>
        </w:rPr>
      </w:pPr>
      <w:r>
        <w:rPr>
          <w:rFonts w:ascii="宋体" w:hAnsi="宋体" w:eastAsia="宋体" w:cs="宋体"/>
          <w:spacing w:val="-16"/>
          <w:sz w:val="22"/>
          <w:szCs w:val="22"/>
        </w:rPr>
        <w:t>填报单位：</w:t>
      </w:r>
      <w:r>
        <w:rPr>
          <w:rFonts w:hint="eastAsia" w:ascii="宋体" w:hAnsi="宋体" w:eastAsia="宋体" w:cs="宋体"/>
          <w:spacing w:val="-16"/>
          <w:sz w:val="22"/>
          <w:szCs w:val="22"/>
          <w:lang w:val="en-US" w:eastAsia="zh-CN"/>
        </w:rPr>
        <w:t>怀化市鹤城区金融事务服务中心</w:t>
      </w:r>
    </w:p>
    <w:p w14:paraId="24CE40D0">
      <w:pPr>
        <w:spacing w:before="29" w:line="220" w:lineRule="auto"/>
        <w:ind w:left="6884"/>
        <w:rPr>
          <w:rFonts w:ascii="宋体" w:hAnsi="宋体" w:eastAsia="宋体" w:cs="宋体"/>
          <w:sz w:val="22"/>
          <w:szCs w:val="22"/>
        </w:rPr>
      </w:pPr>
      <w:r>
        <w:rPr>
          <w:rFonts w:ascii="宋体" w:hAnsi="宋体" w:eastAsia="宋体" w:cs="宋体"/>
          <w:spacing w:val="-9"/>
          <w:sz w:val="22"/>
          <w:szCs w:val="22"/>
        </w:rPr>
        <w:t>单位：万元</w:t>
      </w:r>
    </w:p>
    <w:p w14:paraId="46BEDDBB">
      <w:pPr>
        <w:spacing w:line="73" w:lineRule="exact"/>
      </w:pPr>
    </w:p>
    <w:tbl>
      <w:tblPr>
        <w:tblStyle w:val="7"/>
        <w:tblW w:w="93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21"/>
        <w:gridCol w:w="1179"/>
        <w:gridCol w:w="829"/>
        <w:gridCol w:w="1099"/>
        <w:gridCol w:w="1069"/>
        <w:gridCol w:w="979"/>
        <w:gridCol w:w="864"/>
      </w:tblGrid>
      <w:tr w14:paraId="63EFC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4" w:hRule="atLeast"/>
          <w:jc w:val="center"/>
        </w:trPr>
        <w:tc>
          <w:tcPr>
            <w:tcW w:w="3321" w:type="dxa"/>
            <w:vMerge w:val="restart"/>
            <w:tcBorders>
              <w:bottom w:val="nil"/>
            </w:tcBorders>
            <w:vAlign w:val="center"/>
          </w:tcPr>
          <w:p w14:paraId="405C5E68">
            <w:pPr>
              <w:spacing w:before="271" w:line="219" w:lineRule="auto"/>
              <w:ind w:left="894"/>
              <w:jc w:val="center"/>
              <w:rPr>
                <w:rFonts w:ascii="宋体" w:hAnsi="宋体" w:eastAsia="宋体" w:cs="宋体"/>
                <w:sz w:val="20"/>
                <w:szCs w:val="20"/>
              </w:rPr>
            </w:pPr>
            <w:r>
              <w:rPr>
                <w:rFonts w:ascii="宋体" w:hAnsi="宋体" w:eastAsia="宋体" w:cs="宋体"/>
                <w:spacing w:val="-1"/>
                <w:sz w:val="20"/>
                <w:szCs w:val="20"/>
              </w:rPr>
              <w:t>财政供养人员情况</w:t>
            </w:r>
          </w:p>
        </w:tc>
        <w:tc>
          <w:tcPr>
            <w:tcW w:w="2008" w:type="dxa"/>
            <w:gridSpan w:val="2"/>
            <w:vAlign w:val="center"/>
          </w:tcPr>
          <w:p w14:paraId="122B0AB1">
            <w:pPr>
              <w:spacing w:before="103" w:line="219" w:lineRule="auto"/>
              <w:ind w:left="694"/>
              <w:jc w:val="both"/>
              <w:rPr>
                <w:rFonts w:ascii="宋体" w:hAnsi="宋体" w:eastAsia="宋体" w:cs="宋体"/>
                <w:sz w:val="20"/>
                <w:szCs w:val="20"/>
              </w:rPr>
            </w:pPr>
            <w:r>
              <w:rPr>
                <w:rFonts w:ascii="宋体" w:hAnsi="宋体" w:eastAsia="宋体" w:cs="宋体"/>
                <w:spacing w:val="-3"/>
                <w:sz w:val="20"/>
                <w:szCs w:val="20"/>
              </w:rPr>
              <w:t>编制数</w:t>
            </w:r>
          </w:p>
        </w:tc>
        <w:tc>
          <w:tcPr>
            <w:tcW w:w="2168" w:type="dxa"/>
            <w:gridSpan w:val="2"/>
            <w:vAlign w:val="center"/>
          </w:tcPr>
          <w:p w14:paraId="417B287E">
            <w:pPr>
              <w:spacing w:before="103" w:line="219" w:lineRule="auto"/>
              <w:ind w:left="176"/>
              <w:jc w:val="center"/>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vAlign w:val="center"/>
          </w:tcPr>
          <w:p w14:paraId="3D99B6D4">
            <w:pPr>
              <w:spacing w:before="103" w:line="219" w:lineRule="auto"/>
              <w:ind w:left="618"/>
              <w:jc w:val="center"/>
              <w:rPr>
                <w:rFonts w:ascii="宋体" w:hAnsi="宋体" w:eastAsia="宋体" w:cs="宋体"/>
                <w:sz w:val="20"/>
                <w:szCs w:val="20"/>
              </w:rPr>
            </w:pPr>
            <w:r>
              <w:rPr>
                <w:rFonts w:ascii="宋体" w:hAnsi="宋体" w:eastAsia="宋体" w:cs="宋体"/>
                <w:spacing w:val="-2"/>
                <w:sz w:val="20"/>
                <w:szCs w:val="20"/>
              </w:rPr>
              <w:t>控制率</w:t>
            </w:r>
          </w:p>
        </w:tc>
      </w:tr>
      <w:tr w14:paraId="24010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jc w:val="center"/>
        </w:trPr>
        <w:tc>
          <w:tcPr>
            <w:tcW w:w="3321" w:type="dxa"/>
            <w:vMerge w:val="continue"/>
            <w:tcBorders>
              <w:top w:val="nil"/>
            </w:tcBorders>
            <w:vAlign w:val="center"/>
          </w:tcPr>
          <w:p w14:paraId="6C76F441">
            <w:pPr>
              <w:pStyle w:val="8"/>
              <w:jc w:val="center"/>
            </w:pPr>
          </w:p>
        </w:tc>
        <w:tc>
          <w:tcPr>
            <w:tcW w:w="2008" w:type="dxa"/>
            <w:gridSpan w:val="2"/>
            <w:vAlign w:val="center"/>
          </w:tcPr>
          <w:p w14:paraId="6F3B5D78">
            <w:pPr>
              <w:pStyle w:val="8"/>
              <w:jc w:val="center"/>
              <w:rPr>
                <w:rFonts w:hint="eastAsia" w:eastAsia="宋体"/>
                <w:lang w:val="en-US" w:eastAsia="zh-CN"/>
              </w:rPr>
            </w:pPr>
            <w:r>
              <w:rPr>
                <w:rFonts w:hint="eastAsia" w:eastAsia="宋体"/>
                <w:lang w:val="en-US" w:eastAsia="zh-CN"/>
              </w:rPr>
              <w:t>6</w:t>
            </w:r>
          </w:p>
        </w:tc>
        <w:tc>
          <w:tcPr>
            <w:tcW w:w="2168" w:type="dxa"/>
            <w:gridSpan w:val="2"/>
            <w:vAlign w:val="center"/>
          </w:tcPr>
          <w:p w14:paraId="540875B1">
            <w:pPr>
              <w:pStyle w:val="8"/>
              <w:jc w:val="center"/>
              <w:rPr>
                <w:rFonts w:hint="eastAsia" w:eastAsia="宋体"/>
                <w:lang w:val="en-US" w:eastAsia="zh-CN"/>
              </w:rPr>
            </w:pPr>
            <w:r>
              <w:rPr>
                <w:rFonts w:hint="eastAsia" w:eastAsia="宋体"/>
                <w:lang w:val="en-US" w:eastAsia="zh-CN"/>
              </w:rPr>
              <w:t>7</w:t>
            </w:r>
          </w:p>
        </w:tc>
        <w:tc>
          <w:tcPr>
            <w:tcW w:w="1843" w:type="dxa"/>
            <w:gridSpan w:val="2"/>
            <w:vAlign w:val="center"/>
          </w:tcPr>
          <w:p w14:paraId="14245B91">
            <w:pPr>
              <w:pStyle w:val="8"/>
              <w:jc w:val="center"/>
              <w:rPr>
                <w:rFonts w:hint="default" w:eastAsia="宋体"/>
                <w:lang w:val="en-US" w:eastAsia="zh-CN"/>
              </w:rPr>
            </w:pPr>
            <w:r>
              <w:rPr>
                <w:rFonts w:hint="eastAsia" w:eastAsia="宋体"/>
                <w:lang w:val="en-US" w:eastAsia="zh-CN"/>
              </w:rPr>
              <w:t>116.67%</w:t>
            </w:r>
          </w:p>
        </w:tc>
      </w:tr>
      <w:tr w14:paraId="4C49E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jc w:val="center"/>
        </w:trPr>
        <w:tc>
          <w:tcPr>
            <w:tcW w:w="3321" w:type="dxa"/>
            <w:vAlign w:val="center"/>
          </w:tcPr>
          <w:p w14:paraId="653975D6">
            <w:pPr>
              <w:spacing w:before="99" w:line="220" w:lineRule="auto"/>
              <w:ind w:left="1015"/>
              <w:jc w:val="center"/>
              <w:rPr>
                <w:rFonts w:ascii="宋体" w:hAnsi="宋体" w:eastAsia="宋体" w:cs="宋体"/>
                <w:sz w:val="20"/>
                <w:szCs w:val="20"/>
              </w:rPr>
            </w:pPr>
            <w:r>
              <w:rPr>
                <w:rFonts w:ascii="宋体" w:hAnsi="宋体" w:eastAsia="宋体" w:cs="宋体"/>
                <w:spacing w:val="-2"/>
                <w:sz w:val="20"/>
                <w:szCs w:val="20"/>
              </w:rPr>
              <w:t>经费控制情况</w:t>
            </w:r>
          </w:p>
        </w:tc>
        <w:tc>
          <w:tcPr>
            <w:tcW w:w="2008" w:type="dxa"/>
            <w:gridSpan w:val="2"/>
            <w:vAlign w:val="center"/>
          </w:tcPr>
          <w:p w14:paraId="659335C8">
            <w:pPr>
              <w:spacing w:before="99" w:line="219" w:lineRule="auto"/>
              <w:ind w:left="394"/>
              <w:jc w:val="center"/>
              <w:rPr>
                <w:rFonts w:ascii="宋体" w:hAnsi="宋体" w:eastAsia="宋体" w:cs="宋体"/>
                <w:sz w:val="20"/>
                <w:szCs w:val="20"/>
              </w:rPr>
            </w:pPr>
            <w:r>
              <w:rPr>
                <w:rFonts w:ascii="宋体" w:hAnsi="宋体" w:eastAsia="宋体" w:cs="宋体"/>
                <w:spacing w:val="-2"/>
                <w:sz w:val="20"/>
                <w:szCs w:val="20"/>
              </w:rPr>
              <w:t>2022年决算数</w:t>
            </w:r>
          </w:p>
        </w:tc>
        <w:tc>
          <w:tcPr>
            <w:tcW w:w="2168" w:type="dxa"/>
            <w:gridSpan w:val="2"/>
            <w:vAlign w:val="center"/>
          </w:tcPr>
          <w:p w14:paraId="5AE64317">
            <w:pPr>
              <w:spacing w:before="99" w:line="219" w:lineRule="auto"/>
              <w:ind w:left="476"/>
              <w:jc w:val="center"/>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vAlign w:val="center"/>
          </w:tcPr>
          <w:p w14:paraId="527A1072">
            <w:pPr>
              <w:spacing w:before="99" w:line="219" w:lineRule="auto"/>
              <w:ind w:left="318"/>
              <w:jc w:val="center"/>
              <w:rPr>
                <w:rFonts w:ascii="宋体" w:hAnsi="宋体" w:eastAsia="宋体" w:cs="宋体"/>
                <w:sz w:val="20"/>
                <w:szCs w:val="20"/>
              </w:rPr>
            </w:pPr>
            <w:r>
              <w:rPr>
                <w:rFonts w:ascii="宋体" w:hAnsi="宋体" w:eastAsia="宋体" w:cs="宋体"/>
                <w:spacing w:val="-2"/>
                <w:sz w:val="20"/>
                <w:szCs w:val="20"/>
              </w:rPr>
              <w:t>2023年决算数</w:t>
            </w:r>
          </w:p>
        </w:tc>
      </w:tr>
      <w:tr w14:paraId="6254A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3321" w:type="dxa"/>
            <w:vAlign w:val="center"/>
          </w:tcPr>
          <w:p w14:paraId="0A2D559A">
            <w:pPr>
              <w:spacing w:before="110" w:line="220" w:lineRule="auto"/>
              <w:ind w:left="455"/>
              <w:jc w:val="center"/>
              <w:rPr>
                <w:rFonts w:ascii="宋体" w:hAnsi="宋体" w:eastAsia="宋体" w:cs="宋体"/>
                <w:sz w:val="20"/>
                <w:szCs w:val="20"/>
              </w:rPr>
            </w:pPr>
            <w:r>
              <w:rPr>
                <w:rFonts w:ascii="宋体" w:hAnsi="宋体" w:eastAsia="宋体" w:cs="宋体"/>
                <w:spacing w:val="3"/>
                <w:sz w:val="20"/>
                <w:szCs w:val="20"/>
              </w:rPr>
              <w:t>三公经费</w:t>
            </w:r>
          </w:p>
        </w:tc>
        <w:tc>
          <w:tcPr>
            <w:tcW w:w="2008" w:type="dxa"/>
            <w:gridSpan w:val="2"/>
            <w:vAlign w:val="center"/>
          </w:tcPr>
          <w:p w14:paraId="380A1472">
            <w:pPr>
              <w:pStyle w:val="8"/>
              <w:jc w:val="center"/>
              <w:rPr>
                <w:rFonts w:hint="default" w:eastAsia="宋体"/>
                <w:lang w:val="en-US" w:eastAsia="zh-CN"/>
              </w:rPr>
            </w:pPr>
            <w:r>
              <w:rPr>
                <w:rFonts w:hint="eastAsia" w:eastAsia="宋体"/>
                <w:lang w:val="en-US" w:eastAsia="zh-CN"/>
              </w:rPr>
              <w:t>0.0358</w:t>
            </w:r>
          </w:p>
        </w:tc>
        <w:tc>
          <w:tcPr>
            <w:tcW w:w="2168" w:type="dxa"/>
            <w:gridSpan w:val="2"/>
            <w:vAlign w:val="center"/>
          </w:tcPr>
          <w:p w14:paraId="50C24A6F">
            <w:pPr>
              <w:pStyle w:val="8"/>
              <w:jc w:val="center"/>
              <w:rPr>
                <w:rFonts w:hint="eastAsia" w:eastAsia="宋体"/>
                <w:lang w:val="en-US" w:eastAsia="zh-CN"/>
              </w:rPr>
            </w:pPr>
            <w:r>
              <w:rPr>
                <w:rFonts w:hint="eastAsia" w:eastAsia="宋体"/>
                <w:lang w:val="en-US" w:eastAsia="zh-CN"/>
              </w:rPr>
              <w:t>0</w:t>
            </w:r>
          </w:p>
        </w:tc>
        <w:tc>
          <w:tcPr>
            <w:tcW w:w="1843" w:type="dxa"/>
            <w:gridSpan w:val="2"/>
            <w:vAlign w:val="center"/>
          </w:tcPr>
          <w:p w14:paraId="7C5CEE0D">
            <w:pPr>
              <w:pStyle w:val="8"/>
              <w:jc w:val="center"/>
              <w:rPr>
                <w:rFonts w:hint="eastAsia" w:eastAsia="宋体"/>
                <w:lang w:val="en-US" w:eastAsia="zh-CN"/>
              </w:rPr>
            </w:pPr>
            <w:r>
              <w:rPr>
                <w:rFonts w:hint="eastAsia" w:eastAsia="宋体"/>
                <w:lang w:val="en-US" w:eastAsia="zh-CN"/>
              </w:rPr>
              <w:t>0</w:t>
            </w:r>
          </w:p>
        </w:tc>
      </w:tr>
      <w:tr w14:paraId="08101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jc w:val="center"/>
        </w:trPr>
        <w:tc>
          <w:tcPr>
            <w:tcW w:w="3321" w:type="dxa"/>
            <w:vAlign w:val="center"/>
          </w:tcPr>
          <w:p w14:paraId="670FE784">
            <w:pPr>
              <w:spacing w:before="91" w:line="219" w:lineRule="auto"/>
              <w:ind w:left="455"/>
              <w:jc w:val="center"/>
              <w:rPr>
                <w:rFonts w:ascii="宋体" w:hAnsi="宋体" w:eastAsia="宋体" w:cs="宋体"/>
                <w:sz w:val="20"/>
                <w:szCs w:val="20"/>
              </w:rPr>
            </w:pPr>
            <w:r>
              <w:rPr>
                <w:rFonts w:ascii="宋体" w:hAnsi="宋体" w:eastAsia="宋体" w:cs="宋体"/>
                <w:sz w:val="20"/>
                <w:szCs w:val="20"/>
              </w:rPr>
              <w:t>1、公务用车购置和维护经费</w:t>
            </w:r>
          </w:p>
        </w:tc>
        <w:tc>
          <w:tcPr>
            <w:tcW w:w="2008" w:type="dxa"/>
            <w:gridSpan w:val="2"/>
            <w:vAlign w:val="center"/>
          </w:tcPr>
          <w:p w14:paraId="13CC25A8">
            <w:pPr>
              <w:pStyle w:val="8"/>
              <w:jc w:val="center"/>
            </w:pPr>
          </w:p>
        </w:tc>
        <w:tc>
          <w:tcPr>
            <w:tcW w:w="2168" w:type="dxa"/>
            <w:gridSpan w:val="2"/>
            <w:vAlign w:val="center"/>
          </w:tcPr>
          <w:p w14:paraId="104FC1A9">
            <w:pPr>
              <w:pStyle w:val="8"/>
              <w:jc w:val="center"/>
            </w:pPr>
          </w:p>
        </w:tc>
        <w:tc>
          <w:tcPr>
            <w:tcW w:w="1843" w:type="dxa"/>
            <w:gridSpan w:val="2"/>
            <w:vAlign w:val="center"/>
          </w:tcPr>
          <w:p w14:paraId="38E32F52">
            <w:pPr>
              <w:pStyle w:val="8"/>
              <w:jc w:val="center"/>
            </w:pPr>
          </w:p>
        </w:tc>
      </w:tr>
      <w:tr w14:paraId="01B74A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3321" w:type="dxa"/>
            <w:vAlign w:val="center"/>
          </w:tcPr>
          <w:p w14:paraId="591513AB">
            <w:pPr>
              <w:spacing w:before="101" w:line="219" w:lineRule="auto"/>
              <w:ind w:left="795"/>
              <w:jc w:val="center"/>
              <w:rPr>
                <w:rFonts w:ascii="宋体" w:hAnsi="宋体" w:eastAsia="宋体" w:cs="宋体"/>
                <w:sz w:val="20"/>
                <w:szCs w:val="20"/>
              </w:rPr>
            </w:pPr>
            <w:r>
              <w:rPr>
                <w:rFonts w:ascii="宋体" w:hAnsi="宋体" w:eastAsia="宋体" w:cs="宋体"/>
                <w:spacing w:val="-2"/>
                <w:sz w:val="20"/>
                <w:szCs w:val="20"/>
              </w:rPr>
              <w:t>其中：公车购置</w:t>
            </w:r>
          </w:p>
        </w:tc>
        <w:tc>
          <w:tcPr>
            <w:tcW w:w="2008" w:type="dxa"/>
            <w:gridSpan w:val="2"/>
            <w:vAlign w:val="center"/>
          </w:tcPr>
          <w:p w14:paraId="00F8B661">
            <w:pPr>
              <w:pStyle w:val="8"/>
              <w:jc w:val="center"/>
            </w:pPr>
          </w:p>
        </w:tc>
        <w:tc>
          <w:tcPr>
            <w:tcW w:w="2168" w:type="dxa"/>
            <w:gridSpan w:val="2"/>
            <w:vAlign w:val="center"/>
          </w:tcPr>
          <w:p w14:paraId="2A237F98">
            <w:pPr>
              <w:pStyle w:val="8"/>
              <w:jc w:val="center"/>
            </w:pPr>
          </w:p>
        </w:tc>
        <w:tc>
          <w:tcPr>
            <w:tcW w:w="1843" w:type="dxa"/>
            <w:gridSpan w:val="2"/>
            <w:vAlign w:val="center"/>
          </w:tcPr>
          <w:p w14:paraId="2CA861CE">
            <w:pPr>
              <w:pStyle w:val="8"/>
              <w:jc w:val="center"/>
            </w:pPr>
          </w:p>
        </w:tc>
      </w:tr>
      <w:tr w14:paraId="34FCB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3321" w:type="dxa"/>
            <w:vAlign w:val="center"/>
          </w:tcPr>
          <w:p w14:paraId="67EDC692">
            <w:pPr>
              <w:spacing w:before="101" w:line="219" w:lineRule="auto"/>
              <w:ind w:left="1355"/>
              <w:jc w:val="center"/>
              <w:rPr>
                <w:rFonts w:ascii="宋体" w:hAnsi="宋体" w:eastAsia="宋体" w:cs="宋体"/>
                <w:sz w:val="20"/>
                <w:szCs w:val="20"/>
              </w:rPr>
            </w:pPr>
            <w:r>
              <w:rPr>
                <w:rFonts w:ascii="宋体" w:hAnsi="宋体" w:eastAsia="宋体" w:cs="宋体"/>
                <w:spacing w:val="2"/>
                <w:sz w:val="20"/>
                <w:szCs w:val="20"/>
              </w:rPr>
              <w:t>公车运行维护</w:t>
            </w:r>
          </w:p>
        </w:tc>
        <w:tc>
          <w:tcPr>
            <w:tcW w:w="2008" w:type="dxa"/>
            <w:gridSpan w:val="2"/>
            <w:vAlign w:val="center"/>
          </w:tcPr>
          <w:p w14:paraId="0C85DFD6">
            <w:pPr>
              <w:pStyle w:val="8"/>
              <w:jc w:val="center"/>
            </w:pPr>
          </w:p>
        </w:tc>
        <w:tc>
          <w:tcPr>
            <w:tcW w:w="2168" w:type="dxa"/>
            <w:gridSpan w:val="2"/>
            <w:vAlign w:val="center"/>
          </w:tcPr>
          <w:p w14:paraId="5AE2481C">
            <w:pPr>
              <w:pStyle w:val="8"/>
              <w:jc w:val="center"/>
            </w:pPr>
          </w:p>
        </w:tc>
        <w:tc>
          <w:tcPr>
            <w:tcW w:w="1843" w:type="dxa"/>
            <w:gridSpan w:val="2"/>
            <w:vAlign w:val="center"/>
          </w:tcPr>
          <w:p w14:paraId="6E629614">
            <w:pPr>
              <w:pStyle w:val="8"/>
              <w:jc w:val="center"/>
            </w:pPr>
          </w:p>
        </w:tc>
      </w:tr>
      <w:tr w14:paraId="737B5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jc w:val="center"/>
        </w:trPr>
        <w:tc>
          <w:tcPr>
            <w:tcW w:w="3321" w:type="dxa"/>
            <w:vAlign w:val="center"/>
          </w:tcPr>
          <w:p w14:paraId="18E5A305">
            <w:pPr>
              <w:spacing w:before="101" w:line="220" w:lineRule="auto"/>
              <w:ind w:left="455"/>
              <w:jc w:val="center"/>
              <w:rPr>
                <w:rFonts w:ascii="宋体" w:hAnsi="宋体" w:eastAsia="宋体" w:cs="宋体"/>
                <w:sz w:val="20"/>
                <w:szCs w:val="20"/>
              </w:rPr>
            </w:pPr>
            <w:r>
              <w:rPr>
                <w:rFonts w:ascii="宋体" w:hAnsi="宋体" w:eastAsia="宋体" w:cs="宋体"/>
                <w:spacing w:val="2"/>
                <w:sz w:val="20"/>
                <w:szCs w:val="20"/>
              </w:rPr>
              <w:t>2、出国经费</w:t>
            </w:r>
          </w:p>
        </w:tc>
        <w:tc>
          <w:tcPr>
            <w:tcW w:w="2008" w:type="dxa"/>
            <w:gridSpan w:val="2"/>
            <w:vAlign w:val="center"/>
          </w:tcPr>
          <w:p w14:paraId="0187FCE4">
            <w:pPr>
              <w:pStyle w:val="8"/>
              <w:jc w:val="center"/>
            </w:pPr>
          </w:p>
        </w:tc>
        <w:tc>
          <w:tcPr>
            <w:tcW w:w="2168" w:type="dxa"/>
            <w:gridSpan w:val="2"/>
            <w:vAlign w:val="center"/>
          </w:tcPr>
          <w:p w14:paraId="3EC5D254">
            <w:pPr>
              <w:pStyle w:val="8"/>
              <w:jc w:val="center"/>
            </w:pPr>
          </w:p>
        </w:tc>
        <w:tc>
          <w:tcPr>
            <w:tcW w:w="1843" w:type="dxa"/>
            <w:gridSpan w:val="2"/>
            <w:vAlign w:val="center"/>
          </w:tcPr>
          <w:p w14:paraId="29A609C1">
            <w:pPr>
              <w:pStyle w:val="8"/>
              <w:jc w:val="center"/>
            </w:pPr>
          </w:p>
        </w:tc>
      </w:tr>
      <w:tr w14:paraId="3A641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3321" w:type="dxa"/>
            <w:vAlign w:val="center"/>
          </w:tcPr>
          <w:p w14:paraId="47F11A24">
            <w:pPr>
              <w:spacing w:before="102" w:line="219" w:lineRule="auto"/>
              <w:ind w:left="455"/>
              <w:jc w:val="center"/>
              <w:rPr>
                <w:rFonts w:ascii="宋体" w:hAnsi="宋体" w:eastAsia="宋体" w:cs="宋体"/>
                <w:sz w:val="20"/>
                <w:szCs w:val="20"/>
              </w:rPr>
            </w:pPr>
            <w:r>
              <w:rPr>
                <w:rFonts w:ascii="宋体" w:hAnsi="宋体" w:eastAsia="宋体" w:cs="宋体"/>
                <w:spacing w:val="1"/>
                <w:sz w:val="20"/>
                <w:szCs w:val="20"/>
              </w:rPr>
              <w:t>3、公务接待</w:t>
            </w:r>
          </w:p>
        </w:tc>
        <w:tc>
          <w:tcPr>
            <w:tcW w:w="2008" w:type="dxa"/>
            <w:gridSpan w:val="2"/>
            <w:vAlign w:val="center"/>
          </w:tcPr>
          <w:p w14:paraId="041F2485">
            <w:pPr>
              <w:pStyle w:val="8"/>
              <w:jc w:val="center"/>
              <w:rPr>
                <w:rFonts w:hint="default" w:eastAsia="宋体"/>
                <w:lang w:val="en-US" w:eastAsia="zh-CN"/>
              </w:rPr>
            </w:pPr>
            <w:r>
              <w:rPr>
                <w:rFonts w:hint="eastAsia" w:eastAsia="宋体"/>
                <w:lang w:val="en-US" w:eastAsia="zh-CN"/>
              </w:rPr>
              <w:t>0.0358</w:t>
            </w:r>
          </w:p>
        </w:tc>
        <w:tc>
          <w:tcPr>
            <w:tcW w:w="2168" w:type="dxa"/>
            <w:gridSpan w:val="2"/>
            <w:vAlign w:val="center"/>
          </w:tcPr>
          <w:p w14:paraId="62A88E09">
            <w:pPr>
              <w:pStyle w:val="8"/>
              <w:jc w:val="center"/>
            </w:pPr>
          </w:p>
        </w:tc>
        <w:tc>
          <w:tcPr>
            <w:tcW w:w="1843" w:type="dxa"/>
            <w:gridSpan w:val="2"/>
            <w:vAlign w:val="center"/>
          </w:tcPr>
          <w:p w14:paraId="35D2849A">
            <w:pPr>
              <w:pStyle w:val="8"/>
              <w:jc w:val="center"/>
            </w:pPr>
          </w:p>
        </w:tc>
      </w:tr>
      <w:tr w14:paraId="4257B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jc w:val="center"/>
        </w:trPr>
        <w:tc>
          <w:tcPr>
            <w:tcW w:w="3321" w:type="dxa"/>
            <w:vAlign w:val="center"/>
          </w:tcPr>
          <w:p w14:paraId="1F931DC9">
            <w:pPr>
              <w:spacing w:before="102" w:line="220" w:lineRule="auto"/>
              <w:ind w:left="455"/>
              <w:jc w:val="center"/>
              <w:rPr>
                <w:rFonts w:ascii="宋体" w:hAnsi="宋体" w:eastAsia="宋体" w:cs="宋体"/>
                <w:sz w:val="20"/>
                <w:szCs w:val="20"/>
              </w:rPr>
            </w:pPr>
            <w:r>
              <w:rPr>
                <w:rFonts w:ascii="宋体" w:hAnsi="宋体" w:eastAsia="宋体" w:cs="宋体"/>
                <w:spacing w:val="-1"/>
                <w:sz w:val="20"/>
                <w:szCs w:val="20"/>
              </w:rPr>
              <w:t>项目支出：</w:t>
            </w:r>
          </w:p>
        </w:tc>
        <w:tc>
          <w:tcPr>
            <w:tcW w:w="2008" w:type="dxa"/>
            <w:gridSpan w:val="2"/>
            <w:vAlign w:val="center"/>
          </w:tcPr>
          <w:p w14:paraId="54B6DB75">
            <w:pPr>
              <w:pStyle w:val="8"/>
              <w:jc w:val="center"/>
              <w:rPr>
                <w:rFonts w:hint="eastAsia" w:eastAsia="宋体"/>
                <w:lang w:val="en-US" w:eastAsia="zh-CN"/>
              </w:rPr>
            </w:pPr>
            <w:r>
              <w:rPr>
                <w:rFonts w:hint="eastAsia" w:eastAsia="宋体"/>
                <w:lang w:val="en-US" w:eastAsia="zh-CN"/>
              </w:rPr>
              <w:t>0</w:t>
            </w:r>
          </w:p>
        </w:tc>
        <w:tc>
          <w:tcPr>
            <w:tcW w:w="2168" w:type="dxa"/>
            <w:gridSpan w:val="2"/>
            <w:vAlign w:val="center"/>
          </w:tcPr>
          <w:p w14:paraId="40008F95">
            <w:pPr>
              <w:pStyle w:val="8"/>
              <w:jc w:val="center"/>
              <w:rPr>
                <w:rFonts w:hint="default" w:eastAsia="宋体"/>
                <w:lang w:val="en-US" w:eastAsia="zh-CN"/>
              </w:rPr>
            </w:pPr>
            <w:r>
              <w:rPr>
                <w:rFonts w:hint="eastAsia" w:eastAsia="宋体"/>
                <w:lang w:val="en-US" w:eastAsia="zh-CN"/>
              </w:rPr>
              <w:t>14.94</w:t>
            </w:r>
          </w:p>
        </w:tc>
        <w:tc>
          <w:tcPr>
            <w:tcW w:w="1843" w:type="dxa"/>
            <w:gridSpan w:val="2"/>
            <w:vAlign w:val="center"/>
          </w:tcPr>
          <w:p w14:paraId="60550912">
            <w:pPr>
              <w:pStyle w:val="8"/>
              <w:jc w:val="center"/>
              <w:rPr>
                <w:rFonts w:hint="default" w:eastAsia="宋体"/>
                <w:lang w:val="en-US" w:eastAsia="zh-CN"/>
              </w:rPr>
            </w:pPr>
            <w:r>
              <w:rPr>
                <w:rFonts w:hint="eastAsia" w:eastAsia="宋体"/>
                <w:lang w:val="en-US" w:eastAsia="zh-CN"/>
              </w:rPr>
              <w:t>14.94</w:t>
            </w:r>
          </w:p>
        </w:tc>
      </w:tr>
      <w:tr w14:paraId="25E0D8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jc w:val="center"/>
        </w:trPr>
        <w:tc>
          <w:tcPr>
            <w:tcW w:w="3321" w:type="dxa"/>
            <w:vAlign w:val="center"/>
          </w:tcPr>
          <w:p w14:paraId="6CD59DA2">
            <w:pPr>
              <w:spacing w:before="113" w:line="219" w:lineRule="auto"/>
              <w:ind w:left="455"/>
              <w:jc w:val="center"/>
              <w:rPr>
                <w:rFonts w:ascii="宋体" w:hAnsi="宋体" w:eastAsia="宋体" w:cs="宋体"/>
                <w:sz w:val="20"/>
                <w:szCs w:val="20"/>
              </w:rPr>
            </w:pPr>
            <w:r>
              <w:rPr>
                <w:rFonts w:ascii="宋体" w:hAnsi="宋体" w:eastAsia="宋体" w:cs="宋体"/>
                <w:spacing w:val="1"/>
                <w:sz w:val="20"/>
                <w:szCs w:val="20"/>
              </w:rPr>
              <w:t>1、业务工作经费</w:t>
            </w:r>
          </w:p>
        </w:tc>
        <w:tc>
          <w:tcPr>
            <w:tcW w:w="2008" w:type="dxa"/>
            <w:gridSpan w:val="2"/>
            <w:vAlign w:val="center"/>
          </w:tcPr>
          <w:p w14:paraId="45331DB6">
            <w:pPr>
              <w:pStyle w:val="8"/>
              <w:jc w:val="center"/>
            </w:pPr>
          </w:p>
        </w:tc>
        <w:tc>
          <w:tcPr>
            <w:tcW w:w="2168" w:type="dxa"/>
            <w:gridSpan w:val="2"/>
            <w:shd w:val="clear" w:color="auto" w:fill="auto"/>
            <w:vAlign w:val="center"/>
          </w:tcPr>
          <w:p w14:paraId="7E3B3AC2">
            <w:pPr>
              <w:pStyle w:val="8"/>
              <w:jc w:val="center"/>
              <w:rPr>
                <w:rFonts w:hint="default" w:ascii="Arial" w:hAnsi="Arial" w:eastAsia="宋体" w:cs="Arial"/>
                <w:snapToGrid w:val="0"/>
                <w:color w:val="000000"/>
                <w:kern w:val="0"/>
                <w:sz w:val="21"/>
                <w:szCs w:val="21"/>
                <w:lang w:val="en-US" w:eastAsia="zh-CN" w:bidi="ar-SA"/>
              </w:rPr>
            </w:pPr>
            <w:r>
              <w:rPr>
                <w:rFonts w:hint="eastAsia" w:eastAsia="宋体"/>
                <w:lang w:val="en-US" w:eastAsia="zh-CN"/>
              </w:rPr>
              <w:t>14.94</w:t>
            </w:r>
          </w:p>
        </w:tc>
        <w:tc>
          <w:tcPr>
            <w:tcW w:w="1843" w:type="dxa"/>
            <w:gridSpan w:val="2"/>
            <w:shd w:val="clear" w:color="auto" w:fill="auto"/>
            <w:vAlign w:val="center"/>
          </w:tcPr>
          <w:p w14:paraId="7101484C">
            <w:pPr>
              <w:pStyle w:val="8"/>
              <w:jc w:val="center"/>
              <w:rPr>
                <w:rFonts w:hint="default" w:ascii="Arial" w:hAnsi="Arial" w:eastAsia="宋体" w:cs="Arial"/>
                <w:snapToGrid w:val="0"/>
                <w:color w:val="000000"/>
                <w:kern w:val="0"/>
                <w:sz w:val="21"/>
                <w:szCs w:val="21"/>
                <w:lang w:val="en-US" w:eastAsia="zh-CN" w:bidi="ar-SA"/>
              </w:rPr>
            </w:pPr>
            <w:r>
              <w:rPr>
                <w:rFonts w:hint="eastAsia" w:eastAsia="宋体"/>
                <w:lang w:val="en-US" w:eastAsia="zh-CN"/>
              </w:rPr>
              <w:t>14.94</w:t>
            </w:r>
          </w:p>
        </w:tc>
      </w:tr>
      <w:tr w14:paraId="2B460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jc w:val="center"/>
        </w:trPr>
        <w:tc>
          <w:tcPr>
            <w:tcW w:w="3321" w:type="dxa"/>
            <w:vAlign w:val="center"/>
          </w:tcPr>
          <w:p w14:paraId="74C37684">
            <w:pPr>
              <w:spacing w:before="103" w:line="220" w:lineRule="auto"/>
              <w:ind w:left="455"/>
              <w:jc w:val="center"/>
              <w:rPr>
                <w:rFonts w:ascii="宋体" w:hAnsi="宋体" w:eastAsia="宋体" w:cs="宋体"/>
                <w:sz w:val="20"/>
                <w:szCs w:val="20"/>
              </w:rPr>
            </w:pPr>
            <w:r>
              <w:rPr>
                <w:rFonts w:ascii="宋体" w:hAnsi="宋体" w:eastAsia="宋体" w:cs="宋体"/>
                <w:spacing w:val="1"/>
                <w:sz w:val="20"/>
                <w:szCs w:val="20"/>
              </w:rPr>
              <w:t>2、运行维护经费</w:t>
            </w:r>
          </w:p>
        </w:tc>
        <w:tc>
          <w:tcPr>
            <w:tcW w:w="2008" w:type="dxa"/>
            <w:gridSpan w:val="2"/>
            <w:vAlign w:val="center"/>
          </w:tcPr>
          <w:p w14:paraId="24E1E607">
            <w:pPr>
              <w:pStyle w:val="8"/>
              <w:jc w:val="center"/>
            </w:pPr>
          </w:p>
        </w:tc>
        <w:tc>
          <w:tcPr>
            <w:tcW w:w="2168" w:type="dxa"/>
            <w:gridSpan w:val="2"/>
            <w:vAlign w:val="center"/>
          </w:tcPr>
          <w:p w14:paraId="7BF600E8">
            <w:pPr>
              <w:pStyle w:val="8"/>
              <w:jc w:val="center"/>
            </w:pPr>
          </w:p>
        </w:tc>
        <w:tc>
          <w:tcPr>
            <w:tcW w:w="1843" w:type="dxa"/>
            <w:gridSpan w:val="2"/>
            <w:vAlign w:val="center"/>
          </w:tcPr>
          <w:p w14:paraId="49C1A443">
            <w:pPr>
              <w:pStyle w:val="8"/>
              <w:jc w:val="center"/>
            </w:pPr>
          </w:p>
        </w:tc>
      </w:tr>
      <w:tr w14:paraId="7DECBC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jc w:val="center"/>
        </w:trPr>
        <w:tc>
          <w:tcPr>
            <w:tcW w:w="3321" w:type="dxa"/>
            <w:vMerge w:val="restart"/>
            <w:tcBorders>
              <w:bottom w:val="nil"/>
            </w:tcBorders>
            <w:vAlign w:val="center"/>
          </w:tcPr>
          <w:p w14:paraId="353A6C3F">
            <w:pPr>
              <w:spacing w:before="93" w:line="219" w:lineRule="auto"/>
              <w:ind w:left="455"/>
              <w:jc w:val="center"/>
              <w:rPr>
                <w:rFonts w:ascii="宋体" w:hAnsi="宋体" w:eastAsia="宋体" w:cs="宋体"/>
                <w:sz w:val="20"/>
                <w:szCs w:val="20"/>
              </w:rPr>
            </w:pPr>
            <w:r>
              <w:rPr>
                <w:rFonts w:ascii="宋体" w:hAnsi="宋体" w:eastAsia="宋体" w:cs="宋体"/>
                <w:spacing w:val="1"/>
                <w:sz w:val="20"/>
                <w:szCs w:val="20"/>
              </w:rPr>
              <w:t>3、市级专项资金</w:t>
            </w:r>
          </w:p>
          <w:p w14:paraId="543692DE">
            <w:pPr>
              <w:spacing w:before="32" w:line="219" w:lineRule="auto"/>
              <w:ind w:left="795"/>
              <w:jc w:val="center"/>
              <w:rPr>
                <w:rFonts w:ascii="宋体" w:hAnsi="宋体" w:eastAsia="宋体" w:cs="宋体"/>
                <w:sz w:val="20"/>
                <w:szCs w:val="20"/>
              </w:rPr>
            </w:pPr>
            <w:r>
              <w:rPr>
                <w:rFonts w:ascii="宋体" w:hAnsi="宋体" w:eastAsia="宋体" w:cs="宋体"/>
                <w:spacing w:val="5"/>
                <w:sz w:val="20"/>
                <w:szCs w:val="20"/>
              </w:rPr>
              <w:t>(一个专项一行)</w:t>
            </w:r>
          </w:p>
        </w:tc>
        <w:tc>
          <w:tcPr>
            <w:tcW w:w="2008" w:type="dxa"/>
            <w:gridSpan w:val="2"/>
            <w:vAlign w:val="center"/>
          </w:tcPr>
          <w:p w14:paraId="39EF7C80">
            <w:pPr>
              <w:pStyle w:val="8"/>
              <w:jc w:val="center"/>
            </w:pPr>
          </w:p>
        </w:tc>
        <w:tc>
          <w:tcPr>
            <w:tcW w:w="2168" w:type="dxa"/>
            <w:gridSpan w:val="2"/>
            <w:vAlign w:val="center"/>
          </w:tcPr>
          <w:p w14:paraId="043C24D9">
            <w:pPr>
              <w:pStyle w:val="8"/>
              <w:jc w:val="center"/>
            </w:pPr>
          </w:p>
        </w:tc>
        <w:tc>
          <w:tcPr>
            <w:tcW w:w="1843" w:type="dxa"/>
            <w:gridSpan w:val="2"/>
            <w:vMerge w:val="restart"/>
            <w:tcBorders>
              <w:bottom w:val="nil"/>
            </w:tcBorders>
            <w:vAlign w:val="center"/>
          </w:tcPr>
          <w:p w14:paraId="516AE72B">
            <w:pPr>
              <w:pStyle w:val="8"/>
              <w:jc w:val="center"/>
            </w:pPr>
          </w:p>
        </w:tc>
      </w:tr>
      <w:tr w14:paraId="43AA4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3321" w:type="dxa"/>
            <w:vMerge w:val="continue"/>
            <w:tcBorders>
              <w:top w:val="nil"/>
            </w:tcBorders>
            <w:vAlign w:val="center"/>
          </w:tcPr>
          <w:p w14:paraId="25E80739">
            <w:pPr>
              <w:pStyle w:val="8"/>
              <w:jc w:val="center"/>
            </w:pPr>
          </w:p>
        </w:tc>
        <w:tc>
          <w:tcPr>
            <w:tcW w:w="2008" w:type="dxa"/>
            <w:gridSpan w:val="2"/>
            <w:vAlign w:val="center"/>
          </w:tcPr>
          <w:p w14:paraId="7836681F">
            <w:pPr>
              <w:pStyle w:val="8"/>
              <w:spacing w:line="230" w:lineRule="exact"/>
              <w:jc w:val="center"/>
              <w:rPr>
                <w:sz w:val="20"/>
              </w:rPr>
            </w:pPr>
          </w:p>
        </w:tc>
        <w:tc>
          <w:tcPr>
            <w:tcW w:w="2168" w:type="dxa"/>
            <w:gridSpan w:val="2"/>
            <w:vAlign w:val="center"/>
          </w:tcPr>
          <w:p w14:paraId="7615C370">
            <w:pPr>
              <w:pStyle w:val="8"/>
              <w:spacing w:line="230" w:lineRule="exact"/>
              <w:jc w:val="center"/>
              <w:rPr>
                <w:sz w:val="20"/>
              </w:rPr>
            </w:pPr>
          </w:p>
        </w:tc>
        <w:tc>
          <w:tcPr>
            <w:tcW w:w="1843" w:type="dxa"/>
            <w:gridSpan w:val="2"/>
            <w:vMerge w:val="continue"/>
            <w:tcBorders>
              <w:top w:val="nil"/>
            </w:tcBorders>
            <w:vAlign w:val="center"/>
          </w:tcPr>
          <w:p w14:paraId="1D1C7233">
            <w:pPr>
              <w:pStyle w:val="8"/>
              <w:jc w:val="center"/>
            </w:pPr>
          </w:p>
        </w:tc>
      </w:tr>
      <w:tr w14:paraId="3AD21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jc w:val="center"/>
        </w:trPr>
        <w:tc>
          <w:tcPr>
            <w:tcW w:w="3321" w:type="dxa"/>
            <w:vAlign w:val="center"/>
          </w:tcPr>
          <w:p w14:paraId="5CFC4F22">
            <w:pPr>
              <w:spacing w:before="114" w:line="219" w:lineRule="auto"/>
              <w:ind w:left="455"/>
              <w:jc w:val="center"/>
              <w:rPr>
                <w:rFonts w:ascii="宋体" w:hAnsi="宋体" w:eastAsia="宋体" w:cs="宋体"/>
                <w:sz w:val="20"/>
                <w:szCs w:val="20"/>
              </w:rPr>
            </w:pPr>
            <w:r>
              <w:rPr>
                <w:rFonts w:ascii="宋体" w:hAnsi="宋体" w:eastAsia="宋体" w:cs="宋体"/>
                <w:spacing w:val="-1"/>
                <w:sz w:val="20"/>
                <w:szCs w:val="20"/>
              </w:rPr>
              <w:t>4、其他事业类发展资金</w:t>
            </w:r>
          </w:p>
        </w:tc>
        <w:tc>
          <w:tcPr>
            <w:tcW w:w="2008" w:type="dxa"/>
            <w:gridSpan w:val="2"/>
            <w:vAlign w:val="center"/>
          </w:tcPr>
          <w:p w14:paraId="5E4FCE88">
            <w:pPr>
              <w:pStyle w:val="8"/>
              <w:jc w:val="center"/>
            </w:pPr>
          </w:p>
        </w:tc>
        <w:tc>
          <w:tcPr>
            <w:tcW w:w="2168" w:type="dxa"/>
            <w:gridSpan w:val="2"/>
            <w:vAlign w:val="center"/>
          </w:tcPr>
          <w:p w14:paraId="71508B9D">
            <w:pPr>
              <w:pStyle w:val="8"/>
              <w:jc w:val="center"/>
            </w:pPr>
          </w:p>
        </w:tc>
        <w:tc>
          <w:tcPr>
            <w:tcW w:w="1843" w:type="dxa"/>
            <w:gridSpan w:val="2"/>
            <w:vAlign w:val="center"/>
          </w:tcPr>
          <w:p w14:paraId="3EFEC9F4">
            <w:pPr>
              <w:pStyle w:val="8"/>
              <w:jc w:val="center"/>
            </w:pPr>
          </w:p>
        </w:tc>
      </w:tr>
      <w:tr w14:paraId="59E86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3321" w:type="dxa"/>
            <w:vAlign w:val="center"/>
          </w:tcPr>
          <w:p w14:paraId="76692A48">
            <w:pPr>
              <w:pStyle w:val="8"/>
              <w:jc w:val="center"/>
            </w:pPr>
          </w:p>
        </w:tc>
        <w:tc>
          <w:tcPr>
            <w:tcW w:w="2008" w:type="dxa"/>
            <w:gridSpan w:val="2"/>
            <w:vAlign w:val="center"/>
          </w:tcPr>
          <w:p w14:paraId="3D8B4834">
            <w:pPr>
              <w:pStyle w:val="8"/>
              <w:jc w:val="center"/>
            </w:pPr>
          </w:p>
        </w:tc>
        <w:tc>
          <w:tcPr>
            <w:tcW w:w="2168" w:type="dxa"/>
            <w:gridSpan w:val="2"/>
            <w:vAlign w:val="center"/>
          </w:tcPr>
          <w:p w14:paraId="2C27C338">
            <w:pPr>
              <w:pStyle w:val="8"/>
              <w:jc w:val="center"/>
            </w:pPr>
          </w:p>
        </w:tc>
        <w:tc>
          <w:tcPr>
            <w:tcW w:w="1843" w:type="dxa"/>
            <w:gridSpan w:val="2"/>
            <w:vAlign w:val="center"/>
          </w:tcPr>
          <w:p w14:paraId="32A01B45">
            <w:pPr>
              <w:pStyle w:val="8"/>
              <w:jc w:val="center"/>
            </w:pPr>
          </w:p>
        </w:tc>
      </w:tr>
      <w:tr w14:paraId="4C90ED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jc w:val="center"/>
        </w:trPr>
        <w:tc>
          <w:tcPr>
            <w:tcW w:w="3321" w:type="dxa"/>
            <w:vAlign w:val="center"/>
          </w:tcPr>
          <w:p w14:paraId="55F7BABF">
            <w:pPr>
              <w:spacing w:before="104" w:line="220" w:lineRule="auto"/>
              <w:ind w:left="455"/>
              <w:jc w:val="center"/>
              <w:rPr>
                <w:rFonts w:ascii="宋体" w:hAnsi="宋体" w:eastAsia="宋体" w:cs="宋体"/>
                <w:sz w:val="20"/>
                <w:szCs w:val="20"/>
              </w:rPr>
            </w:pPr>
            <w:r>
              <w:rPr>
                <w:rFonts w:ascii="宋体" w:hAnsi="宋体" w:eastAsia="宋体" w:cs="宋体"/>
                <w:spacing w:val="3"/>
                <w:sz w:val="20"/>
                <w:szCs w:val="20"/>
              </w:rPr>
              <w:t>公用经费</w:t>
            </w:r>
          </w:p>
        </w:tc>
        <w:tc>
          <w:tcPr>
            <w:tcW w:w="2008" w:type="dxa"/>
            <w:gridSpan w:val="2"/>
            <w:vAlign w:val="center"/>
          </w:tcPr>
          <w:p w14:paraId="6DF6F220">
            <w:pPr>
              <w:pStyle w:val="8"/>
              <w:jc w:val="center"/>
              <w:rPr>
                <w:rFonts w:hint="default" w:eastAsia="宋体"/>
                <w:lang w:val="en-US" w:eastAsia="zh-CN"/>
              </w:rPr>
            </w:pPr>
            <w:r>
              <w:rPr>
                <w:rFonts w:hint="eastAsia" w:eastAsia="宋体"/>
                <w:lang w:val="en-US" w:eastAsia="zh-CN"/>
              </w:rPr>
              <w:t>10.89</w:t>
            </w:r>
          </w:p>
        </w:tc>
        <w:tc>
          <w:tcPr>
            <w:tcW w:w="2168" w:type="dxa"/>
            <w:gridSpan w:val="2"/>
            <w:vAlign w:val="center"/>
          </w:tcPr>
          <w:p w14:paraId="7E0ED31E">
            <w:pPr>
              <w:pStyle w:val="8"/>
              <w:jc w:val="center"/>
              <w:rPr>
                <w:rFonts w:hint="default" w:eastAsia="仿宋_GB2312"/>
                <w:lang w:val="en-US" w:eastAsia="zh-CN"/>
              </w:rPr>
            </w:pPr>
            <w:r>
              <w:rPr>
                <w:rFonts w:hint="eastAsia" w:eastAsia="宋体"/>
                <w:lang w:val="en-US" w:eastAsia="zh-CN"/>
              </w:rPr>
              <w:t>18.9</w:t>
            </w:r>
          </w:p>
        </w:tc>
        <w:tc>
          <w:tcPr>
            <w:tcW w:w="1843" w:type="dxa"/>
            <w:gridSpan w:val="2"/>
            <w:vAlign w:val="center"/>
          </w:tcPr>
          <w:p w14:paraId="67E0299C">
            <w:pPr>
              <w:pStyle w:val="8"/>
              <w:jc w:val="center"/>
              <w:rPr>
                <w:rFonts w:hint="default" w:eastAsia="宋体"/>
                <w:lang w:val="en-US" w:eastAsia="zh-CN"/>
              </w:rPr>
            </w:pPr>
            <w:r>
              <w:rPr>
                <w:rFonts w:hint="eastAsia" w:eastAsia="宋体"/>
                <w:lang w:val="en-US" w:eastAsia="zh-CN"/>
              </w:rPr>
              <w:t>18.9</w:t>
            </w:r>
          </w:p>
        </w:tc>
      </w:tr>
      <w:tr w14:paraId="4A0024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jc w:val="center"/>
        </w:trPr>
        <w:tc>
          <w:tcPr>
            <w:tcW w:w="3321" w:type="dxa"/>
            <w:vAlign w:val="center"/>
          </w:tcPr>
          <w:p w14:paraId="3A2D6D72">
            <w:pPr>
              <w:spacing w:before="105" w:line="219" w:lineRule="auto"/>
              <w:ind w:left="455"/>
              <w:jc w:val="center"/>
              <w:rPr>
                <w:rFonts w:ascii="宋体" w:hAnsi="宋体" w:eastAsia="宋体" w:cs="宋体"/>
                <w:sz w:val="20"/>
                <w:szCs w:val="20"/>
              </w:rPr>
            </w:pPr>
            <w:r>
              <w:rPr>
                <w:rFonts w:ascii="宋体" w:hAnsi="宋体" w:eastAsia="宋体" w:cs="宋体"/>
                <w:spacing w:val="2"/>
                <w:sz w:val="20"/>
                <w:szCs w:val="20"/>
              </w:rPr>
              <w:t>其中：办公费</w:t>
            </w:r>
          </w:p>
        </w:tc>
        <w:tc>
          <w:tcPr>
            <w:tcW w:w="2008" w:type="dxa"/>
            <w:gridSpan w:val="2"/>
            <w:vAlign w:val="center"/>
          </w:tcPr>
          <w:p w14:paraId="750140C3">
            <w:pPr>
              <w:pStyle w:val="8"/>
              <w:jc w:val="center"/>
            </w:pPr>
          </w:p>
        </w:tc>
        <w:tc>
          <w:tcPr>
            <w:tcW w:w="2168" w:type="dxa"/>
            <w:gridSpan w:val="2"/>
            <w:vAlign w:val="center"/>
          </w:tcPr>
          <w:p w14:paraId="105F947B">
            <w:pPr>
              <w:pStyle w:val="8"/>
              <w:jc w:val="center"/>
            </w:pPr>
          </w:p>
        </w:tc>
        <w:tc>
          <w:tcPr>
            <w:tcW w:w="1843" w:type="dxa"/>
            <w:gridSpan w:val="2"/>
            <w:vAlign w:val="center"/>
          </w:tcPr>
          <w:p w14:paraId="1BFBE8E2">
            <w:pPr>
              <w:pStyle w:val="8"/>
              <w:jc w:val="center"/>
            </w:pPr>
          </w:p>
        </w:tc>
      </w:tr>
      <w:tr w14:paraId="70FB0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jc w:val="center"/>
        </w:trPr>
        <w:tc>
          <w:tcPr>
            <w:tcW w:w="3321" w:type="dxa"/>
            <w:vAlign w:val="center"/>
          </w:tcPr>
          <w:p w14:paraId="15136D19">
            <w:pPr>
              <w:spacing w:before="105" w:line="219" w:lineRule="auto"/>
              <w:ind w:left="1065"/>
              <w:jc w:val="center"/>
              <w:rPr>
                <w:rFonts w:ascii="宋体" w:hAnsi="宋体" w:eastAsia="宋体" w:cs="宋体"/>
                <w:sz w:val="20"/>
                <w:szCs w:val="20"/>
              </w:rPr>
            </w:pPr>
            <w:r>
              <w:rPr>
                <w:rFonts w:ascii="宋体" w:hAnsi="宋体" w:eastAsia="宋体" w:cs="宋体"/>
                <w:spacing w:val="1"/>
                <w:sz w:val="20"/>
                <w:szCs w:val="20"/>
              </w:rPr>
              <w:t>水费、电费、差旅费</w:t>
            </w:r>
          </w:p>
        </w:tc>
        <w:tc>
          <w:tcPr>
            <w:tcW w:w="2008" w:type="dxa"/>
            <w:gridSpan w:val="2"/>
            <w:vAlign w:val="center"/>
          </w:tcPr>
          <w:p w14:paraId="03C456EE">
            <w:pPr>
              <w:pStyle w:val="8"/>
              <w:jc w:val="center"/>
            </w:pPr>
          </w:p>
        </w:tc>
        <w:tc>
          <w:tcPr>
            <w:tcW w:w="2168" w:type="dxa"/>
            <w:gridSpan w:val="2"/>
            <w:vAlign w:val="center"/>
          </w:tcPr>
          <w:p w14:paraId="7900866B">
            <w:pPr>
              <w:pStyle w:val="8"/>
              <w:jc w:val="center"/>
            </w:pPr>
          </w:p>
        </w:tc>
        <w:tc>
          <w:tcPr>
            <w:tcW w:w="1843" w:type="dxa"/>
            <w:gridSpan w:val="2"/>
            <w:vAlign w:val="center"/>
          </w:tcPr>
          <w:p w14:paraId="23AC0D61">
            <w:pPr>
              <w:pStyle w:val="8"/>
              <w:jc w:val="center"/>
            </w:pPr>
          </w:p>
        </w:tc>
      </w:tr>
      <w:tr w14:paraId="19433F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3321" w:type="dxa"/>
            <w:vAlign w:val="center"/>
          </w:tcPr>
          <w:p w14:paraId="78C5A3CD">
            <w:pPr>
              <w:spacing w:before="74" w:line="219" w:lineRule="auto"/>
              <w:ind w:left="1095"/>
              <w:jc w:val="center"/>
              <w:rPr>
                <w:rFonts w:ascii="宋体" w:hAnsi="宋体" w:eastAsia="宋体" w:cs="宋体"/>
                <w:sz w:val="20"/>
                <w:szCs w:val="20"/>
              </w:rPr>
            </w:pPr>
            <w:r>
              <w:rPr>
                <w:rFonts w:ascii="宋体" w:hAnsi="宋体" w:eastAsia="宋体" w:cs="宋体"/>
                <w:spacing w:val="-1"/>
                <w:sz w:val="20"/>
                <w:szCs w:val="20"/>
              </w:rPr>
              <w:t>会议费、培训费</w:t>
            </w:r>
          </w:p>
        </w:tc>
        <w:tc>
          <w:tcPr>
            <w:tcW w:w="2008" w:type="dxa"/>
            <w:gridSpan w:val="2"/>
            <w:vAlign w:val="center"/>
          </w:tcPr>
          <w:p w14:paraId="09DD8285">
            <w:pPr>
              <w:pStyle w:val="8"/>
              <w:jc w:val="center"/>
            </w:pPr>
          </w:p>
        </w:tc>
        <w:tc>
          <w:tcPr>
            <w:tcW w:w="2168" w:type="dxa"/>
            <w:gridSpan w:val="2"/>
            <w:vAlign w:val="center"/>
          </w:tcPr>
          <w:p w14:paraId="5598532A">
            <w:pPr>
              <w:pStyle w:val="8"/>
              <w:jc w:val="center"/>
            </w:pPr>
          </w:p>
        </w:tc>
        <w:tc>
          <w:tcPr>
            <w:tcW w:w="1843" w:type="dxa"/>
            <w:gridSpan w:val="2"/>
            <w:vAlign w:val="center"/>
          </w:tcPr>
          <w:p w14:paraId="59F15B47">
            <w:pPr>
              <w:pStyle w:val="8"/>
              <w:jc w:val="center"/>
            </w:pPr>
          </w:p>
        </w:tc>
      </w:tr>
      <w:tr w14:paraId="42D7D7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jc w:val="center"/>
        </w:trPr>
        <w:tc>
          <w:tcPr>
            <w:tcW w:w="3321" w:type="dxa"/>
            <w:vAlign w:val="center"/>
          </w:tcPr>
          <w:p w14:paraId="7353CB9C">
            <w:pPr>
              <w:spacing w:before="104" w:line="219" w:lineRule="auto"/>
              <w:ind w:left="455"/>
              <w:jc w:val="center"/>
              <w:rPr>
                <w:rFonts w:ascii="宋体" w:hAnsi="宋体" w:eastAsia="宋体" w:cs="宋体"/>
                <w:sz w:val="20"/>
                <w:szCs w:val="20"/>
              </w:rPr>
            </w:pPr>
            <w:r>
              <w:rPr>
                <w:rFonts w:ascii="宋体" w:hAnsi="宋体" w:eastAsia="宋体" w:cs="宋体"/>
                <w:spacing w:val="-1"/>
                <w:sz w:val="20"/>
                <w:szCs w:val="20"/>
              </w:rPr>
              <w:t>政府采购金额</w:t>
            </w:r>
          </w:p>
        </w:tc>
        <w:tc>
          <w:tcPr>
            <w:tcW w:w="2008" w:type="dxa"/>
            <w:gridSpan w:val="2"/>
            <w:vAlign w:val="center"/>
          </w:tcPr>
          <w:p w14:paraId="2C9A5E23">
            <w:pPr>
              <w:pStyle w:val="8"/>
              <w:jc w:val="center"/>
            </w:pPr>
          </w:p>
        </w:tc>
        <w:tc>
          <w:tcPr>
            <w:tcW w:w="2168" w:type="dxa"/>
            <w:gridSpan w:val="2"/>
            <w:vAlign w:val="center"/>
          </w:tcPr>
          <w:p w14:paraId="6B5E9E2D">
            <w:pPr>
              <w:pStyle w:val="8"/>
              <w:jc w:val="center"/>
            </w:pPr>
          </w:p>
        </w:tc>
        <w:tc>
          <w:tcPr>
            <w:tcW w:w="1843" w:type="dxa"/>
            <w:gridSpan w:val="2"/>
            <w:vAlign w:val="center"/>
          </w:tcPr>
          <w:p w14:paraId="77119F17">
            <w:pPr>
              <w:pStyle w:val="8"/>
              <w:jc w:val="center"/>
            </w:pPr>
          </w:p>
        </w:tc>
      </w:tr>
      <w:tr w14:paraId="038DB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3321" w:type="dxa"/>
            <w:vAlign w:val="center"/>
          </w:tcPr>
          <w:p w14:paraId="0A4ED23C">
            <w:pPr>
              <w:spacing w:before="105" w:line="219" w:lineRule="auto"/>
              <w:ind w:left="455"/>
              <w:jc w:val="center"/>
              <w:rPr>
                <w:rFonts w:ascii="宋体" w:hAnsi="宋体" w:eastAsia="宋体" w:cs="宋体"/>
                <w:sz w:val="20"/>
                <w:szCs w:val="20"/>
              </w:rPr>
            </w:pPr>
            <w:r>
              <w:rPr>
                <w:rFonts w:ascii="宋体" w:hAnsi="宋体" w:eastAsia="宋体" w:cs="宋体"/>
                <w:spacing w:val="1"/>
                <w:sz w:val="20"/>
                <w:szCs w:val="20"/>
              </w:rPr>
              <w:t>部门基本支出预算调整</w:t>
            </w:r>
          </w:p>
        </w:tc>
        <w:tc>
          <w:tcPr>
            <w:tcW w:w="2008" w:type="dxa"/>
            <w:gridSpan w:val="2"/>
            <w:vAlign w:val="center"/>
          </w:tcPr>
          <w:p w14:paraId="6D96C7C3">
            <w:pPr>
              <w:pStyle w:val="8"/>
              <w:jc w:val="center"/>
            </w:pPr>
          </w:p>
        </w:tc>
        <w:tc>
          <w:tcPr>
            <w:tcW w:w="2168" w:type="dxa"/>
            <w:gridSpan w:val="2"/>
            <w:vAlign w:val="center"/>
          </w:tcPr>
          <w:p w14:paraId="47AA6567">
            <w:pPr>
              <w:pStyle w:val="8"/>
              <w:jc w:val="center"/>
            </w:pPr>
          </w:p>
        </w:tc>
        <w:tc>
          <w:tcPr>
            <w:tcW w:w="1843" w:type="dxa"/>
            <w:gridSpan w:val="2"/>
            <w:vAlign w:val="center"/>
          </w:tcPr>
          <w:p w14:paraId="55AF81BF">
            <w:pPr>
              <w:pStyle w:val="8"/>
              <w:jc w:val="center"/>
            </w:pPr>
          </w:p>
        </w:tc>
      </w:tr>
      <w:tr w14:paraId="43C72B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jc w:val="center"/>
        </w:trPr>
        <w:tc>
          <w:tcPr>
            <w:tcW w:w="3321" w:type="dxa"/>
            <w:vMerge w:val="restart"/>
            <w:tcBorders>
              <w:bottom w:val="nil"/>
            </w:tcBorders>
            <w:vAlign w:val="center"/>
          </w:tcPr>
          <w:p w14:paraId="149A6133">
            <w:pPr>
              <w:pStyle w:val="8"/>
              <w:spacing w:line="250" w:lineRule="auto"/>
              <w:jc w:val="center"/>
            </w:pPr>
          </w:p>
          <w:p w14:paraId="753BA2EC">
            <w:pPr>
              <w:spacing w:before="65" w:line="219" w:lineRule="auto"/>
              <w:ind w:left="845"/>
              <w:jc w:val="center"/>
              <w:rPr>
                <w:rFonts w:ascii="宋体" w:hAnsi="宋体" w:eastAsia="宋体" w:cs="宋体"/>
                <w:sz w:val="20"/>
                <w:szCs w:val="20"/>
              </w:rPr>
            </w:pPr>
            <w:r>
              <w:rPr>
                <w:rFonts w:ascii="宋体" w:hAnsi="宋体" w:eastAsia="宋体" w:cs="宋体"/>
                <w:spacing w:val="-1"/>
                <w:sz w:val="20"/>
                <w:szCs w:val="20"/>
              </w:rPr>
              <w:t>楼堂馆所控制情况</w:t>
            </w:r>
          </w:p>
        </w:tc>
        <w:tc>
          <w:tcPr>
            <w:tcW w:w="1179" w:type="dxa"/>
            <w:vAlign w:val="center"/>
          </w:tcPr>
          <w:p w14:paraId="56883838">
            <w:pPr>
              <w:spacing w:before="226" w:line="219" w:lineRule="auto"/>
              <w:ind w:left="334" w:right="191" w:hanging="150"/>
              <w:jc w:val="center"/>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z w:val="20"/>
                <w:szCs w:val="20"/>
              </w:rPr>
              <w:t xml:space="preserve"> </w:t>
            </w:r>
            <w:r>
              <w:rPr>
                <w:rFonts w:ascii="宋体" w:hAnsi="宋体" w:eastAsia="宋体" w:cs="宋体"/>
                <w:spacing w:val="-9"/>
                <w:sz w:val="20"/>
                <w:szCs w:val="20"/>
              </w:rPr>
              <w:t>(m²)</w:t>
            </w:r>
          </w:p>
        </w:tc>
        <w:tc>
          <w:tcPr>
            <w:tcW w:w="829" w:type="dxa"/>
            <w:vAlign w:val="center"/>
          </w:tcPr>
          <w:p w14:paraId="4A88529E">
            <w:pPr>
              <w:spacing w:before="217" w:line="220" w:lineRule="auto"/>
              <w:ind w:left="55" w:right="20" w:firstLine="49"/>
              <w:jc w:val="center"/>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z w:val="20"/>
                <w:szCs w:val="20"/>
              </w:rPr>
              <w:t xml:space="preserve">  </w:t>
            </w:r>
            <w:r>
              <w:rPr>
                <w:rFonts w:ascii="宋体" w:hAnsi="宋体" w:eastAsia="宋体" w:cs="宋体"/>
                <w:spacing w:val="28"/>
                <w:sz w:val="20"/>
                <w:szCs w:val="20"/>
              </w:rPr>
              <w:t>模(m²)</w:t>
            </w:r>
          </w:p>
        </w:tc>
        <w:tc>
          <w:tcPr>
            <w:tcW w:w="1099" w:type="dxa"/>
            <w:vAlign w:val="center"/>
          </w:tcPr>
          <w:p w14:paraId="5DC801A6">
            <w:pPr>
              <w:spacing w:before="206" w:line="236" w:lineRule="auto"/>
              <w:ind w:left="445" w:right="125" w:hanging="299"/>
              <w:jc w:val="center"/>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 xml:space="preserve"> 率</w:t>
            </w:r>
          </w:p>
        </w:tc>
        <w:tc>
          <w:tcPr>
            <w:tcW w:w="1069" w:type="dxa"/>
            <w:vAlign w:val="center"/>
          </w:tcPr>
          <w:p w14:paraId="6334109B">
            <w:pPr>
              <w:spacing w:before="207" w:line="237" w:lineRule="auto"/>
              <w:ind w:left="226" w:right="117" w:hanging="100"/>
              <w:jc w:val="center"/>
              <w:rPr>
                <w:rFonts w:ascii="宋体" w:hAnsi="宋体" w:eastAsia="宋体" w:cs="宋体"/>
                <w:sz w:val="20"/>
                <w:szCs w:val="20"/>
              </w:rPr>
            </w:pPr>
            <w:r>
              <w:rPr>
                <w:rFonts w:ascii="宋体" w:hAnsi="宋体" w:eastAsia="宋体" w:cs="宋体"/>
                <w:spacing w:val="3"/>
                <w:sz w:val="20"/>
                <w:szCs w:val="20"/>
              </w:rPr>
              <w:t>预算投资</w:t>
            </w:r>
            <w:r>
              <w:rPr>
                <w:rFonts w:ascii="宋体" w:hAnsi="宋体" w:eastAsia="宋体" w:cs="宋体"/>
                <w:spacing w:val="1"/>
                <w:sz w:val="20"/>
                <w:szCs w:val="20"/>
              </w:rPr>
              <w:t xml:space="preserve"> </w:t>
            </w:r>
            <w:r>
              <w:rPr>
                <w:rFonts w:ascii="宋体" w:hAnsi="宋体" w:eastAsia="宋体" w:cs="宋体"/>
                <w:spacing w:val="10"/>
                <w:sz w:val="20"/>
                <w:szCs w:val="20"/>
              </w:rPr>
              <w:t>(万元)</w:t>
            </w:r>
          </w:p>
        </w:tc>
        <w:tc>
          <w:tcPr>
            <w:tcW w:w="979" w:type="dxa"/>
            <w:vAlign w:val="center"/>
          </w:tcPr>
          <w:p w14:paraId="0FBE9581">
            <w:pPr>
              <w:spacing w:before="77" w:line="220" w:lineRule="auto"/>
              <w:ind w:left="188"/>
              <w:jc w:val="center"/>
              <w:rPr>
                <w:rFonts w:ascii="宋体" w:hAnsi="宋体" w:eastAsia="宋体" w:cs="宋体"/>
                <w:sz w:val="20"/>
                <w:szCs w:val="20"/>
              </w:rPr>
            </w:pPr>
            <w:r>
              <w:rPr>
                <w:rFonts w:ascii="宋体" w:hAnsi="宋体" w:eastAsia="宋体" w:cs="宋体"/>
                <w:spacing w:val="2"/>
                <w:sz w:val="20"/>
                <w:szCs w:val="20"/>
              </w:rPr>
              <w:t>实际投</w:t>
            </w:r>
          </w:p>
          <w:p w14:paraId="2307F4C0">
            <w:pPr>
              <w:spacing w:before="1" w:line="220" w:lineRule="auto"/>
              <w:ind w:left="237"/>
              <w:jc w:val="center"/>
              <w:rPr>
                <w:rFonts w:ascii="宋体" w:hAnsi="宋体" w:eastAsia="宋体" w:cs="宋体"/>
                <w:sz w:val="20"/>
                <w:szCs w:val="20"/>
              </w:rPr>
            </w:pPr>
            <w:r>
              <w:rPr>
                <w:rFonts w:ascii="宋体" w:hAnsi="宋体" w:eastAsia="宋体" w:cs="宋体"/>
                <w:spacing w:val="4"/>
                <w:sz w:val="20"/>
                <w:szCs w:val="20"/>
              </w:rPr>
              <w:t>资(万</w:t>
            </w:r>
          </w:p>
          <w:p w14:paraId="64F77E41">
            <w:pPr>
              <w:spacing w:before="11" w:line="220" w:lineRule="auto"/>
              <w:ind w:left="338"/>
              <w:jc w:val="center"/>
              <w:rPr>
                <w:rFonts w:ascii="宋体" w:hAnsi="宋体" w:eastAsia="宋体" w:cs="宋体"/>
                <w:sz w:val="20"/>
                <w:szCs w:val="20"/>
              </w:rPr>
            </w:pPr>
            <w:r>
              <w:rPr>
                <w:rFonts w:ascii="宋体" w:hAnsi="宋体" w:eastAsia="宋体" w:cs="宋体"/>
                <w:spacing w:val="-5"/>
                <w:sz w:val="20"/>
                <w:szCs w:val="20"/>
              </w:rPr>
              <w:t>元</w:t>
            </w:r>
            <w:r>
              <w:rPr>
                <w:rFonts w:ascii="宋体" w:hAnsi="宋体" w:eastAsia="宋体" w:cs="宋体"/>
                <w:spacing w:val="-39"/>
                <w:sz w:val="20"/>
                <w:szCs w:val="20"/>
              </w:rPr>
              <w:t xml:space="preserve"> </w:t>
            </w:r>
            <w:r>
              <w:rPr>
                <w:rFonts w:ascii="宋体" w:hAnsi="宋体" w:eastAsia="宋体" w:cs="宋体"/>
                <w:spacing w:val="-5"/>
                <w:sz w:val="20"/>
                <w:szCs w:val="20"/>
              </w:rPr>
              <w:t>)</w:t>
            </w:r>
          </w:p>
        </w:tc>
        <w:tc>
          <w:tcPr>
            <w:tcW w:w="864" w:type="dxa"/>
            <w:vAlign w:val="center"/>
          </w:tcPr>
          <w:p w14:paraId="498F4743">
            <w:pPr>
              <w:spacing w:before="97" w:line="203" w:lineRule="auto"/>
              <w:ind w:left="129"/>
              <w:jc w:val="center"/>
              <w:rPr>
                <w:rFonts w:ascii="宋体" w:hAnsi="宋体" w:eastAsia="宋体" w:cs="宋体"/>
                <w:sz w:val="20"/>
                <w:szCs w:val="20"/>
              </w:rPr>
            </w:pPr>
            <w:r>
              <w:rPr>
                <w:rFonts w:ascii="宋体" w:hAnsi="宋体" w:eastAsia="宋体" w:cs="宋体"/>
                <w:spacing w:val="-3"/>
                <w:sz w:val="20"/>
                <w:szCs w:val="20"/>
              </w:rPr>
              <w:t>投资概</w:t>
            </w:r>
          </w:p>
          <w:p w14:paraId="61C30B22">
            <w:pPr>
              <w:spacing w:line="219" w:lineRule="auto"/>
              <w:ind w:left="129"/>
              <w:jc w:val="center"/>
              <w:rPr>
                <w:rFonts w:ascii="宋体" w:hAnsi="宋体" w:eastAsia="宋体" w:cs="宋体"/>
                <w:sz w:val="20"/>
                <w:szCs w:val="20"/>
              </w:rPr>
            </w:pPr>
            <w:r>
              <w:rPr>
                <w:rFonts w:ascii="宋体" w:hAnsi="宋体" w:eastAsia="宋体" w:cs="宋体"/>
                <w:spacing w:val="5"/>
                <w:sz w:val="20"/>
                <w:szCs w:val="20"/>
              </w:rPr>
              <w:t>算控制</w:t>
            </w:r>
          </w:p>
          <w:p w14:paraId="2B98875E">
            <w:pPr>
              <w:spacing w:before="22" w:line="219" w:lineRule="auto"/>
              <w:ind w:left="329"/>
              <w:jc w:val="center"/>
              <w:rPr>
                <w:rFonts w:ascii="宋体" w:hAnsi="宋体" w:eastAsia="宋体" w:cs="宋体"/>
                <w:sz w:val="20"/>
                <w:szCs w:val="20"/>
              </w:rPr>
            </w:pPr>
            <w:r>
              <w:rPr>
                <w:rFonts w:ascii="宋体" w:hAnsi="宋体" w:eastAsia="宋体" w:cs="宋体"/>
                <w:sz w:val="20"/>
                <w:szCs w:val="20"/>
              </w:rPr>
              <w:t>率</w:t>
            </w:r>
          </w:p>
        </w:tc>
      </w:tr>
      <w:tr w14:paraId="6B352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3321" w:type="dxa"/>
            <w:vMerge w:val="continue"/>
            <w:tcBorders>
              <w:top w:val="nil"/>
            </w:tcBorders>
            <w:vAlign w:val="center"/>
          </w:tcPr>
          <w:p w14:paraId="6A9979AB">
            <w:pPr>
              <w:pStyle w:val="8"/>
              <w:jc w:val="center"/>
            </w:pPr>
          </w:p>
        </w:tc>
        <w:tc>
          <w:tcPr>
            <w:tcW w:w="1179" w:type="dxa"/>
            <w:vAlign w:val="center"/>
          </w:tcPr>
          <w:p w14:paraId="5D22C262">
            <w:pPr>
              <w:pStyle w:val="8"/>
              <w:jc w:val="center"/>
            </w:pPr>
          </w:p>
        </w:tc>
        <w:tc>
          <w:tcPr>
            <w:tcW w:w="829" w:type="dxa"/>
            <w:vAlign w:val="center"/>
          </w:tcPr>
          <w:p w14:paraId="10B48984">
            <w:pPr>
              <w:pStyle w:val="8"/>
              <w:jc w:val="center"/>
            </w:pPr>
          </w:p>
        </w:tc>
        <w:tc>
          <w:tcPr>
            <w:tcW w:w="1099" w:type="dxa"/>
            <w:vAlign w:val="center"/>
          </w:tcPr>
          <w:p w14:paraId="60A7B78B">
            <w:pPr>
              <w:pStyle w:val="8"/>
              <w:jc w:val="center"/>
            </w:pPr>
          </w:p>
        </w:tc>
        <w:tc>
          <w:tcPr>
            <w:tcW w:w="1069" w:type="dxa"/>
            <w:vAlign w:val="center"/>
          </w:tcPr>
          <w:p w14:paraId="1D0731C6">
            <w:pPr>
              <w:pStyle w:val="8"/>
              <w:jc w:val="center"/>
            </w:pPr>
          </w:p>
        </w:tc>
        <w:tc>
          <w:tcPr>
            <w:tcW w:w="979" w:type="dxa"/>
            <w:vAlign w:val="center"/>
          </w:tcPr>
          <w:p w14:paraId="57D1CE7A">
            <w:pPr>
              <w:pStyle w:val="8"/>
              <w:jc w:val="center"/>
            </w:pPr>
          </w:p>
        </w:tc>
        <w:tc>
          <w:tcPr>
            <w:tcW w:w="864" w:type="dxa"/>
            <w:vAlign w:val="center"/>
          </w:tcPr>
          <w:p w14:paraId="04E6327A">
            <w:pPr>
              <w:pStyle w:val="8"/>
              <w:jc w:val="center"/>
            </w:pPr>
          </w:p>
        </w:tc>
      </w:tr>
      <w:tr w14:paraId="01DB7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3321" w:type="dxa"/>
            <w:vAlign w:val="center"/>
          </w:tcPr>
          <w:p w14:paraId="4C3061E2">
            <w:pPr>
              <w:spacing w:before="138" w:line="219" w:lineRule="auto"/>
              <w:ind w:left="855"/>
              <w:jc w:val="center"/>
              <w:rPr>
                <w:rFonts w:ascii="宋体" w:hAnsi="宋体" w:eastAsia="宋体" w:cs="宋体"/>
                <w:sz w:val="20"/>
                <w:szCs w:val="20"/>
              </w:rPr>
            </w:pPr>
            <w:r>
              <w:rPr>
                <w:rFonts w:ascii="宋体" w:hAnsi="宋体" w:eastAsia="宋体" w:cs="宋体"/>
                <w:spacing w:val="1"/>
                <w:sz w:val="20"/>
                <w:szCs w:val="20"/>
              </w:rPr>
              <w:t>厉行节约保障措施</w:t>
            </w:r>
          </w:p>
        </w:tc>
        <w:tc>
          <w:tcPr>
            <w:tcW w:w="6019" w:type="dxa"/>
            <w:gridSpan w:val="6"/>
            <w:vAlign w:val="center"/>
          </w:tcPr>
          <w:p w14:paraId="215D5E17">
            <w:pPr>
              <w:pStyle w:val="8"/>
              <w:jc w:val="center"/>
            </w:pPr>
          </w:p>
        </w:tc>
      </w:tr>
    </w:tbl>
    <w:p w14:paraId="4DA7DED8">
      <w:pPr>
        <w:spacing w:before="12" w:line="297" w:lineRule="auto"/>
        <w:ind w:left="205" w:right="525" w:firstLine="419"/>
        <w:rPr>
          <w:rFonts w:ascii="宋体" w:hAnsi="宋体" w:eastAsia="宋体" w:cs="宋体"/>
          <w:sz w:val="22"/>
          <w:szCs w:val="22"/>
        </w:rPr>
      </w:pPr>
      <w:r>
        <w:rPr>
          <w:rFonts w:ascii="宋体" w:hAnsi="宋体" w:eastAsia="宋体" w:cs="宋体"/>
          <w:sz w:val="21"/>
          <w:szCs w:val="21"/>
        </w:rPr>
        <w:t>说明：“项目支出”需要填报基本支出以外的所有项目支出情况，“公用经费”填报基本</w:t>
      </w:r>
      <w:r>
        <w:rPr>
          <w:rFonts w:ascii="宋体" w:hAnsi="宋体" w:eastAsia="宋体" w:cs="宋体"/>
          <w:spacing w:val="8"/>
          <w:sz w:val="21"/>
          <w:szCs w:val="21"/>
        </w:rPr>
        <w:t xml:space="preserve"> </w:t>
      </w:r>
      <w:r>
        <w:rPr>
          <w:rFonts w:ascii="宋体" w:hAnsi="宋体" w:eastAsia="宋体" w:cs="宋体"/>
          <w:spacing w:val="-11"/>
          <w:sz w:val="22"/>
          <w:szCs w:val="22"/>
        </w:rPr>
        <w:t>支出中的一般商品和服务支出。</w:t>
      </w:r>
    </w:p>
    <w:p w14:paraId="5D513132">
      <w:pPr>
        <w:spacing w:line="219" w:lineRule="auto"/>
        <w:ind w:left="634"/>
        <w:rPr>
          <w:rFonts w:hint="default" w:ascii="宋体" w:hAnsi="宋体" w:eastAsia="宋体" w:cs="宋体"/>
          <w:sz w:val="22"/>
          <w:szCs w:val="22"/>
          <w:lang w:val="en-US" w:eastAsia="zh-CN"/>
        </w:rPr>
        <w:sectPr>
          <w:footerReference r:id="rId6" w:type="default"/>
          <w:pgSz w:w="11900" w:h="16840"/>
          <w:pgMar w:top="1312" w:right="1294" w:bottom="1474" w:left="1254" w:header="0" w:footer="1256" w:gutter="0"/>
          <w:cols w:space="720" w:num="1"/>
        </w:sectPr>
      </w:pPr>
      <w:r>
        <w:rPr>
          <w:rFonts w:ascii="宋体" w:hAnsi="宋体" w:eastAsia="宋体" w:cs="宋体"/>
          <w:spacing w:val="-14"/>
          <w:sz w:val="22"/>
          <w:szCs w:val="22"/>
        </w:rPr>
        <w:t>填表人：</w:t>
      </w:r>
      <w:r>
        <w:rPr>
          <w:rFonts w:hint="eastAsia" w:ascii="宋体" w:hAnsi="宋体" w:eastAsia="宋体" w:cs="宋体"/>
          <w:spacing w:val="-14"/>
          <w:sz w:val="22"/>
          <w:szCs w:val="22"/>
          <w:lang w:val="en-US" w:eastAsia="zh-CN"/>
        </w:rPr>
        <w:t xml:space="preserve">卿佼佼    </w:t>
      </w:r>
      <w:r>
        <w:rPr>
          <w:rFonts w:ascii="宋体" w:hAnsi="宋体" w:eastAsia="宋体" w:cs="宋体"/>
          <w:spacing w:val="-14"/>
          <w:sz w:val="22"/>
          <w:szCs w:val="22"/>
        </w:rPr>
        <w:t>填报日期：</w:t>
      </w:r>
      <w:r>
        <w:rPr>
          <w:rFonts w:hint="eastAsia" w:ascii="宋体" w:hAnsi="宋体" w:eastAsia="宋体" w:cs="宋体"/>
          <w:spacing w:val="-14"/>
          <w:sz w:val="22"/>
          <w:szCs w:val="22"/>
          <w:lang w:val="en-US" w:eastAsia="zh-CN"/>
        </w:rPr>
        <w:t xml:space="preserve">2024年10月15日   </w:t>
      </w:r>
      <w:r>
        <w:rPr>
          <w:rFonts w:ascii="宋体" w:hAnsi="宋体" w:eastAsia="宋体" w:cs="宋体"/>
          <w:spacing w:val="-14"/>
          <w:sz w:val="22"/>
          <w:szCs w:val="22"/>
        </w:rPr>
        <w:t>联系电话：</w:t>
      </w:r>
      <w:r>
        <w:rPr>
          <w:rFonts w:hint="eastAsia" w:ascii="宋体" w:hAnsi="宋体" w:eastAsia="宋体" w:cs="宋体"/>
          <w:sz w:val="22"/>
          <w:szCs w:val="22"/>
          <w:lang w:val="en-US" w:eastAsia="zh-CN"/>
        </w:rPr>
        <w:t>15507394787</w:t>
      </w:r>
    </w:p>
    <w:p w14:paraId="60B2DF73">
      <w:pPr>
        <w:spacing w:before="78" w:line="220" w:lineRule="auto"/>
        <w:ind w:left="3109"/>
        <w:rPr>
          <w:rFonts w:ascii="宋体" w:hAnsi="宋体" w:eastAsia="宋体" w:cs="宋体"/>
          <w:sz w:val="35"/>
          <w:szCs w:val="35"/>
        </w:rPr>
      </w:pPr>
      <w:r>
        <w:rPr>
          <w:rFonts w:ascii="宋体" w:hAnsi="宋体" w:eastAsia="宋体" w:cs="宋体"/>
          <w:b/>
          <w:bCs/>
          <w:spacing w:val="-3"/>
          <w:sz w:val="35"/>
          <w:szCs w:val="35"/>
        </w:rPr>
        <w:t>整体支出绩效自评表</w:t>
      </w:r>
    </w:p>
    <w:p w14:paraId="16E35130">
      <w:pPr>
        <w:spacing w:line="76" w:lineRule="auto"/>
        <w:rPr>
          <w:rFonts w:ascii="Arial"/>
          <w:sz w:val="2"/>
        </w:rPr>
      </w:pPr>
    </w:p>
    <w:tbl>
      <w:tblPr>
        <w:tblStyle w:val="7"/>
        <w:tblW w:w="93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75"/>
        <w:gridCol w:w="1105"/>
        <w:gridCol w:w="1351"/>
        <w:gridCol w:w="1321"/>
        <w:gridCol w:w="1262"/>
        <w:gridCol w:w="860"/>
        <w:gridCol w:w="566"/>
        <w:gridCol w:w="671"/>
        <w:gridCol w:w="941"/>
      </w:tblGrid>
      <w:tr w14:paraId="59EF11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0" w:type="auto"/>
            <w:vAlign w:val="center"/>
          </w:tcPr>
          <w:p w14:paraId="74171026">
            <w:pPr>
              <w:spacing w:before="12" w:line="213" w:lineRule="auto"/>
              <w:ind w:left="354" w:right="178" w:hanging="200"/>
              <w:jc w:val="center"/>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1"/>
                <w:sz w:val="20"/>
                <w:szCs w:val="20"/>
              </w:rPr>
              <w:t xml:space="preserve"> </w:t>
            </w:r>
            <w:r>
              <w:rPr>
                <w:rFonts w:ascii="宋体" w:hAnsi="宋体" w:eastAsia="宋体" w:cs="宋体"/>
                <w:spacing w:val="5"/>
                <w:sz w:val="20"/>
                <w:szCs w:val="20"/>
              </w:rPr>
              <w:t>名称</w:t>
            </w:r>
          </w:p>
        </w:tc>
        <w:tc>
          <w:tcPr>
            <w:tcW w:w="0" w:type="auto"/>
            <w:gridSpan w:val="8"/>
            <w:vAlign w:val="center"/>
          </w:tcPr>
          <w:p w14:paraId="1BBA761A">
            <w:pPr>
              <w:pStyle w:val="8"/>
              <w:jc w:val="center"/>
              <w:rPr>
                <w:rFonts w:hint="default" w:eastAsia="宋体"/>
                <w:lang w:val="en-US" w:eastAsia="zh-CN"/>
              </w:rPr>
            </w:pPr>
            <w:r>
              <w:rPr>
                <w:rFonts w:hint="eastAsia" w:eastAsia="宋体"/>
                <w:lang w:val="en-US" w:eastAsia="zh-CN"/>
              </w:rPr>
              <w:t>怀化市鹤城区金融事务服务中心</w:t>
            </w:r>
          </w:p>
        </w:tc>
      </w:tr>
      <w:tr w14:paraId="08CDE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0" w:type="auto"/>
            <w:vMerge w:val="restart"/>
            <w:tcBorders>
              <w:bottom w:val="nil"/>
            </w:tcBorders>
            <w:vAlign w:val="center"/>
          </w:tcPr>
          <w:p w14:paraId="67B97AEE">
            <w:pPr>
              <w:pStyle w:val="8"/>
              <w:spacing w:line="244" w:lineRule="auto"/>
              <w:jc w:val="center"/>
            </w:pPr>
          </w:p>
          <w:p w14:paraId="3394486A">
            <w:pPr>
              <w:pStyle w:val="8"/>
              <w:spacing w:line="244" w:lineRule="auto"/>
              <w:jc w:val="center"/>
            </w:pPr>
          </w:p>
          <w:p w14:paraId="42111628">
            <w:pPr>
              <w:pStyle w:val="8"/>
              <w:spacing w:line="245" w:lineRule="auto"/>
              <w:jc w:val="center"/>
            </w:pPr>
          </w:p>
          <w:p w14:paraId="4F6EC498">
            <w:pPr>
              <w:pStyle w:val="8"/>
              <w:spacing w:line="245" w:lineRule="auto"/>
              <w:jc w:val="center"/>
            </w:pPr>
          </w:p>
          <w:p w14:paraId="1F307EDF">
            <w:pPr>
              <w:spacing w:before="65" w:line="218" w:lineRule="auto"/>
              <w:ind w:left="255" w:right="225"/>
              <w:jc w:val="center"/>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z w:val="20"/>
                <w:szCs w:val="20"/>
              </w:rPr>
              <w:t xml:space="preserve"> </w:t>
            </w:r>
            <w:r>
              <w:rPr>
                <w:rFonts w:ascii="宋体" w:hAnsi="宋体" w:eastAsia="宋体" w:cs="宋体"/>
                <w:spacing w:val="-4"/>
                <w:sz w:val="20"/>
                <w:szCs w:val="20"/>
              </w:rPr>
              <w:t>算申请</w:t>
            </w:r>
            <w:r>
              <w:rPr>
                <w:rFonts w:ascii="宋体" w:hAnsi="宋体" w:eastAsia="宋体" w:cs="宋体"/>
                <w:spacing w:val="1"/>
                <w:sz w:val="20"/>
                <w:szCs w:val="20"/>
              </w:rPr>
              <w:t xml:space="preserve"> </w:t>
            </w:r>
            <w:r>
              <w:rPr>
                <w:rFonts w:ascii="宋体" w:hAnsi="宋体" w:eastAsia="宋体" w:cs="宋体"/>
                <w:spacing w:val="10"/>
                <w:sz w:val="20"/>
                <w:szCs w:val="20"/>
              </w:rPr>
              <w:t>(万元)</w:t>
            </w:r>
          </w:p>
        </w:tc>
        <w:tc>
          <w:tcPr>
            <w:tcW w:w="2456" w:type="dxa"/>
            <w:gridSpan w:val="2"/>
            <w:vAlign w:val="center"/>
          </w:tcPr>
          <w:p w14:paraId="2634209D">
            <w:pPr>
              <w:pStyle w:val="8"/>
              <w:jc w:val="center"/>
            </w:pPr>
          </w:p>
        </w:tc>
        <w:tc>
          <w:tcPr>
            <w:tcW w:w="1321" w:type="dxa"/>
            <w:vAlign w:val="center"/>
          </w:tcPr>
          <w:p w14:paraId="62757850">
            <w:pPr>
              <w:spacing w:before="159" w:line="225" w:lineRule="auto"/>
              <w:ind w:left="202" w:right="225" w:firstLine="99"/>
              <w:jc w:val="center"/>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z w:val="20"/>
                <w:szCs w:val="20"/>
              </w:rPr>
              <w:t xml:space="preserve">  </w:t>
            </w:r>
            <w:r>
              <w:rPr>
                <w:rFonts w:ascii="宋体" w:hAnsi="宋体" w:eastAsia="宋体" w:cs="宋体"/>
                <w:spacing w:val="-4"/>
                <w:sz w:val="20"/>
                <w:szCs w:val="20"/>
              </w:rPr>
              <w:t>预算数</w:t>
            </w:r>
          </w:p>
        </w:tc>
        <w:tc>
          <w:tcPr>
            <w:tcW w:w="1262" w:type="dxa"/>
            <w:vAlign w:val="center"/>
          </w:tcPr>
          <w:p w14:paraId="52355984">
            <w:pPr>
              <w:spacing w:before="269" w:line="219" w:lineRule="auto"/>
              <w:ind w:left="133"/>
              <w:jc w:val="center"/>
              <w:rPr>
                <w:rFonts w:ascii="宋体" w:hAnsi="宋体" w:eastAsia="宋体" w:cs="宋体"/>
                <w:sz w:val="20"/>
                <w:szCs w:val="20"/>
              </w:rPr>
            </w:pPr>
            <w:r>
              <w:rPr>
                <w:rFonts w:ascii="宋体" w:hAnsi="宋体" w:eastAsia="宋体" w:cs="宋体"/>
                <w:spacing w:val="-2"/>
                <w:sz w:val="20"/>
                <w:szCs w:val="20"/>
              </w:rPr>
              <w:t>全年预算数</w:t>
            </w:r>
          </w:p>
        </w:tc>
        <w:tc>
          <w:tcPr>
            <w:tcW w:w="860" w:type="dxa"/>
            <w:vAlign w:val="center"/>
          </w:tcPr>
          <w:p w14:paraId="19904468">
            <w:pPr>
              <w:spacing w:before="139" w:line="220" w:lineRule="auto"/>
              <w:ind w:right="270"/>
              <w:jc w:val="both"/>
              <w:rPr>
                <w:rFonts w:ascii="宋体" w:hAnsi="宋体" w:eastAsia="宋体" w:cs="宋体"/>
                <w:sz w:val="20"/>
                <w:szCs w:val="20"/>
              </w:rPr>
            </w:pPr>
            <w:r>
              <w:rPr>
                <w:rFonts w:hint="eastAsia" w:ascii="宋体" w:hAnsi="宋体" w:eastAsia="宋体" w:cs="宋体"/>
                <w:spacing w:val="-4"/>
                <w:sz w:val="20"/>
                <w:szCs w:val="20"/>
                <w:lang w:val="en-US" w:eastAsia="zh-CN"/>
              </w:rPr>
              <w:t>全年</w:t>
            </w:r>
            <w:r>
              <w:rPr>
                <w:rFonts w:ascii="宋体" w:hAnsi="宋体" w:eastAsia="宋体" w:cs="宋体"/>
                <w:spacing w:val="-3"/>
                <w:sz w:val="20"/>
                <w:szCs w:val="20"/>
              </w:rPr>
              <w:t>执行数</w:t>
            </w:r>
          </w:p>
        </w:tc>
        <w:tc>
          <w:tcPr>
            <w:tcW w:w="0" w:type="auto"/>
            <w:vAlign w:val="center"/>
          </w:tcPr>
          <w:p w14:paraId="54DBB577">
            <w:pPr>
              <w:spacing w:before="269" w:line="219" w:lineRule="auto"/>
              <w:ind w:left="146"/>
              <w:jc w:val="center"/>
              <w:rPr>
                <w:rFonts w:ascii="宋体" w:hAnsi="宋体" w:eastAsia="宋体" w:cs="宋体"/>
                <w:sz w:val="20"/>
                <w:szCs w:val="20"/>
              </w:rPr>
            </w:pPr>
            <w:r>
              <w:rPr>
                <w:rFonts w:ascii="宋体" w:hAnsi="宋体" w:eastAsia="宋体" w:cs="宋体"/>
                <w:spacing w:val="-3"/>
                <w:sz w:val="20"/>
                <w:szCs w:val="20"/>
              </w:rPr>
              <w:t>分值</w:t>
            </w:r>
          </w:p>
        </w:tc>
        <w:tc>
          <w:tcPr>
            <w:tcW w:w="671" w:type="dxa"/>
            <w:textDirection w:val="tbRlV"/>
            <w:vAlign w:val="center"/>
          </w:tcPr>
          <w:p w14:paraId="62E3F5BF">
            <w:pPr>
              <w:spacing w:before="129" w:line="200" w:lineRule="auto"/>
              <w:ind w:left="50"/>
              <w:jc w:val="center"/>
              <w:rPr>
                <w:rFonts w:ascii="宋体" w:hAnsi="宋体" w:eastAsia="宋体" w:cs="宋体"/>
                <w:sz w:val="20"/>
                <w:szCs w:val="20"/>
              </w:rPr>
            </w:pPr>
            <w:r>
              <w:rPr>
                <w:rFonts w:ascii="宋体" w:hAnsi="宋体" w:eastAsia="宋体" w:cs="宋体"/>
                <w:sz w:val="20"/>
                <w:szCs w:val="20"/>
              </w:rPr>
              <w:t>执行率</w:t>
            </w:r>
          </w:p>
        </w:tc>
        <w:tc>
          <w:tcPr>
            <w:tcW w:w="941" w:type="dxa"/>
            <w:vAlign w:val="center"/>
          </w:tcPr>
          <w:p w14:paraId="1FBF2426">
            <w:pPr>
              <w:spacing w:before="269" w:line="219" w:lineRule="auto"/>
              <w:ind w:left="388"/>
              <w:jc w:val="center"/>
              <w:rPr>
                <w:rFonts w:ascii="宋体" w:hAnsi="宋体" w:eastAsia="宋体" w:cs="宋体"/>
                <w:sz w:val="20"/>
                <w:szCs w:val="20"/>
              </w:rPr>
            </w:pPr>
            <w:r>
              <w:rPr>
                <w:rFonts w:ascii="宋体" w:hAnsi="宋体" w:eastAsia="宋体" w:cs="宋体"/>
                <w:spacing w:val="-3"/>
                <w:sz w:val="20"/>
                <w:szCs w:val="20"/>
              </w:rPr>
              <w:t>得分</w:t>
            </w:r>
          </w:p>
        </w:tc>
      </w:tr>
      <w:tr w14:paraId="32FF8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0" w:type="auto"/>
            <w:vMerge w:val="continue"/>
            <w:tcBorders>
              <w:top w:val="nil"/>
              <w:bottom w:val="nil"/>
            </w:tcBorders>
            <w:vAlign w:val="center"/>
          </w:tcPr>
          <w:p w14:paraId="13A4AB09">
            <w:pPr>
              <w:pStyle w:val="8"/>
              <w:jc w:val="center"/>
            </w:pPr>
          </w:p>
        </w:tc>
        <w:tc>
          <w:tcPr>
            <w:tcW w:w="2456" w:type="dxa"/>
            <w:gridSpan w:val="2"/>
            <w:vAlign w:val="center"/>
          </w:tcPr>
          <w:p w14:paraId="04B64C55">
            <w:pPr>
              <w:spacing w:before="60" w:line="219" w:lineRule="auto"/>
              <w:ind w:left="560"/>
              <w:jc w:val="center"/>
              <w:rPr>
                <w:rFonts w:ascii="宋体" w:hAnsi="宋体" w:eastAsia="宋体" w:cs="宋体"/>
                <w:sz w:val="20"/>
                <w:szCs w:val="20"/>
              </w:rPr>
            </w:pPr>
            <w:r>
              <w:rPr>
                <w:rFonts w:ascii="宋体" w:hAnsi="宋体" w:eastAsia="宋体" w:cs="宋体"/>
                <w:spacing w:val="-2"/>
                <w:sz w:val="20"/>
                <w:szCs w:val="20"/>
              </w:rPr>
              <w:t>年度资金总额</w:t>
            </w:r>
          </w:p>
        </w:tc>
        <w:tc>
          <w:tcPr>
            <w:tcW w:w="1321" w:type="dxa"/>
            <w:vAlign w:val="center"/>
          </w:tcPr>
          <w:p w14:paraId="20A89607">
            <w:pPr>
              <w:pStyle w:val="8"/>
              <w:jc w:val="center"/>
              <w:rPr>
                <w:rFonts w:hint="default" w:eastAsia="宋体"/>
                <w:lang w:val="en-US" w:eastAsia="zh-CN"/>
              </w:rPr>
            </w:pPr>
            <w:r>
              <w:rPr>
                <w:rFonts w:hint="eastAsia" w:eastAsia="宋体"/>
                <w:lang w:val="en-US" w:eastAsia="zh-CN"/>
              </w:rPr>
              <w:t>48.47</w:t>
            </w:r>
          </w:p>
        </w:tc>
        <w:tc>
          <w:tcPr>
            <w:tcW w:w="1262" w:type="dxa"/>
            <w:vAlign w:val="center"/>
          </w:tcPr>
          <w:p w14:paraId="3ED9C345">
            <w:pPr>
              <w:pStyle w:val="8"/>
              <w:jc w:val="center"/>
              <w:rPr>
                <w:rFonts w:hint="default" w:eastAsia="宋体"/>
                <w:lang w:val="en-US" w:eastAsia="zh-CN"/>
              </w:rPr>
            </w:pPr>
            <w:r>
              <w:rPr>
                <w:rFonts w:hint="eastAsia" w:eastAsia="宋体"/>
                <w:lang w:val="en-US" w:eastAsia="zh-CN"/>
              </w:rPr>
              <w:t>99.32</w:t>
            </w:r>
          </w:p>
        </w:tc>
        <w:tc>
          <w:tcPr>
            <w:tcW w:w="860" w:type="dxa"/>
            <w:vAlign w:val="center"/>
          </w:tcPr>
          <w:p w14:paraId="70BAD96E">
            <w:pPr>
              <w:pStyle w:val="8"/>
              <w:jc w:val="center"/>
              <w:rPr>
                <w:rFonts w:hint="default" w:eastAsia="宋体"/>
                <w:lang w:val="en-US" w:eastAsia="zh-CN"/>
              </w:rPr>
            </w:pPr>
            <w:r>
              <w:rPr>
                <w:rFonts w:hint="eastAsia" w:eastAsia="宋体"/>
                <w:lang w:val="en-US" w:eastAsia="zh-CN"/>
              </w:rPr>
              <w:t>99.32</w:t>
            </w:r>
          </w:p>
        </w:tc>
        <w:tc>
          <w:tcPr>
            <w:tcW w:w="0" w:type="auto"/>
            <w:vAlign w:val="center"/>
          </w:tcPr>
          <w:p w14:paraId="69CDDF21">
            <w:pPr>
              <w:spacing w:before="110" w:line="184" w:lineRule="auto"/>
              <w:ind w:left="247"/>
              <w:jc w:val="center"/>
              <w:rPr>
                <w:rFonts w:ascii="宋体" w:hAnsi="宋体" w:eastAsia="宋体" w:cs="宋体"/>
                <w:sz w:val="20"/>
                <w:szCs w:val="20"/>
              </w:rPr>
            </w:pPr>
            <w:r>
              <w:rPr>
                <w:rFonts w:hint="eastAsia" w:ascii="Arial" w:hAnsi="Arial" w:eastAsia="宋体" w:cs="Arial"/>
                <w:snapToGrid w:val="0"/>
                <w:color w:val="000000"/>
                <w:kern w:val="0"/>
                <w:sz w:val="21"/>
                <w:szCs w:val="21"/>
                <w:lang w:val="en-US" w:eastAsia="zh-CN" w:bidi="ar-SA"/>
              </w:rPr>
              <w:t>10</w:t>
            </w:r>
          </w:p>
        </w:tc>
        <w:tc>
          <w:tcPr>
            <w:tcW w:w="671" w:type="dxa"/>
            <w:vAlign w:val="center"/>
          </w:tcPr>
          <w:p w14:paraId="1A75F1BF">
            <w:pPr>
              <w:pStyle w:val="8"/>
              <w:jc w:val="center"/>
              <w:rPr>
                <w:rFonts w:hint="default" w:eastAsia="宋体"/>
                <w:lang w:val="en-US" w:eastAsia="zh-CN"/>
              </w:rPr>
            </w:pPr>
            <w:r>
              <w:rPr>
                <w:rFonts w:hint="eastAsia" w:eastAsia="宋体"/>
                <w:lang w:val="en-US" w:eastAsia="zh-CN"/>
              </w:rPr>
              <w:t>100%</w:t>
            </w:r>
          </w:p>
        </w:tc>
        <w:tc>
          <w:tcPr>
            <w:tcW w:w="941" w:type="dxa"/>
            <w:vAlign w:val="center"/>
          </w:tcPr>
          <w:p w14:paraId="72FB3197">
            <w:pPr>
              <w:pStyle w:val="8"/>
              <w:jc w:val="center"/>
              <w:rPr>
                <w:rFonts w:hint="default" w:eastAsia="宋体"/>
                <w:lang w:val="en-US" w:eastAsia="zh-CN"/>
              </w:rPr>
            </w:pPr>
            <w:r>
              <w:rPr>
                <w:rFonts w:hint="eastAsia" w:eastAsia="宋体"/>
                <w:lang w:val="en-US" w:eastAsia="zh-CN"/>
              </w:rPr>
              <w:t>100</w:t>
            </w:r>
          </w:p>
        </w:tc>
      </w:tr>
      <w:tr w14:paraId="61B84C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0" w:type="auto"/>
            <w:vMerge w:val="continue"/>
            <w:tcBorders>
              <w:top w:val="nil"/>
              <w:bottom w:val="nil"/>
            </w:tcBorders>
            <w:vAlign w:val="center"/>
          </w:tcPr>
          <w:p w14:paraId="14C7EA14">
            <w:pPr>
              <w:pStyle w:val="8"/>
              <w:jc w:val="center"/>
            </w:pPr>
          </w:p>
        </w:tc>
        <w:tc>
          <w:tcPr>
            <w:tcW w:w="5039" w:type="dxa"/>
            <w:gridSpan w:val="4"/>
            <w:vAlign w:val="center"/>
          </w:tcPr>
          <w:p w14:paraId="3BD167AC">
            <w:pPr>
              <w:spacing w:before="80" w:line="219" w:lineRule="auto"/>
              <w:ind w:left="370"/>
              <w:jc w:val="center"/>
              <w:rPr>
                <w:rFonts w:ascii="宋体" w:hAnsi="宋体" w:eastAsia="宋体" w:cs="宋体"/>
                <w:sz w:val="20"/>
                <w:szCs w:val="20"/>
              </w:rPr>
            </w:pPr>
            <w:r>
              <w:rPr>
                <w:rFonts w:ascii="宋体" w:hAnsi="宋体" w:eastAsia="宋体" w:cs="宋体"/>
                <w:spacing w:val="-1"/>
                <w:sz w:val="20"/>
                <w:szCs w:val="20"/>
              </w:rPr>
              <w:t>按收入性质分：</w:t>
            </w:r>
          </w:p>
        </w:tc>
        <w:tc>
          <w:tcPr>
            <w:tcW w:w="3038" w:type="dxa"/>
            <w:gridSpan w:val="4"/>
            <w:vAlign w:val="center"/>
          </w:tcPr>
          <w:p w14:paraId="2A10EC54">
            <w:pPr>
              <w:spacing w:before="80" w:line="219" w:lineRule="auto"/>
              <w:ind w:left="125"/>
              <w:jc w:val="center"/>
              <w:rPr>
                <w:rFonts w:ascii="宋体" w:hAnsi="宋体" w:eastAsia="宋体" w:cs="宋体"/>
                <w:sz w:val="20"/>
                <w:szCs w:val="20"/>
              </w:rPr>
            </w:pPr>
            <w:r>
              <w:rPr>
                <w:rFonts w:ascii="宋体" w:hAnsi="宋体" w:eastAsia="宋体" w:cs="宋体"/>
                <w:sz w:val="20"/>
                <w:szCs w:val="20"/>
              </w:rPr>
              <w:t>按支出性质分：</w:t>
            </w:r>
          </w:p>
        </w:tc>
      </w:tr>
      <w:tr w14:paraId="7CD0F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0" w:type="auto"/>
            <w:vMerge w:val="continue"/>
            <w:tcBorders>
              <w:top w:val="nil"/>
              <w:bottom w:val="nil"/>
            </w:tcBorders>
            <w:vAlign w:val="center"/>
          </w:tcPr>
          <w:p w14:paraId="04FF0A64">
            <w:pPr>
              <w:pStyle w:val="8"/>
              <w:jc w:val="center"/>
            </w:pPr>
          </w:p>
        </w:tc>
        <w:tc>
          <w:tcPr>
            <w:tcW w:w="5039" w:type="dxa"/>
            <w:gridSpan w:val="4"/>
            <w:vAlign w:val="center"/>
          </w:tcPr>
          <w:p w14:paraId="668DBD2F">
            <w:pPr>
              <w:spacing w:before="70" w:line="219" w:lineRule="auto"/>
              <w:ind w:left="370"/>
              <w:jc w:val="center"/>
              <w:rPr>
                <w:rFonts w:hint="default" w:ascii="宋体" w:hAnsi="宋体" w:eastAsia="宋体" w:cs="宋体"/>
                <w:sz w:val="20"/>
                <w:szCs w:val="20"/>
                <w:lang w:val="en-US" w:eastAsia="zh-CN"/>
              </w:rPr>
            </w:pPr>
            <w:r>
              <w:rPr>
                <w:rFonts w:ascii="宋体" w:hAnsi="宋体" w:eastAsia="宋体" w:cs="宋体"/>
                <w:sz w:val="20"/>
                <w:szCs w:val="20"/>
              </w:rPr>
              <w:t>其中：一般公共预算：</w:t>
            </w:r>
            <w:r>
              <w:rPr>
                <w:rFonts w:hint="eastAsia" w:ascii="宋体" w:hAnsi="宋体" w:eastAsia="宋体" w:cs="宋体"/>
                <w:sz w:val="20"/>
                <w:szCs w:val="20"/>
                <w:lang w:val="en-US" w:eastAsia="zh-CN"/>
              </w:rPr>
              <w:t>99.32</w:t>
            </w:r>
          </w:p>
        </w:tc>
        <w:tc>
          <w:tcPr>
            <w:tcW w:w="3038" w:type="dxa"/>
            <w:gridSpan w:val="4"/>
            <w:vAlign w:val="center"/>
          </w:tcPr>
          <w:p w14:paraId="57EF8373">
            <w:pPr>
              <w:spacing w:before="68" w:line="219" w:lineRule="auto"/>
              <w:ind w:left="125"/>
              <w:jc w:val="center"/>
              <w:rPr>
                <w:rFonts w:hint="default" w:ascii="宋体" w:hAnsi="宋体" w:eastAsia="宋体" w:cs="宋体"/>
                <w:sz w:val="20"/>
                <w:szCs w:val="20"/>
                <w:lang w:val="en-US" w:eastAsia="zh-CN"/>
              </w:rPr>
            </w:pPr>
            <w:r>
              <w:rPr>
                <w:rFonts w:ascii="宋体" w:hAnsi="宋体" w:eastAsia="宋体" w:cs="宋体"/>
                <w:sz w:val="20"/>
                <w:szCs w:val="20"/>
              </w:rPr>
              <w:t>其中：基本支出</w:t>
            </w:r>
            <w:r>
              <w:rPr>
                <w:rFonts w:hint="eastAsia" w:ascii="宋体" w:hAnsi="宋体" w:eastAsia="宋体" w:cs="宋体"/>
                <w:sz w:val="20"/>
                <w:szCs w:val="20"/>
                <w:lang w:val="en-US" w:eastAsia="zh-CN"/>
              </w:rPr>
              <w:t>,84.38</w:t>
            </w:r>
          </w:p>
        </w:tc>
      </w:tr>
      <w:tr w14:paraId="7AD96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0" w:type="auto"/>
            <w:vMerge w:val="continue"/>
            <w:tcBorders>
              <w:top w:val="nil"/>
              <w:bottom w:val="nil"/>
            </w:tcBorders>
            <w:vAlign w:val="center"/>
          </w:tcPr>
          <w:p w14:paraId="0589DFC8">
            <w:pPr>
              <w:pStyle w:val="8"/>
              <w:jc w:val="center"/>
            </w:pPr>
          </w:p>
        </w:tc>
        <w:tc>
          <w:tcPr>
            <w:tcW w:w="5039" w:type="dxa"/>
            <w:gridSpan w:val="4"/>
            <w:vAlign w:val="center"/>
          </w:tcPr>
          <w:p w14:paraId="0FF779EB">
            <w:pPr>
              <w:spacing w:before="69" w:line="219" w:lineRule="auto"/>
              <w:ind w:left="891"/>
              <w:jc w:val="center"/>
              <w:rPr>
                <w:rFonts w:hint="eastAsia" w:ascii="宋体" w:hAnsi="宋体" w:eastAsia="宋体" w:cs="宋体"/>
                <w:sz w:val="20"/>
                <w:szCs w:val="20"/>
                <w:lang w:val="en-US" w:eastAsia="zh-CN"/>
              </w:rPr>
            </w:pPr>
            <w:r>
              <w:rPr>
                <w:rFonts w:ascii="宋体" w:hAnsi="宋体" w:eastAsia="宋体" w:cs="宋体"/>
                <w:sz w:val="20"/>
                <w:szCs w:val="20"/>
              </w:rPr>
              <w:t>政府性基金拨款：</w:t>
            </w:r>
            <w:r>
              <w:rPr>
                <w:rFonts w:hint="eastAsia" w:ascii="宋体" w:hAnsi="宋体" w:eastAsia="宋体" w:cs="宋体"/>
                <w:sz w:val="20"/>
                <w:szCs w:val="20"/>
                <w:lang w:val="en-US" w:eastAsia="zh-CN"/>
              </w:rPr>
              <w:t>0</w:t>
            </w:r>
          </w:p>
        </w:tc>
        <w:tc>
          <w:tcPr>
            <w:tcW w:w="3038" w:type="dxa"/>
            <w:gridSpan w:val="4"/>
            <w:vAlign w:val="center"/>
          </w:tcPr>
          <w:p w14:paraId="3DFE8A9C">
            <w:pPr>
              <w:spacing w:before="70" w:line="220" w:lineRule="auto"/>
              <w:ind w:left="715"/>
              <w:jc w:val="center"/>
              <w:rPr>
                <w:rFonts w:hint="default" w:ascii="宋体" w:hAnsi="宋体" w:eastAsia="宋体" w:cs="宋体"/>
                <w:sz w:val="20"/>
                <w:szCs w:val="20"/>
                <w:lang w:val="en-US" w:eastAsia="zh-CN"/>
              </w:rPr>
            </w:pPr>
            <w:r>
              <w:rPr>
                <w:rFonts w:ascii="宋体" w:hAnsi="宋体" w:eastAsia="宋体" w:cs="宋体"/>
                <w:spacing w:val="-1"/>
                <w:sz w:val="20"/>
                <w:szCs w:val="20"/>
              </w:rPr>
              <w:t>项目支出：</w:t>
            </w:r>
            <w:r>
              <w:rPr>
                <w:rFonts w:hint="eastAsia" w:ascii="宋体" w:hAnsi="宋体" w:eastAsia="宋体" w:cs="宋体"/>
                <w:spacing w:val="-1"/>
                <w:sz w:val="20"/>
                <w:szCs w:val="20"/>
                <w:lang w:val="en-US" w:eastAsia="zh-CN"/>
              </w:rPr>
              <w:t>14.94</w:t>
            </w:r>
          </w:p>
        </w:tc>
      </w:tr>
      <w:tr w14:paraId="36BF5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0" w:type="auto"/>
            <w:vMerge w:val="continue"/>
            <w:tcBorders>
              <w:top w:val="nil"/>
              <w:bottom w:val="nil"/>
            </w:tcBorders>
            <w:vAlign w:val="center"/>
          </w:tcPr>
          <w:p w14:paraId="6D8E6275">
            <w:pPr>
              <w:pStyle w:val="8"/>
              <w:jc w:val="center"/>
            </w:pPr>
          </w:p>
        </w:tc>
        <w:tc>
          <w:tcPr>
            <w:tcW w:w="5039" w:type="dxa"/>
            <w:gridSpan w:val="4"/>
            <w:vAlign w:val="center"/>
          </w:tcPr>
          <w:p w14:paraId="75872401">
            <w:pPr>
              <w:spacing w:before="70" w:line="219" w:lineRule="auto"/>
              <w:ind w:left="370"/>
              <w:jc w:val="center"/>
              <w:rPr>
                <w:rFonts w:hint="eastAsia" w:ascii="宋体" w:hAnsi="宋体" w:eastAsia="宋体" w:cs="宋体"/>
                <w:sz w:val="20"/>
                <w:szCs w:val="20"/>
                <w:lang w:val="en-US" w:eastAsia="zh-CN"/>
              </w:rPr>
            </w:pPr>
            <w:r>
              <w:rPr>
                <w:rFonts w:ascii="宋体" w:hAnsi="宋体" w:eastAsia="宋体" w:cs="宋体"/>
                <w:spacing w:val="-1"/>
                <w:sz w:val="20"/>
                <w:szCs w:val="20"/>
              </w:rPr>
              <w:t>纳入专户管理的非税收入拨款：</w:t>
            </w:r>
            <w:r>
              <w:rPr>
                <w:rFonts w:hint="eastAsia" w:ascii="宋体" w:hAnsi="宋体" w:eastAsia="宋体" w:cs="宋体"/>
                <w:spacing w:val="-1"/>
                <w:sz w:val="20"/>
                <w:szCs w:val="20"/>
                <w:lang w:val="en-US" w:eastAsia="zh-CN"/>
              </w:rPr>
              <w:t>0</w:t>
            </w:r>
          </w:p>
        </w:tc>
        <w:tc>
          <w:tcPr>
            <w:tcW w:w="3038" w:type="dxa"/>
            <w:gridSpan w:val="4"/>
            <w:vAlign w:val="center"/>
          </w:tcPr>
          <w:p w14:paraId="36E8EC79">
            <w:pPr>
              <w:pStyle w:val="8"/>
              <w:jc w:val="center"/>
            </w:pPr>
          </w:p>
        </w:tc>
      </w:tr>
      <w:tr w14:paraId="4A43F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0" w:type="auto"/>
            <w:vMerge w:val="continue"/>
            <w:tcBorders>
              <w:top w:val="nil"/>
            </w:tcBorders>
            <w:vAlign w:val="center"/>
          </w:tcPr>
          <w:p w14:paraId="4520D094">
            <w:pPr>
              <w:pStyle w:val="8"/>
              <w:jc w:val="center"/>
            </w:pPr>
          </w:p>
        </w:tc>
        <w:tc>
          <w:tcPr>
            <w:tcW w:w="5039" w:type="dxa"/>
            <w:gridSpan w:val="4"/>
            <w:vAlign w:val="center"/>
          </w:tcPr>
          <w:p w14:paraId="7B256F04">
            <w:pPr>
              <w:spacing w:before="41" w:line="202" w:lineRule="auto"/>
              <w:ind w:left="1501"/>
              <w:jc w:val="center"/>
              <w:rPr>
                <w:rFonts w:hint="eastAsia" w:ascii="宋体" w:hAnsi="宋体" w:eastAsia="宋体" w:cs="宋体"/>
                <w:sz w:val="20"/>
                <w:szCs w:val="20"/>
                <w:lang w:val="en-US" w:eastAsia="zh-CN"/>
              </w:rPr>
            </w:pPr>
            <w:r>
              <w:rPr>
                <w:rFonts w:ascii="宋体" w:hAnsi="宋体" w:eastAsia="宋体" w:cs="宋体"/>
                <w:spacing w:val="-1"/>
                <w:sz w:val="20"/>
                <w:szCs w:val="20"/>
              </w:rPr>
              <w:t>其他资金：</w:t>
            </w:r>
            <w:r>
              <w:rPr>
                <w:rFonts w:hint="eastAsia" w:ascii="宋体" w:hAnsi="宋体" w:eastAsia="宋体" w:cs="宋体"/>
                <w:spacing w:val="-1"/>
                <w:sz w:val="20"/>
                <w:szCs w:val="20"/>
                <w:lang w:val="en-US" w:eastAsia="zh-CN"/>
              </w:rPr>
              <w:t>0</w:t>
            </w:r>
          </w:p>
        </w:tc>
        <w:tc>
          <w:tcPr>
            <w:tcW w:w="3038" w:type="dxa"/>
            <w:gridSpan w:val="4"/>
            <w:vAlign w:val="center"/>
          </w:tcPr>
          <w:p w14:paraId="56A3BED8">
            <w:pPr>
              <w:pStyle w:val="8"/>
              <w:jc w:val="center"/>
            </w:pPr>
          </w:p>
        </w:tc>
      </w:tr>
      <w:tr w14:paraId="2A8581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0" w:type="auto"/>
            <w:vMerge w:val="restart"/>
            <w:tcBorders>
              <w:bottom w:val="nil"/>
            </w:tcBorders>
            <w:vAlign w:val="center"/>
          </w:tcPr>
          <w:p w14:paraId="200AF280">
            <w:pPr>
              <w:spacing w:before="99" w:line="217" w:lineRule="auto"/>
              <w:ind w:left="354" w:right="177" w:hanging="200"/>
              <w:jc w:val="center"/>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2"/>
                <w:sz w:val="20"/>
                <w:szCs w:val="20"/>
              </w:rPr>
              <w:t xml:space="preserve"> </w:t>
            </w:r>
            <w:r>
              <w:rPr>
                <w:rFonts w:ascii="宋体" w:hAnsi="宋体" w:eastAsia="宋体" w:cs="宋体"/>
                <w:spacing w:val="8"/>
                <w:sz w:val="20"/>
                <w:szCs w:val="20"/>
              </w:rPr>
              <w:t>目标</w:t>
            </w:r>
          </w:p>
        </w:tc>
        <w:tc>
          <w:tcPr>
            <w:tcW w:w="5039" w:type="dxa"/>
            <w:gridSpan w:val="4"/>
            <w:vAlign w:val="center"/>
          </w:tcPr>
          <w:p w14:paraId="0F3D51FC">
            <w:pPr>
              <w:spacing w:before="70" w:line="220" w:lineRule="auto"/>
              <w:ind w:left="1910"/>
              <w:jc w:val="both"/>
              <w:rPr>
                <w:rFonts w:ascii="宋体" w:hAnsi="宋体" w:eastAsia="宋体" w:cs="宋体"/>
                <w:sz w:val="20"/>
                <w:szCs w:val="20"/>
              </w:rPr>
            </w:pPr>
            <w:r>
              <w:rPr>
                <w:rFonts w:ascii="宋体" w:hAnsi="宋体" w:eastAsia="宋体" w:cs="宋体"/>
                <w:spacing w:val="-2"/>
                <w:sz w:val="20"/>
                <w:szCs w:val="20"/>
              </w:rPr>
              <w:t>预期目标</w:t>
            </w:r>
          </w:p>
        </w:tc>
        <w:tc>
          <w:tcPr>
            <w:tcW w:w="3038" w:type="dxa"/>
            <w:gridSpan w:val="4"/>
            <w:vAlign w:val="center"/>
          </w:tcPr>
          <w:p w14:paraId="523E6455">
            <w:pPr>
              <w:spacing w:before="70" w:line="219" w:lineRule="auto"/>
              <w:ind w:left="1165"/>
              <w:jc w:val="both"/>
              <w:rPr>
                <w:rFonts w:ascii="宋体" w:hAnsi="宋体" w:eastAsia="宋体" w:cs="宋体"/>
                <w:sz w:val="20"/>
                <w:szCs w:val="20"/>
              </w:rPr>
            </w:pPr>
            <w:r>
              <w:rPr>
                <w:rFonts w:ascii="宋体" w:hAnsi="宋体" w:eastAsia="宋体" w:cs="宋体"/>
                <w:spacing w:val="1"/>
                <w:sz w:val="20"/>
                <w:szCs w:val="20"/>
              </w:rPr>
              <w:t>实际完成情况</w:t>
            </w:r>
          </w:p>
        </w:tc>
      </w:tr>
      <w:tr w14:paraId="1F09D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5" w:hRule="atLeast"/>
        </w:trPr>
        <w:tc>
          <w:tcPr>
            <w:tcW w:w="0" w:type="auto"/>
            <w:vMerge w:val="continue"/>
            <w:tcBorders>
              <w:top w:val="nil"/>
            </w:tcBorders>
            <w:vAlign w:val="center"/>
          </w:tcPr>
          <w:p w14:paraId="160C903E">
            <w:pPr>
              <w:pStyle w:val="8"/>
              <w:jc w:val="center"/>
            </w:pPr>
          </w:p>
        </w:tc>
        <w:tc>
          <w:tcPr>
            <w:tcW w:w="5039" w:type="dxa"/>
            <w:gridSpan w:val="4"/>
            <w:vAlign w:val="center"/>
          </w:tcPr>
          <w:p w14:paraId="09879347">
            <w:pPr>
              <w:spacing w:before="69" w:line="219" w:lineRule="auto"/>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（1）着力抓好融资对接。搭建银企对接平台。引导商业银行加大信贷投放。鼓励商业银行发展普惠金融。（</w:t>
            </w:r>
            <w:r>
              <w:rPr>
                <w:rFonts w:hint="default" w:ascii="宋体" w:hAnsi="宋体" w:eastAsia="宋体" w:cs="宋体"/>
                <w:sz w:val="20"/>
                <w:szCs w:val="20"/>
                <w:lang w:val="en-US" w:eastAsia="zh-CN"/>
              </w:rPr>
              <w:t>2</w:t>
            </w:r>
            <w:r>
              <w:rPr>
                <w:rFonts w:hint="eastAsia" w:ascii="宋体" w:hAnsi="宋体" w:eastAsia="宋体" w:cs="宋体"/>
                <w:sz w:val="20"/>
                <w:szCs w:val="20"/>
                <w:lang w:val="en-US" w:eastAsia="zh-CN"/>
              </w:rPr>
              <w:t>）着力抓好企业上市。深入实施企业上市</w:t>
            </w:r>
            <w:r>
              <w:rPr>
                <w:rFonts w:hint="default" w:ascii="宋体" w:hAnsi="宋体" w:eastAsia="宋体" w:cs="宋体"/>
                <w:sz w:val="20"/>
                <w:szCs w:val="20"/>
                <w:lang w:val="en-US" w:eastAsia="zh-CN"/>
              </w:rPr>
              <w:t>“</w:t>
            </w:r>
            <w:r>
              <w:rPr>
                <w:rFonts w:hint="eastAsia" w:ascii="宋体" w:hAnsi="宋体" w:eastAsia="宋体" w:cs="宋体"/>
                <w:sz w:val="20"/>
                <w:szCs w:val="20"/>
                <w:lang w:val="en-US" w:eastAsia="zh-CN"/>
              </w:rPr>
              <w:t>破零倍增</w:t>
            </w:r>
            <w:r>
              <w:rPr>
                <w:rFonts w:hint="default" w:ascii="宋体" w:hAnsi="宋体" w:eastAsia="宋体" w:cs="宋体"/>
                <w:sz w:val="20"/>
                <w:szCs w:val="20"/>
                <w:lang w:val="en-US" w:eastAsia="zh-CN"/>
              </w:rPr>
              <w:t>”</w:t>
            </w:r>
            <w:r>
              <w:rPr>
                <w:rFonts w:hint="eastAsia" w:ascii="宋体" w:hAnsi="宋体" w:eastAsia="宋体" w:cs="宋体"/>
                <w:sz w:val="20"/>
                <w:szCs w:val="20"/>
                <w:lang w:val="en-US" w:eastAsia="zh-CN"/>
              </w:rPr>
              <w:t>计划。加大上市后备资源培育。组织开展上市培训，建立</w:t>
            </w:r>
            <w:r>
              <w:rPr>
                <w:rFonts w:hint="default" w:ascii="宋体" w:hAnsi="宋体" w:eastAsia="宋体" w:cs="宋体"/>
                <w:sz w:val="20"/>
                <w:szCs w:val="20"/>
                <w:lang w:val="en-US" w:eastAsia="zh-CN"/>
              </w:rPr>
              <w:t>“</w:t>
            </w:r>
            <w:r>
              <w:rPr>
                <w:rFonts w:hint="eastAsia" w:ascii="宋体" w:hAnsi="宋体" w:eastAsia="宋体" w:cs="宋体"/>
                <w:sz w:val="20"/>
                <w:szCs w:val="20"/>
                <w:lang w:val="en-US" w:eastAsia="zh-CN"/>
              </w:rPr>
              <w:t>一对一</w:t>
            </w:r>
            <w:r>
              <w:rPr>
                <w:rFonts w:hint="default" w:ascii="宋体" w:hAnsi="宋体" w:eastAsia="宋体" w:cs="宋体"/>
                <w:sz w:val="20"/>
                <w:szCs w:val="20"/>
                <w:lang w:val="en-US" w:eastAsia="zh-CN"/>
              </w:rPr>
              <w:t>”</w:t>
            </w:r>
            <w:r>
              <w:rPr>
                <w:rFonts w:hint="eastAsia" w:ascii="宋体" w:hAnsi="宋体" w:eastAsia="宋体" w:cs="宋体"/>
                <w:sz w:val="20"/>
                <w:szCs w:val="20"/>
                <w:lang w:val="en-US" w:eastAsia="zh-CN"/>
              </w:rPr>
              <w:t>协调机制。（3）着力抓好风险防控。支持化解政府债务风险，常态化开展金融领域扫黑除恶工作。</w:t>
            </w:r>
          </w:p>
          <w:p w14:paraId="5BB71271">
            <w:pPr>
              <w:pStyle w:val="8"/>
              <w:spacing w:line="220" w:lineRule="exact"/>
              <w:jc w:val="center"/>
              <w:rPr>
                <w:sz w:val="19"/>
              </w:rPr>
            </w:pPr>
          </w:p>
        </w:tc>
        <w:tc>
          <w:tcPr>
            <w:tcW w:w="3038" w:type="dxa"/>
            <w:gridSpan w:val="4"/>
            <w:vAlign w:val="center"/>
          </w:tcPr>
          <w:p w14:paraId="1283E183">
            <w:pPr>
              <w:pStyle w:val="8"/>
              <w:spacing w:line="220" w:lineRule="exact"/>
              <w:jc w:val="center"/>
              <w:rPr>
                <w:rFonts w:hint="eastAsia" w:eastAsia="宋体"/>
                <w:sz w:val="19"/>
                <w:lang w:val="en-US" w:eastAsia="zh-CN"/>
              </w:rPr>
            </w:pPr>
            <w:r>
              <w:rPr>
                <w:rFonts w:hint="eastAsia" w:eastAsia="宋体"/>
                <w:sz w:val="19"/>
                <w:lang w:val="en-US" w:eastAsia="zh-CN"/>
              </w:rPr>
              <w:t xml:space="preserve">均已完成 </w:t>
            </w:r>
          </w:p>
        </w:tc>
      </w:tr>
      <w:tr w14:paraId="002C5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0" w:type="auto"/>
            <w:vMerge w:val="restart"/>
            <w:tcBorders>
              <w:bottom w:val="nil"/>
            </w:tcBorders>
            <w:textDirection w:val="tbRlV"/>
            <w:vAlign w:val="center"/>
          </w:tcPr>
          <w:p w14:paraId="19450CF3">
            <w:pPr>
              <w:pStyle w:val="8"/>
              <w:spacing w:line="396" w:lineRule="auto"/>
              <w:jc w:val="center"/>
            </w:pPr>
          </w:p>
          <w:p w14:paraId="03051CA6">
            <w:pPr>
              <w:spacing w:before="67" w:line="202" w:lineRule="auto"/>
              <w:ind w:left="3062"/>
              <w:jc w:val="center"/>
              <w:rPr>
                <w:rFonts w:ascii="宋体" w:hAnsi="宋体" w:eastAsia="宋体" w:cs="宋体"/>
                <w:sz w:val="20"/>
                <w:szCs w:val="20"/>
              </w:rPr>
            </w:pPr>
            <w:r>
              <w:rPr>
                <w:rFonts w:ascii="宋体" w:hAnsi="宋体" w:eastAsia="宋体" w:cs="宋体"/>
                <w:sz w:val="20"/>
                <w:szCs w:val="20"/>
              </w:rPr>
              <w:t>绩效指标</w:t>
            </w:r>
          </w:p>
        </w:tc>
        <w:tc>
          <w:tcPr>
            <w:tcW w:w="0" w:type="auto"/>
            <w:vAlign w:val="center"/>
          </w:tcPr>
          <w:p w14:paraId="30FB1ED2">
            <w:pPr>
              <w:spacing w:before="260" w:line="220" w:lineRule="auto"/>
              <w:ind w:left="170"/>
              <w:jc w:val="center"/>
              <w:rPr>
                <w:rFonts w:ascii="宋体" w:hAnsi="宋体" w:eastAsia="宋体" w:cs="宋体"/>
                <w:sz w:val="20"/>
                <w:szCs w:val="20"/>
              </w:rPr>
            </w:pPr>
            <w:r>
              <w:rPr>
                <w:rFonts w:ascii="宋体" w:hAnsi="宋体" w:eastAsia="宋体" w:cs="宋体"/>
                <w:spacing w:val="-3"/>
                <w:sz w:val="20"/>
                <w:szCs w:val="20"/>
              </w:rPr>
              <w:t>一级指标</w:t>
            </w:r>
          </w:p>
        </w:tc>
        <w:tc>
          <w:tcPr>
            <w:tcW w:w="1351" w:type="dxa"/>
            <w:vAlign w:val="center"/>
          </w:tcPr>
          <w:p w14:paraId="4B06AC7A">
            <w:pPr>
              <w:spacing w:before="260" w:line="220" w:lineRule="auto"/>
              <w:ind w:left="141"/>
              <w:jc w:val="center"/>
              <w:rPr>
                <w:rFonts w:ascii="宋体" w:hAnsi="宋体" w:eastAsia="宋体" w:cs="宋体"/>
                <w:sz w:val="20"/>
                <w:szCs w:val="20"/>
              </w:rPr>
            </w:pPr>
            <w:r>
              <w:rPr>
                <w:rFonts w:ascii="宋体" w:hAnsi="宋体" w:eastAsia="宋体" w:cs="宋体"/>
                <w:spacing w:val="-3"/>
                <w:sz w:val="20"/>
                <w:szCs w:val="20"/>
              </w:rPr>
              <w:t>二级指标</w:t>
            </w:r>
          </w:p>
        </w:tc>
        <w:tc>
          <w:tcPr>
            <w:tcW w:w="1321" w:type="dxa"/>
            <w:vAlign w:val="center"/>
          </w:tcPr>
          <w:p w14:paraId="7BB4181F">
            <w:pPr>
              <w:spacing w:before="260" w:line="220" w:lineRule="auto"/>
              <w:ind w:left="103"/>
              <w:jc w:val="center"/>
              <w:rPr>
                <w:rFonts w:ascii="宋体" w:hAnsi="宋体" w:eastAsia="宋体" w:cs="宋体"/>
                <w:sz w:val="20"/>
                <w:szCs w:val="20"/>
              </w:rPr>
            </w:pPr>
            <w:r>
              <w:rPr>
                <w:rFonts w:ascii="宋体" w:hAnsi="宋体" w:eastAsia="宋体" w:cs="宋体"/>
                <w:spacing w:val="-2"/>
                <w:sz w:val="20"/>
                <w:szCs w:val="20"/>
              </w:rPr>
              <w:t>三级指标</w:t>
            </w:r>
          </w:p>
        </w:tc>
        <w:tc>
          <w:tcPr>
            <w:tcW w:w="1262" w:type="dxa"/>
            <w:vAlign w:val="center"/>
          </w:tcPr>
          <w:p w14:paraId="05AC5DE1">
            <w:pPr>
              <w:spacing w:before="160" w:line="225" w:lineRule="auto"/>
              <w:ind w:left="333" w:right="354" w:firstLine="99"/>
              <w:jc w:val="center"/>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z w:val="20"/>
                <w:szCs w:val="20"/>
              </w:rPr>
              <w:t xml:space="preserve"> </w:t>
            </w:r>
            <w:r>
              <w:rPr>
                <w:rFonts w:ascii="宋体" w:hAnsi="宋体" w:eastAsia="宋体" w:cs="宋体"/>
                <w:spacing w:val="-4"/>
                <w:sz w:val="20"/>
                <w:szCs w:val="20"/>
              </w:rPr>
              <w:t>指标值</w:t>
            </w:r>
          </w:p>
        </w:tc>
        <w:tc>
          <w:tcPr>
            <w:tcW w:w="860" w:type="dxa"/>
            <w:vAlign w:val="center"/>
          </w:tcPr>
          <w:p w14:paraId="6A26D1B8">
            <w:pPr>
              <w:spacing w:before="160" w:line="211" w:lineRule="auto"/>
              <w:ind w:right="272"/>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实际完成值</w:t>
            </w:r>
          </w:p>
        </w:tc>
        <w:tc>
          <w:tcPr>
            <w:tcW w:w="0" w:type="auto"/>
            <w:vAlign w:val="center"/>
          </w:tcPr>
          <w:p w14:paraId="37C484AD">
            <w:pPr>
              <w:spacing w:before="260" w:line="219" w:lineRule="auto"/>
              <w:ind w:left="146"/>
              <w:jc w:val="center"/>
              <w:rPr>
                <w:rFonts w:ascii="宋体" w:hAnsi="宋体" w:eastAsia="宋体" w:cs="宋体"/>
                <w:sz w:val="20"/>
                <w:szCs w:val="20"/>
              </w:rPr>
            </w:pPr>
            <w:r>
              <w:rPr>
                <w:rFonts w:ascii="宋体" w:hAnsi="宋体" w:eastAsia="宋体" w:cs="宋体"/>
                <w:spacing w:val="-3"/>
                <w:sz w:val="20"/>
                <w:szCs w:val="20"/>
              </w:rPr>
              <w:t>分值</w:t>
            </w:r>
          </w:p>
        </w:tc>
        <w:tc>
          <w:tcPr>
            <w:tcW w:w="671" w:type="dxa"/>
            <w:textDirection w:val="tbRlV"/>
            <w:vAlign w:val="center"/>
          </w:tcPr>
          <w:p w14:paraId="1A108E80">
            <w:pPr>
              <w:spacing w:before="138" w:line="200" w:lineRule="auto"/>
              <w:ind w:left="141"/>
              <w:jc w:val="center"/>
              <w:rPr>
                <w:rFonts w:ascii="宋体" w:hAnsi="宋体" w:eastAsia="宋体" w:cs="宋体"/>
                <w:sz w:val="20"/>
                <w:szCs w:val="20"/>
              </w:rPr>
            </w:pPr>
            <w:r>
              <w:rPr>
                <w:rFonts w:ascii="宋体" w:hAnsi="宋体" w:eastAsia="宋体" w:cs="宋体"/>
                <w:sz w:val="20"/>
                <w:szCs w:val="20"/>
              </w:rPr>
              <w:t>得分</w:t>
            </w:r>
          </w:p>
        </w:tc>
        <w:tc>
          <w:tcPr>
            <w:tcW w:w="941" w:type="dxa"/>
            <w:vAlign w:val="center"/>
          </w:tcPr>
          <w:p w14:paraId="33FE0735">
            <w:pPr>
              <w:spacing w:before="40" w:line="213" w:lineRule="auto"/>
              <w:jc w:val="center"/>
              <w:rPr>
                <w:rFonts w:ascii="宋体" w:hAnsi="宋体" w:eastAsia="宋体" w:cs="宋体"/>
                <w:sz w:val="20"/>
                <w:szCs w:val="20"/>
              </w:rPr>
            </w:pPr>
            <w:r>
              <w:rPr>
                <w:rFonts w:ascii="宋体" w:hAnsi="宋体" w:eastAsia="宋体" w:cs="宋体"/>
                <w:spacing w:val="5"/>
                <w:sz w:val="20"/>
                <w:szCs w:val="20"/>
              </w:rPr>
              <w:t>偏差原因</w:t>
            </w:r>
            <w:r>
              <w:rPr>
                <w:rFonts w:ascii="宋体" w:hAnsi="宋体" w:eastAsia="宋体" w:cs="宋体"/>
                <w:spacing w:val="3"/>
                <w:sz w:val="20"/>
                <w:szCs w:val="20"/>
              </w:rPr>
              <w:t>分析及</w:t>
            </w:r>
            <w:r>
              <w:rPr>
                <w:rFonts w:ascii="宋体" w:hAnsi="宋体" w:eastAsia="宋体" w:cs="宋体"/>
                <w:spacing w:val="2"/>
                <w:sz w:val="20"/>
                <w:szCs w:val="20"/>
              </w:rPr>
              <w:t>改进措施</w:t>
            </w:r>
          </w:p>
        </w:tc>
      </w:tr>
      <w:tr w14:paraId="6C23D5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0" w:type="auto"/>
            <w:vMerge w:val="continue"/>
            <w:tcBorders>
              <w:top w:val="nil"/>
              <w:bottom w:val="nil"/>
            </w:tcBorders>
            <w:textDirection w:val="tbRlV"/>
            <w:vAlign w:val="center"/>
          </w:tcPr>
          <w:p w14:paraId="7E69E674">
            <w:pPr>
              <w:pStyle w:val="8"/>
              <w:jc w:val="center"/>
            </w:pPr>
          </w:p>
        </w:tc>
        <w:tc>
          <w:tcPr>
            <w:tcW w:w="0" w:type="auto"/>
            <w:vMerge w:val="restart"/>
            <w:tcBorders>
              <w:bottom w:val="nil"/>
            </w:tcBorders>
            <w:vAlign w:val="center"/>
          </w:tcPr>
          <w:p w14:paraId="29C64E1A">
            <w:pPr>
              <w:pStyle w:val="8"/>
              <w:spacing w:line="279" w:lineRule="auto"/>
              <w:jc w:val="center"/>
            </w:pPr>
          </w:p>
          <w:p w14:paraId="1DDA2EE8">
            <w:pPr>
              <w:pStyle w:val="8"/>
              <w:spacing w:line="279" w:lineRule="auto"/>
              <w:jc w:val="center"/>
            </w:pPr>
          </w:p>
          <w:p w14:paraId="30563F4B">
            <w:pPr>
              <w:pStyle w:val="8"/>
              <w:spacing w:line="280" w:lineRule="auto"/>
              <w:jc w:val="center"/>
            </w:pPr>
          </w:p>
          <w:p w14:paraId="0A21EDE7">
            <w:pPr>
              <w:pStyle w:val="8"/>
              <w:spacing w:line="280" w:lineRule="auto"/>
              <w:jc w:val="center"/>
            </w:pPr>
          </w:p>
          <w:p w14:paraId="3B09315B">
            <w:pPr>
              <w:spacing w:before="65" w:line="265" w:lineRule="auto"/>
              <w:ind w:left="270" w:right="185" w:hanging="100"/>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58"/>
                <w:sz w:val="20"/>
                <w:szCs w:val="20"/>
              </w:rPr>
              <w:t xml:space="preserve"> </w:t>
            </w:r>
            <w:r>
              <w:rPr>
                <w:rFonts w:hint="eastAsia" w:ascii="宋体" w:hAnsi="宋体" w:eastAsia="宋体" w:cs="宋体"/>
                <w:sz w:val="20"/>
                <w:szCs w:val="20"/>
                <w:u w:val="single" w:color="auto"/>
                <w:lang w:val="en-US" w:eastAsia="zh-CN"/>
              </w:rPr>
              <w:t>6</w:t>
            </w:r>
            <w:r>
              <w:rPr>
                <w:rFonts w:ascii="宋体" w:hAnsi="宋体" w:eastAsia="宋体" w:cs="宋体"/>
                <w:sz w:val="20"/>
                <w:szCs w:val="20"/>
              </w:rPr>
              <w:t>0分)</w:t>
            </w:r>
          </w:p>
        </w:tc>
        <w:tc>
          <w:tcPr>
            <w:tcW w:w="1351" w:type="dxa"/>
            <w:tcBorders>
              <w:bottom w:val="nil"/>
            </w:tcBorders>
            <w:vAlign w:val="center"/>
          </w:tcPr>
          <w:p w14:paraId="7259A999">
            <w:pPr>
              <w:spacing w:before="181" w:line="207" w:lineRule="auto"/>
              <w:ind w:left="342" w:right="366"/>
              <w:jc w:val="center"/>
              <w:rPr>
                <w:rFonts w:ascii="宋体" w:hAnsi="宋体" w:eastAsia="宋体" w:cs="宋体"/>
                <w:sz w:val="20"/>
                <w:szCs w:val="20"/>
              </w:rPr>
            </w:pPr>
            <w:r>
              <w:rPr>
                <w:rFonts w:ascii="宋体" w:hAnsi="宋体" w:eastAsia="宋体" w:cs="宋体"/>
                <w:spacing w:val="-5"/>
                <w:sz w:val="20"/>
                <w:szCs w:val="20"/>
              </w:rPr>
              <w:t>数量</w:t>
            </w:r>
            <w:r>
              <w:rPr>
                <w:rFonts w:ascii="宋体" w:hAnsi="宋体" w:eastAsia="宋体" w:cs="宋体"/>
                <w:sz w:val="20"/>
                <w:szCs w:val="20"/>
              </w:rPr>
              <w:t xml:space="preserve"> </w:t>
            </w:r>
            <w:r>
              <w:rPr>
                <w:rFonts w:ascii="宋体" w:hAnsi="宋体" w:eastAsia="宋体" w:cs="宋体"/>
                <w:spacing w:val="-6"/>
                <w:sz w:val="20"/>
                <w:szCs w:val="20"/>
              </w:rPr>
              <w:t>指标</w:t>
            </w:r>
          </w:p>
        </w:tc>
        <w:tc>
          <w:tcPr>
            <w:tcW w:w="1321" w:type="dxa"/>
            <w:vAlign w:val="center"/>
          </w:tcPr>
          <w:p w14:paraId="79CAB458">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专项工作完成率</w:t>
            </w:r>
          </w:p>
        </w:tc>
        <w:tc>
          <w:tcPr>
            <w:tcW w:w="1262" w:type="dxa"/>
            <w:vAlign w:val="center"/>
          </w:tcPr>
          <w:p w14:paraId="5931A531">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100</w:t>
            </w:r>
          </w:p>
        </w:tc>
        <w:tc>
          <w:tcPr>
            <w:tcW w:w="860" w:type="dxa"/>
            <w:shd w:val="clear" w:color="auto" w:fill="auto"/>
            <w:vAlign w:val="center"/>
          </w:tcPr>
          <w:p w14:paraId="77FBF3B0">
            <w:pPr>
              <w:keepNext w:val="0"/>
              <w:keepLines w:val="0"/>
              <w:widowControl/>
              <w:suppressLineNumbers w:val="0"/>
              <w:jc w:val="center"/>
              <w:textAlignment w:val="center"/>
              <w:rPr>
                <w:rFonts w:hint="default"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100</w:t>
            </w:r>
          </w:p>
        </w:tc>
        <w:tc>
          <w:tcPr>
            <w:tcW w:w="0" w:type="auto"/>
            <w:vAlign w:val="center"/>
          </w:tcPr>
          <w:p w14:paraId="2250DFD8">
            <w:pPr>
              <w:spacing w:before="69" w:line="219" w:lineRule="auto"/>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671" w:type="dxa"/>
            <w:vAlign w:val="center"/>
          </w:tcPr>
          <w:p w14:paraId="053AD924">
            <w:pPr>
              <w:spacing w:before="69" w:line="219" w:lineRule="auto"/>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941" w:type="dxa"/>
            <w:vAlign w:val="center"/>
          </w:tcPr>
          <w:p w14:paraId="0AFC55DB">
            <w:pPr>
              <w:spacing w:before="69" w:line="219" w:lineRule="auto"/>
              <w:jc w:val="both"/>
              <w:rPr>
                <w:rFonts w:hint="eastAsia" w:ascii="宋体" w:hAnsi="宋体" w:eastAsia="宋体" w:cs="宋体"/>
                <w:sz w:val="20"/>
                <w:szCs w:val="20"/>
                <w:lang w:val="en-US" w:eastAsia="zh-CN"/>
              </w:rPr>
            </w:pPr>
          </w:p>
        </w:tc>
      </w:tr>
      <w:tr w14:paraId="42F2F0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0" w:type="auto"/>
            <w:vMerge w:val="continue"/>
            <w:tcBorders>
              <w:top w:val="nil"/>
              <w:bottom w:val="nil"/>
            </w:tcBorders>
            <w:textDirection w:val="tbRlV"/>
            <w:vAlign w:val="center"/>
          </w:tcPr>
          <w:p w14:paraId="6866C358">
            <w:pPr>
              <w:pStyle w:val="8"/>
              <w:jc w:val="center"/>
            </w:pPr>
          </w:p>
        </w:tc>
        <w:tc>
          <w:tcPr>
            <w:tcW w:w="0" w:type="auto"/>
            <w:vMerge w:val="continue"/>
            <w:tcBorders>
              <w:top w:val="nil"/>
              <w:bottom w:val="nil"/>
            </w:tcBorders>
            <w:vAlign w:val="center"/>
          </w:tcPr>
          <w:p w14:paraId="2DAF51C7">
            <w:pPr>
              <w:pStyle w:val="8"/>
              <w:jc w:val="center"/>
            </w:pPr>
          </w:p>
        </w:tc>
        <w:tc>
          <w:tcPr>
            <w:tcW w:w="1351" w:type="dxa"/>
            <w:tcBorders>
              <w:bottom w:val="nil"/>
            </w:tcBorders>
            <w:vAlign w:val="center"/>
          </w:tcPr>
          <w:p w14:paraId="31EC0641">
            <w:pPr>
              <w:spacing w:before="153" w:line="216" w:lineRule="auto"/>
              <w:ind w:left="342" w:right="365"/>
              <w:jc w:val="center"/>
              <w:rPr>
                <w:rFonts w:ascii="宋体" w:hAnsi="宋体" w:eastAsia="宋体" w:cs="宋体"/>
                <w:sz w:val="20"/>
                <w:szCs w:val="20"/>
              </w:rPr>
            </w:pPr>
            <w:r>
              <w:rPr>
                <w:rFonts w:ascii="宋体" w:hAnsi="宋体" w:eastAsia="宋体" w:cs="宋体"/>
                <w:spacing w:val="-5"/>
                <w:sz w:val="20"/>
                <w:szCs w:val="20"/>
              </w:rPr>
              <w:t>质量</w:t>
            </w:r>
            <w:r>
              <w:rPr>
                <w:rFonts w:ascii="宋体" w:hAnsi="宋体" w:eastAsia="宋体" w:cs="宋体"/>
                <w:sz w:val="20"/>
                <w:szCs w:val="20"/>
              </w:rPr>
              <w:t xml:space="preserve"> </w:t>
            </w:r>
            <w:r>
              <w:rPr>
                <w:rFonts w:ascii="宋体" w:hAnsi="宋体" w:eastAsia="宋体" w:cs="宋体"/>
                <w:spacing w:val="-6"/>
                <w:sz w:val="20"/>
                <w:szCs w:val="20"/>
              </w:rPr>
              <w:t>指标</w:t>
            </w:r>
          </w:p>
        </w:tc>
        <w:tc>
          <w:tcPr>
            <w:tcW w:w="1321" w:type="dxa"/>
            <w:vAlign w:val="center"/>
          </w:tcPr>
          <w:p w14:paraId="4933582C">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完成达标率</w:t>
            </w:r>
          </w:p>
        </w:tc>
        <w:tc>
          <w:tcPr>
            <w:tcW w:w="1262" w:type="dxa"/>
            <w:vAlign w:val="center"/>
          </w:tcPr>
          <w:p w14:paraId="5E0AC5AC">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100</w:t>
            </w:r>
          </w:p>
        </w:tc>
        <w:tc>
          <w:tcPr>
            <w:tcW w:w="860" w:type="dxa"/>
            <w:shd w:val="clear" w:color="auto" w:fill="auto"/>
            <w:vAlign w:val="center"/>
          </w:tcPr>
          <w:p w14:paraId="06C66594">
            <w:pPr>
              <w:keepNext w:val="0"/>
              <w:keepLines w:val="0"/>
              <w:widowControl/>
              <w:suppressLineNumbers w:val="0"/>
              <w:jc w:val="center"/>
              <w:textAlignment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100</w:t>
            </w:r>
          </w:p>
        </w:tc>
        <w:tc>
          <w:tcPr>
            <w:tcW w:w="0" w:type="auto"/>
            <w:vAlign w:val="center"/>
          </w:tcPr>
          <w:p w14:paraId="0D09768E">
            <w:pPr>
              <w:spacing w:before="69" w:line="219" w:lineRule="auto"/>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671" w:type="dxa"/>
            <w:vAlign w:val="center"/>
          </w:tcPr>
          <w:p w14:paraId="30B9AB17">
            <w:pPr>
              <w:spacing w:before="69" w:line="219" w:lineRule="auto"/>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941" w:type="dxa"/>
            <w:vAlign w:val="center"/>
          </w:tcPr>
          <w:p w14:paraId="44454DFF">
            <w:pPr>
              <w:spacing w:before="69" w:line="219" w:lineRule="auto"/>
              <w:jc w:val="both"/>
              <w:rPr>
                <w:rFonts w:hint="eastAsia" w:ascii="宋体" w:hAnsi="宋体" w:eastAsia="宋体" w:cs="宋体"/>
                <w:sz w:val="20"/>
                <w:szCs w:val="20"/>
                <w:lang w:val="en-US" w:eastAsia="zh-CN"/>
              </w:rPr>
            </w:pPr>
          </w:p>
        </w:tc>
      </w:tr>
      <w:tr w14:paraId="25E65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0" w:type="auto"/>
            <w:vMerge w:val="continue"/>
            <w:tcBorders>
              <w:top w:val="nil"/>
              <w:bottom w:val="nil"/>
            </w:tcBorders>
            <w:textDirection w:val="tbRlV"/>
            <w:vAlign w:val="center"/>
          </w:tcPr>
          <w:p w14:paraId="1B9BA250">
            <w:pPr>
              <w:pStyle w:val="8"/>
              <w:jc w:val="center"/>
            </w:pPr>
          </w:p>
        </w:tc>
        <w:tc>
          <w:tcPr>
            <w:tcW w:w="0" w:type="auto"/>
            <w:vMerge w:val="continue"/>
            <w:tcBorders>
              <w:top w:val="nil"/>
              <w:bottom w:val="nil"/>
            </w:tcBorders>
            <w:vAlign w:val="center"/>
          </w:tcPr>
          <w:p w14:paraId="7BF7261C">
            <w:pPr>
              <w:pStyle w:val="8"/>
              <w:jc w:val="center"/>
            </w:pPr>
          </w:p>
        </w:tc>
        <w:tc>
          <w:tcPr>
            <w:tcW w:w="1351" w:type="dxa"/>
            <w:tcBorders>
              <w:bottom w:val="nil"/>
            </w:tcBorders>
            <w:vAlign w:val="center"/>
          </w:tcPr>
          <w:p w14:paraId="2B618569">
            <w:pPr>
              <w:spacing w:before="152" w:line="221" w:lineRule="auto"/>
              <w:ind w:left="342" w:right="348"/>
              <w:jc w:val="center"/>
              <w:rPr>
                <w:rFonts w:ascii="宋体" w:hAnsi="宋体" w:eastAsia="宋体" w:cs="宋体"/>
                <w:sz w:val="20"/>
                <w:szCs w:val="20"/>
              </w:rPr>
            </w:pPr>
            <w:r>
              <w:rPr>
                <w:rFonts w:ascii="宋体" w:hAnsi="宋体" w:eastAsia="宋体" w:cs="宋体"/>
                <w:spacing w:val="4"/>
                <w:sz w:val="20"/>
                <w:szCs w:val="20"/>
              </w:rPr>
              <w:t>时效</w:t>
            </w:r>
            <w:r>
              <w:rPr>
                <w:rFonts w:ascii="宋体" w:hAnsi="宋体" w:eastAsia="宋体" w:cs="宋体"/>
                <w:sz w:val="20"/>
                <w:szCs w:val="20"/>
              </w:rPr>
              <w:t xml:space="preserve"> </w:t>
            </w:r>
            <w:r>
              <w:rPr>
                <w:rFonts w:ascii="宋体" w:hAnsi="宋体" w:eastAsia="宋体" w:cs="宋体"/>
                <w:spacing w:val="-3"/>
                <w:sz w:val="20"/>
                <w:szCs w:val="20"/>
              </w:rPr>
              <w:t>指标</w:t>
            </w:r>
          </w:p>
        </w:tc>
        <w:tc>
          <w:tcPr>
            <w:tcW w:w="1321" w:type="dxa"/>
            <w:vAlign w:val="center"/>
          </w:tcPr>
          <w:p w14:paraId="47575677">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完成及时率</w:t>
            </w:r>
          </w:p>
        </w:tc>
        <w:tc>
          <w:tcPr>
            <w:tcW w:w="1262" w:type="dxa"/>
            <w:vAlign w:val="center"/>
          </w:tcPr>
          <w:p w14:paraId="194C3122">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2023年12月之前完成</w:t>
            </w:r>
          </w:p>
        </w:tc>
        <w:tc>
          <w:tcPr>
            <w:tcW w:w="860" w:type="dxa"/>
            <w:shd w:val="clear" w:color="auto" w:fill="auto"/>
            <w:vAlign w:val="center"/>
          </w:tcPr>
          <w:p w14:paraId="72FE9A81">
            <w:pPr>
              <w:keepNext w:val="0"/>
              <w:keepLines w:val="0"/>
              <w:widowControl/>
              <w:suppressLineNumbers w:val="0"/>
              <w:jc w:val="center"/>
              <w:textAlignment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2023年12月之前完成</w:t>
            </w:r>
          </w:p>
        </w:tc>
        <w:tc>
          <w:tcPr>
            <w:tcW w:w="0" w:type="auto"/>
            <w:vAlign w:val="center"/>
          </w:tcPr>
          <w:p w14:paraId="150E425B">
            <w:pPr>
              <w:spacing w:before="69" w:line="219" w:lineRule="auto"/>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671" w:type="dxa"/>
            <w:vAlign w:val="center"/>
          </w:tcPr>
          <w:p w14:paraId="6F1B3580">
            <w:pPr>
              <w:spacing w:before="69" w:line="219" w:lineRule="auto"/>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941" w:type="dxa"/>
            <w:vAlign w:val="center"/>
          </w:tcPr>
          <w:p w14:paraId="6CF68E78">
            <w:pPr>
              <w:spacing w:before="69" w:line="219" w:lineRule="auto"/>
              <w:jc w:val="both"/>
              <w:rPr>
                <w:rFonts w:hint="eastAsia" w:ascii="宋体" w:hAnsi="宋体" w:eastAsia="宋体" w:cs="宋体"/>
                <w:sz w:val="20"/>
                <w:szCs w:val="20"/>
                <w:lang w:val="en-US" w:eastAsia="zh-CN"/>
              </w:rPr>
            </w:pPr>
          </w:p>
        </w:tc>
      </w:tr>
      <w:tr w14:paraId="2ECF2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0" w:type="auto"/>
            <w:vMerge w:val="continue"/>
            <w:tcBorders>
              <w:top w:val="nil"/>
              <w:bottom w:val="nil"/>
            </w:tcBorders>
            <w:textDirection w:val="tbRlV"/>
            <w:vAlign w:val="center"/>
          </w:tcPr>
          <w:p w14:paraId="0C8ACCB5">
            <w:pPr>
              <w:pStyle w:val="8"/>
              <w:jc w:val="center"/>
            </w:pPr>
          </w:p>
        </w:tc>
        <w:tc>
          <w:tcPr>
            <w:tcW w:w="0" w:type="auto"/>
            <w:vMerge w:val="continue"/>
            <w:tcBorders>
              <w:top w:val="nil"/>
              <w:bottom w:val="nil"/>
            </w:tcBorders>
            <w:vAlign w:val="center"/>
          </w:tcPr>
          <w:p w14:paraId="2F44432E">
            <w:pPr>
              <w:pStyle w:val="8"/>
              <w:jc w:val="center"/>
            </w:pPr>
          </w:p>
        </w:tc>
        <w:tc>
          <w:tcPr>
            <w:tcW w:w="1351" w:type="dxa"/>
            <w:tcBorders>
              <w:bottom w:val="nil"/>
            </w:tcBorders>
            <w:vAlign w:val="center"/>
          </w:tcPr>
          <w:p w14:paraId="47E28C2B">
            <w:pPr>
              <w:spacing w:before="173" w:line="221" w:lineRule="auto"/>
              <w:ind w:left="342" w:right="366"/>
              <w:jc w:val="center"/>
              <w:rPr>
                <w:rFonts w:ascii="宋体" w:hAnsi="宋体" w:eastAsia="宋体" w:cs="宋体"/>
                <w:sz w:val="20"/>
                <w:szCs w:val="20"/>
              </w:rPr>
            </w:pPr>
            <w:r>
              <w:rPr>
                <w:rFonts w:ascii="宋体" w:hAnsi="宋体" w:eastAsia="宋体" w:cs="宋体"/>
                <w:spacing w:val="-5"/>
                <w:sz w:val="20"/>
                <w:szCs w:val="20"/>
              </w:rPr>
              <w:t>成本</w:t>
            </w:r>
            <w:r>
              <w:rPr>
                <w:rFonts w:ascii="宋体" w:hAnsi="宋体" w:eastAsia="宋体" w:cs="宋体"/>
                <w:sz w:val="20"/>
                <w:szCs w:val="20"/>
              </w:rPr>
              <w:t xml:space="preserve"> </w:t>
            </w:r>
            <w:r>
              <w:rPr>
                <w:rFonts w:ascii="宋体" w:hAnsi="宋体" w:eastAsia="宋体" w:cs="宋体"/>
                <w:spacing w:val="-6"/>
                <w:sz w:val="20"/>
                <w:szCs w:val="20"/>
              </w:rPr>
              <w:t>指标</w:t>
            </w:r>
          </w:p>
        </w:tc>
        <w:tc>
          <w:tcPr>
            <w:tcW w:w="1321" w:type="dxa"/>
            <w:vAlign w:val="center"/>
          </w:tcPr>
          <w:p w14:paraId="3A11E0AE">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成本节约率</w:t>
            </w:r>
          </w:p>
        </w:tc>
        <w:tc>
          <w:tcPr>
            <w:tcW w:w="1262" w:type="dxa"/>
            <w:vAlign w:val="center"/>
          </w:tcPr>
          <w:p w14:paraId="47DF5CA0">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0</w:t>
            </w:r>
          </w:p>
        </w:tc>
        <w:tc>
          <w:tcPr>
            <w:tcW w:w="860" w:type="dxa"/>
            <w:shd w:val="clear" w:color="auto" w:fill="auto"/>
            <w:vAlign w:val="center"/>
          </w:tcPr>
          <w:p w14:paraId="34B72CAB">
            <w:pPr>
              <w:keepNext w:val="0"/>
              <w:keepLines w:val="0"/>
              <w:widowControl/>
              <w:suppressLineNumbers w:val="0"/>
              <w:jc w:val="center"/>
              <w:textAlignment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0</w:t>
            </w:r>
          </w:p>
        </w:tc>
        <w:tc>
          <w:tcPr>
            <w:tcW w:w="0" w:type="auto"/>
            <w:vAlign w:val="center"/>
          </w:tcPr>
          <w:p w14:paraId="77BFF530">
            <w:pPr>
              <w:spacing w:before="69" w:line="219" w:lineRule="auto"/>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671" w:type="dxa"/>
            <w:vAlign w:val="center"/>
          </w:tcPr>
          <w:p w14:paraId="4F3CF8B5">
            <w:pPr>
              <w:spacing w:before="69" w:line="219" w:lineRule="auto"/>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941" w:type="dxa"/>
            <w:vAlign w:val="center"/>
          </w:tcPr>
          <w:p w14:paraId="59749624">
            <w:pPr>
              <w:spacing w:before="69" w:line="219" w:lineRule="auto"/>
              <w:jc w:val="both"/>
              <w:rPr>
                <w:rFonts w:hint="eastAsia" w:ascii="宋体" w:hAnsi="宋体" w:eastAsia="宋体" w:cs="宋体"/>
                <w:sz w:val="20"/>
                <w:szCs w:val="20"/>
                <w:lang w:val="en-US" w:eastAsia="zh-CN"/>
              </w:rPr>
            </w:pPr>
          </w:p>
        </w:tc>
      </w:tr>
      <w:tr w14:paraId="48021F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0" w:type="auto"/>
            <w:vMerge w:val="continue"/>
            <w:tcBorders>
              <w:top w:val="nil"/>
              <w:bottom w:val="nil"/>
            </w:tcBorders>
            <w:textDirection w:val="tbRlV"/>
            <w:vAlign w:val="center"/>
          </w:tcPr>
          <w:p w14:paraId="077EF3B4">
            <w:pPr>
              <w:pStyle w:val="8"/>
              <w:jc w:val="center"/>
            </w:pPr>
          </w:p>
        </w:tc>
        <w:tc>
          <w:tcPr>
            <w:tcW w:w="0" w:type="auto"/>
            <w:vMerge w:val="restart"/>
            <w:tcBorders>
              <w:bottom w:val="nil"/>
            </w:tcBorders>
            <w:vAlign w:val="center"/>
          </w:tcPr>
          <w:p w14:paraId="770B3BE1">
            <w:pPr>
              <w:pStyle w:val="8"/>
              <w:spacing w:line="273" w:lineRule="auto"/>
              <w:jc w:val="center"/>
            </w:pPr>
          </w:p>
          <w:p w14:paraId="25B9664D">
            <w:pPr>
              <w:pStyle w:val="8"/>
              <w:spacing w:line="273" w:lineRule="auto"/>
              <w:jc w:val="center"/>
            </w:pPr>
          </w:p>
          <w:p w14:paraId="21EB8A4B">
            <w:pPr>
              <w:pStyle w:val="8"/>
              <w:spacing w:line="273" w:lineRule="auto"/>
              <w:jc w:val="center"/>
            </w:pPr>
          </w:p>
          <w:p w14:paraId="24C290B3">
            <w:pPr>
              <w:pStyle w:val="8"/>
              <w:spacing w:line="273" w:lineRule="auto"/>
              <w:jc w:val="center"/>
            </w:pPr>
          </w:p>
          <w:p w14:paraId="397EA9C3">
            <w:pPr>
              <w:spacing w:before="65" w:line="246" w:lineRule="auto"/>
              <w:ind w:left="270" w:right="170" w:hanging="100"/>
              <w:jc w:val="center"/>
              <w:rPr>
                <w:rFonts w:ascii="宋体" w:hAnsi="宋体" w:eastAsia="宋体" w:cs="宋体"/>
                <w:sz w:val="20"/>
                <w:szCs w:val="20"/>
              </w:rPr>
            </w:pPr>
            <w:r>
              <w:rPr>
                <w:rFonts w:ascii="宋体" w:hAnsi="宋体" w:eastAsia="宋体" w:cs="宋体"/>
                <w:spacing w:val="1"/>
                <w:sz w:val="20"/>
                <w:szCs w:val="20"/>
              </w:rPr>
              <w:t>效益指标</w:t>
            </w:r>
            <w:r>
              <w:rPr>
                <w:rFonts w:ascii="宋体" w:hAnsi="宋体" w:eastAsia="宋体" w:cs="宋体"/>
                <w:spacing w:val="2"/>
                <w:sz w:val="20"/>
                <w:szCs w:val="20"/>
              </w:rPr>
              <w:t xml:space="preserve"> </w:t>
            </w:r>
            <w:r>
              <w:rPr>
                <w:rFonts w:ascii="宋体" w:hAnsi="宋体" w:eastAsia="宋体" w:cs="宋体"/>
                <w:spacing w:val="8"/>
                <w:sz w:val="20"/>
                <w:szCs w:val="20"/>
              </w:rPr>
              <w:t>(30分)</w:t>
            </w:r>
          </w:p>
        </w:tc>
        <w:tc>
          <w:tcPr>
            <w:tcW w:w="1351" w:type="dxa"/>
            <w:tcBorders>
              <w:bottom w:val="nil"/>
            </w:tcBorders>
            <w:vAlign w:val="center"/>
          </w:tcPr>
          <w:p w14:paraId="06B30B33">
            <w:pPr>
              <w:spacing w:before="163" w:line="212" w:lineRule="auto"/>
              <w:ind w:left="241" w:right="266"/>
              <w:jc w:val="center"/>
              <w:rPr>
                <w:rFonts w:ascii="宋体" w:hAnsi="宋体" w:eastAsia="宋体" w:cs="宋体"/>
                <w:sz w:val="20"/>
                <w:szCs w:val="20"/>
              </w:rPr>
            </w:pPr>
            <w:r>
              <w:rPr>
                <w:rFonts w:ascii="宋体" w:hAnsi="宋体" w:eastAsia="宋体" w:cs="宋体"/>
                <w:spacing w:val="-4"/>
                <w:sz w:val="20"/>
                <w:szCs w:val="20"/>
              </w:rPr>
              <w:t>经济效</w:t>
            </w:r>
            <w:r>
              <w:rPr>
                <w:rFonts w:ascii="宋体" w:hAnsi="宋体" w:eastAsia="宋体" w:cs="宋体"/>
                <w:spacing w:val="1"/>
                <w:sz w:val="20"/>
                <w:szCs w:val="20"/>
              </w:rPr>
              <w:t xml:space="preserve"> </w:t>
            </w:r>
            <w:r>
              <w:rPr>
                <w:rFonts w:ascii="宋体" w:hAnsi="宋体" w:eastAsia="宋体" w:cs="宋体"/>
                <w:spacing w:val="-4"/>
                <w:sz w:val="20"/>
                <w:szCs w:val="20"/>
              </w:rPr>
              <w:t>益指标</w:t>
            </w:r>
          </w:p>
        </w:tc>
        <w:tc>
          <w:tcPr>
            <w:tcW w:w="1321" w:type="dxa"/>
            <w:vAlign w:val="center"/>
          </w:tcPr>
          <w:p w14:paraId="0E50C1E8">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提高财政资金的使用效益</w:t>
            </w:r>
          </w:p>
        </w:tc>
        <w:tc>
          <w:tcPr>
            <w:tcW w:w="1262" w:type="dxa"/>
            <w:vAlign w:val="center"/>
          </w:tcPr>
          <w:p w14:paraId="1DCA87B7">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860" w:type="dxa"/>
            <w:shd w:val="clear" w:color="auto" w:fill="auto"/>
            <w:vAlign w:val="center"/>
          </w:tcPr>
          <w:p w14:paraId="54D53A8D">
            <w:pPr>
              <w:keepNext w:val="0"/>
              <w:keepLines w:val="0"/>
              <w:widowControl/>
              <w:suppressLineNumbers w:val="0"/>
              <w:jc w:val="center"/>
              <w:textAlignment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0" w:type="auto"/>
            <w:vAlign w:val="center"/>
          </w:tcPr>
          <w:p w14:paraId="099EFE70">
            <w:pPr>
              <w:spacing w:before="69" w:line="219" w:lineRule="auto"/>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671" w:type="dxa"/>
            <w:vAlign w:val="center"/>
          </w:tcPr>
          <w:p w14:paraId="1F21CF67">
            <w:pPr>
              <w:spacing w:before="69" w:line="219" w:lineRule="auto"/>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941" w:type="dxa"/>
            <w:vAlign w:val="center"/>
          </w:tcPr>
          <w:p w14:paraId="361F7B5B">
            <w:pPr>
              <w:spacing w:before="69" w:line="219" w:lineRule="auto"/>
              <w:jc w:val="both"/>
              <w:rPr>
                <w:rFonts w:hint="eastAsia" w:ascii="宋体" w:hAnsi="宋体" w:eastAsia="宋体" w:cs="宋体"/>
                <w:sz w:val="20"/>
                <w:szCs w:val="20"/>
                <w:lang w:val="en-US" w:eastAsia="zh-CN"/>
              </w:rPr>
            </w:pPr>
          </w:p>
        </w:tc>
      </w:tr>
      <w:tr w14:paraId="13BF2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0" w:type="auto"/>
            <w:vMerge w:val="continue"/>
            <w:tcBorders>
              <w:top w:val="nil"/>
              <w:bottom w:val="nil"/>
            </w:tcBorders>
            <w:textDirection w:val="tbRlV"/>
            <w:vAlign w:val="center"/>
          </w:tcPr>
          <w:p w14:paraId="3EB23C25">
            <w:pPr>
              <w:pStyle w:val="8"/>
              <w:jc w:val="center"/>
            </w:pPr>
          </w:p>
        </w:tc>
        <w:tc>
          <w:tcPr>
            <w:tcW w:w="0" w:type="auto"/>
            <w:vMerge w:val="continue"/>
            <w:tcBorders>
              <w:top w:val="nil"/>
              <w:bottom w:val="nil"/>
            </w:tcBorders>
            <w:vAlign w:val="center"/>
          </w:tcPr>
          <w:p w14:paraId="5348AB07">
            <w:pPr>
              <w:pStyle w:val="8"/>
              <w:jc w:val="center"/>
            </w:pPr>
          </w:p>
        </w:tc>
        <w:tc>
          <w:tcPr>
            <w:tcW w:w="1351" w:type="dxa"/>
            <w:tcBorders>
              <w:bottom w:val="nil"/>
            </w:tcBorders>
            <w:vAlign w:val="center"/>
          </w:tcPr>
          <w:p w14:paraId="4B9576FB">
            <w:pPr>
              <w:spacing w:before="143" w:line="231" w:lineRule="auto"/>
              <w:ind w:left="241" w:right="266"/>
              <w:jc w:val="center"/>
              <w:rPr>
                <w:rFonts w:ascii="宋体" w:hAnsi="宋体" w:eastAsia="宋体" w:cs="宋体"/>
                <w:sz w:val="20"/>
                <w:szCs w:val="20"/>
              </w:rPr>
            </w:pPr>
            <w:r>
              <w:rPr>
                <w:rFonts w:ascii="宋体" w:hAnsi="宋体" w:eastAsia="宋体" w:cs="宋体"/>
                <w:spacing w:val="-4"/>
                <w:sz w:val="20"/>
                <w:szCs w:val="20"/>
              </w:rPr>
              <w:t>社会效</w:t>
            </w:r>
            <w:r>
              <w:rPr>
                <w:rFonts w:ascii="宋体" w:hAnsi="宋体" w:eastAsia="宋体" w:cs="宋体"/>
                <w:spacing w:val="1"/>
                <w:sz w:val="20"/>
                <w:szCs w:val="20"/>
              </w:rPr>
              <w:t xml:space="preserve"> </w:t>
            </w:r>
            <w:r>
              <w:rPr>
                <w:rFonts w:ascii="宋体" w:hAnsi="宋体" w:eastAsia="宋体" w:cs="宋体"/>
                <w:spacing w:val="-4"/>
                <w:sz w:val="20"/>
                <w:szCs w:val="20"/>
              </w:rPr>
              <w:t>益指标</w:t>
            </w:r>
          </w:p>
        </w:tc>
        <w:tc>
          <w:tcPr>
            <w:tcW w:w="1321" w:type="dxa"/>
            <w:vAlign w:val="center"/>
          </w:tcPr>
          <w:p w14:paraId="7368F4E8">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面向社会宣传金融知识，防范金融风险</w:t>
            </w:r>
          </w:p>
        </w:tc>
        <w:tc>
          <w:tcPr>
            <w:tcW w:w="1262" w:type="dxa"/>
            <w:vAlign w:val="center"/>
          </w:tcPr>
          <w:p w14:paraId="31A911A8">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860" w:type="dxa"/>
            <w:shd w:val="clear" w:color="auto" w:fill="auto"/>
            <w:vAlign w:val="center"/>
          </w:tcPr>
          <w:p w14:paraId="39283B11">
            <w:pPr>
              <w:keepNext w:val="0"/>
              <w:keepLines w:val="0"/>
              <w:widowControl/>
              <w:suppressLineNumbers w:val="0"/>
              <w:jc w:val="center"/>
              <w:textAlignment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0" w:type="auto"/>
            <w:vAlign w:val="center"/>
          </w:tcPr>
          <w:p w14:paraId="6CA00D26">
            <w:pPr>
              <w:spacing w:before="69" w:line="219" w:lineRule="auto"/>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671" w:type="dxa"/>
            <w:vAlign w:val="center"/>
          </w:tcPr>
          <w:p w14:paraId="02D4B3BA">
            <w:pPr>
              <w:spacing w:before="69" w:line="219" w:lineRule="auto"/>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941" w:type="dxa"/>
            <w:vAlign w:val="center"/>
          </w:tcPr>
          <w:p w14:paraId="72490079">
            <w:pPr>
              <w:spacing w:before="69" w:line="219" w:lineRule="auto"/>
              <w:jc w:val="both"/>
              <w:rPr>
                <w:rFonts w:hint="eastAsia" w:ascii="宋体" w:hAnsi="宋体" w:eastAsia="宋体" w:cs="宋体"/>
                <w:sz w:val="20"/>
                <w:szCs w:val="20"/>
                <w:lang w:val="en-US" w:eastAsia="zh-CN"/>
              </w:rPr>
            </w:pPr>
          </w:p>
        </w:tc>
      </w:tr>
      <w:tr w14:paraId="0D1CF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trPr>
        <w:tc>
          <w:tcPr>
            <w:tcW w:w="0" w:type="auto"/>
            <w:vMerge w:val="continue"/>
            <w:tcBorders>
              <w:top w:val="nil"/>
              <w:bottom w:val="nil"/>
            </w:tcBorders>
            <w:textDirection w:val="tbRlV"/>
            <w:vAlign w:val="center"/>
          </w:tcPr>
          <w:p w14:paraId="7FF9E632">
            <w:pPr>
              <w:pStyle w:val="8"/>
              <w:jc w:val="center"/>
            </w:pPr>
          </w:p>
        </w:tc>
        <w:tc>
          <w:tcPr>
            <w:tcW w:w="0" w:type="auto"/>
            <w:vMerge w:val="continue"/>
            <w:tcBorders>
              <w:top w:val="nil"/>
              <w:bottom w:val="nil"/>
            </w:tcBorders>
            <w:vAlign w:val="center"/>
          </w:tcPr>
          <w:p w14:paraId="216F2203">
            <w:pPr>
              <w:pStyle w:val="8"/>
              <w:jc w:val="center"/>
            </w:pPr>
          </w:p>
        </w:tc>
        <w:tc>
          <w:tcPr>
            <w:tcW w:w="1351" w:type="dxa"/>
            <w:tcBorders>
              <w:bottom w:val="nil"/>
            </w:tcBorders>
            <w:vAlign w:val="center"/>
          </w:tcPr>
          <w:p w14:paraId="27688563">
            <w:pPr>
              <w:spacing w:before="176" w:line="216" w:lineRule="auto"/>
              <w:ind w:left="241" w:right="266"/>
              <w:jc w:val="center"/>
              <w:rPr>
                <w:rFonts w:ascii="宋体" w:hAnsi="宋体" w:eastAsia="宋体" w:cs="宋体"/>
                <w:sz w:val="20"/>
                <w:szCs w:val="20"/>
              </w:rPr>
            </w:pPr>
            <w:r>
              <w:rPr>
                <w:rFonts w:ascii="宋体" w:hAnsi="宋体" w:eastAsia="宋体" w:cs="宋体"/>
                <w:spacing w:val="-4"/>
                <w:sz w:val="20"/>
                <w:szCs w:val="20"/>
              </w:rPr>
              <w:t>生态效</w:t>
            </w:r>
            <w:r>
              <w:rPr>
                <w:rFonts w:ascii="宋体" w:hAnsi="宋体" w:eastAsia="宋体" w:cs="宋体"/>
                <w:spacing w:val="1"/>
                <w:sz w:val="20"/>
                <w:szCs w:val="20"/>
              </w:rPr>
              <w:t xml:space="preserve"> </w:t>
            </w:r>
            <w:r>
              <w:rPr>
                <w:rFonts w:ascii="宋体" w:hAnsi="宋体" w:eastAsia="宋体" w:cs="宋体"/>
                <w:spacing w:val="-4"/>
                <w:sz w:val="20"/>
                <w:szCs w:val="20"/>
              </w:rPr>
              <w:t>益指标</w:t>
            </w:r>
          </w:p>
        </w:tc>
        <w:tc>
          <w:tcPr>
            <w:tcW w:w="1321" w:type="dxa"/>
            <w:vAlign w:val="center"/>
          </w:tcPr>
          <w:p w14:paraId="1D709503">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生态效益情况</w:t>
            </w:r>
          </w:p>
        </w:tc>
        <w:tc>
          <w:tcPr>
            <w:tcW w:w="1262" w:type="dxa"/>
            <w:vAlign w:val="center"/>
          </w:tcPr>
          <w:p w14:paraId="53C64AE6">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860" w:type="dxa"/>
            <w:shd w:val="clear" w:color="auto" w:fill="auto"/>
            <w:vAlign w:val="center"/>
          </w:tcPr>
          <w:p w14:paraId="4C1DE752">
            <w:pPr>
              <w:keepNext w:val="0"/>
              <w:keepLines w:val="0"/>
              <w:widowControl/>
              <w:suppressLineNumbers w:val="0"/>
              <w:jc w:val="center"/>
              <w:textAlignment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0" w:type="auto"/>
            <w:vAlign w:val="center"/>
          </w:tcPr>
          <w:p w14:paraId="56CE7267">
            <w:pPr>
              <w:spacing w:before="69" w:line="219" w:lineRule="auto"/>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671" w:type="dxa"/>
            <w:vAlign w:val="center"/>
          </w:tcPr>
          <w:p w14:paraId="54D2EB7B">
            <w:pPr>
              <w:spacing w:before="69" w:line="219" w:lineRule="auto"/>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941" w:type="dxa"/>
            <w:vAlign w:val="center"/>
          </w:tcPr>
          <w:p w14:paraId="3D4FB047">
            <w:pPr>
              <w:spacing w:before="69" w:line="219" w:lineRule="auto"/>
              <w:jc w:val="both"/>
              <w:rPr>
                <w:rFonts w:hint="eastAsia" w:ascii="宋体" w:hAnsi="宋体" w:eastAsia="宋体" w:cs="宋体"/>
                <w:sz w:val="20"/>
                <w:szCs w:val="20"/>
                <w:lang w:val="en-US" w:eastAsia="zh-CN"/>
              </w:rPr>
            </w:pPr>
          </w:p>
        </w:tc>
      </w:tr>
      <w:tr w14:paraId="626948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0" w:type="auto"/>
            <w:vMerge w:val="continue"/>
            <w:tcBorders>
              <w:top w:val="nil"/>
              <w:bottom w:val="nil"/>
            </w:tcBorders>
            <w:textDirection w:val="tbRlV"/>
            <w:vAlign w:val="center"/>
          </w:tcPr>
          <w:p w14:paraId="24E01E03">
            <w:pPr>
              <w:pStyle w:val="8"/>
              <w:jc w:val="center"/>
            </w:pPr>
          </w:p>
        </w:tc>
        <w:tc>
          <w:tcPr>
            <w:tcW w:w="0" w:type="auto"/>
            <w:vMerge w:val="continue"/>
            <w:tcBorders>
              <w:top w:val="nil"/>
              <w:bottom w:val="nil"/>
            </w:tcBorders>
            <w:vAlign w:val="center"/>
          </w:tcPr>
          <w:p w14:paraId="548D71BB">
            <w:pPr>
              <w:pStyle w:val="8"/>
              <w:jc w:val="center"/>
            </w:pPr>
          </w:p>
        </w:tc>
        <w:tc>
          <w:tcPr>
            <w:tcW w:w="1351" w:type="dxa"/>
            <w:tcBorders>
              <w:bottom w:val="nil"/>
            </w:tcBorders>
            <w:vAlign w:val="center"/>
          </w:tcPr>
          <w:p w14:paraId="76785D92">
            <w:pPr>
              <w:spacing w:before="116" w:line="219" w:lineRule="auto"/>
              <w:ind w:left="141"/>
              <w:jc w:val="center"/>
              <w:rPr>
                <w:rFonts w:ascii="宋体" w:hAnsi="宋体" w:eastAsia="宋体" w:cs="宋体"/>
                <w:sz w:val="20"/>
                <w:szCs w:val="20"/>
              </w:rPr>
            </w:pPr>
            <w:r>
              <w:rPr>
                <w:rFonts w:ascii="宋体" w:hAnsi="宋体" w:eastAsia="宋体" w:cs="宋体"/>
                <w:spacing w:val="-2"/>
                <w:sz w:val="20"/>
                <w:szCs w:val="20"/>
              </w:rPr>
              <w:t>可持续影</w:t>
            </w:r>
          </w:p>
          <w:p w14:paraId="6ED6C07E">
            <w:pPr>
              <w:spacing w:before="32" w:line="188" w:lineRule="auto"/>
              <w:ind w:left="241"/>
              <w:jc w:val="center"/>
              <w:rPr>
                <w:rFonts w:ascii="宋体" w:hAnsi="宋体" w:eastAsia="宋体" w:cs="宋体"/>
                <w:sz w:val="20"/>
                <w:szCs w:val="20"/>
              </w:rPr>
            </w:pPr>
            <w:r>
              <w:rPr>
                <w:rFonts w:ascii="宋体" w:hAnsi="宋体" w:eastAsia="宋体" w:cs="宋体"/>
                <w:spacing w:val="2"/>
                <w:sz w:val="20"/>
                <w:szCs w:val="20"/>
              </w:rPr>
              <w:t>响指标</w:t>
            </w:r>
          </w:p>
        </w:tc>
        <w:tc>
          <w:tcPr>
            <w:tcW w:w="1321" w:type="dxa"/>
            <w:vAlign w:val="center"/>
          </w:tcPr>
          <w:p w14:paraId="4AB1CAE5">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维护社会金融稳定，提升城市金融稳定度</w:t>
            </w:r>
          </w:p>
        </w:tc>
        <w:tc>
          <w:tcPr>
            <w:tcW w:w="1262" w:type="dxa"/>
            <w:vAlign w:val="center"/>
          </w:tcPr>
          <w:p w14:paraId="7BF3F401">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860" w:type="dxa"/>
            <w:shd w:val="clear" w:color="auto" w:fill="auto"/>
            <w:vAlign w:val="center"/>
          </w:tcPr>
          <w:p w14:paraId="501CBBFE">
            <w:pPr>
              <w:keepNext w:val="0"/>
              <w:keepLines w:val="0"/>
              <w:widowControl/>
              <w:suppressLineNumbers w:val="0"/>
              <w:jc w:val="center"/>
              <w:textAlignment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0" w:type="auto"/>
            <w:vAlign w:val="center"/>
          </w:tcPr>
          <w:p w14:paraId="26C32918">
            <w:pPr>
              <w:spacing w:before="69" w:line="219" w:lineRule="auto"/>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671" w:type="dxa"/>
            <w:vAlign w:val="center"/>
          </w:tcPr>
          <w:p w14:paraId="420A0210">
            <w:pPr>
              <w:spacing w:before="69" w:line="219" w:lineRule="auto"/>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941" w:type="dxa"/>
            <w:vAlign w:val="center"/>
          </w:tcPr>
          <w:p w14:paraId="27B4B8EB">
            <w:pPr>
              <w:spacing w:before="69" w:line="219" w:lineRule="auto"/>
              <w:jc w:val="both"/>
              <w:rPr>
                <w:rFonts w:hint="eastAsia" w:ascii="宋体" w:hAnsi="宋体" w:eastAsia="宋体" w:cs="宋体"/>
                <w:sz w:val="20"/>
                <w:szCs w:val="20"/>
                <w:lang w:val="en-US" w:eastAsia="zh-CN"/>
              </w:rPr>
            </w:pPr>
          </w:p>
        </w:tc>
      </w:tr>
      <w:tr w14:paraId="000D92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0" w:type="auto"/>
            <w:vMerge w:val="continue"/>
            <w:tcBorders>
              <w:top w:val="nil"/>
              <w:bottom w:val="nil"/>
            </w:tcBorders>
            <w:textDirection w:val="tbRlV"/>
            <w:vAlign w:val="center"/>
          </w:tcPr>
          <w:p w14:paraId="2575608F">
            <w:pPr>
              <w:pStyle w:val="8"/>
              <w:jc w:val="center"/>
            </w:pPr>
          </w:p>
        </w:tc>
        <w:tc>
          <w:tcPr>
            <w:tcW w:w="0" w:type="auto"/>
            <w:tcBorders>
              <w:bottom w:val="nil"/>
            </w:tcBorders>
            <w:vAlign w:val="center"/>
          </w:tcPr>
          <w:p w14:paraId="575BEBA2">
            <w:pPr>
              <w:spacing w:before="75" w:line="204" w:lineRule="auto"/>
              <w:ind w:left="271"/>
              <w:jc w:val="center"/>
              <w:rPr>
                <w:rFonts w:ascii="宋体" w:hAnsi="宋体" w:eastAsia="宋体" w:cs="宋体"/>
                <w:sz w:val="20"/>
                <w:szCs w:val="20"/>
              </w:rPr>
            </w:pPr>
            <w:r>
              <w:rPr>
                <w:rFonts w:ascii="宋体" w:hAnsi="宋体" w:eastAsia="宋体" w:cs="宋体"/>
                <w:spacing w:val="-2"/>
                <w:sz w:val="20"/>
                <w:szCs w:val="20"/>
              </w:rPr>
              <w:t>满意度</w:t>
            </w:r>
          </w:p>
          <w:p w14:paraId="3863C253">
            <w:pPr>
              <w:spacing w:line="193" w:lineRule="auto"/>
              <w:ind w:left="370"/>
              <w:jc w:val="center"/>
              <w:rPr>
                <w:rFonts w:ascii="宋体" w:hAnsi="宋体" w:eastAsia="宋体" w:cs="宋体"/>
                <w:sz w:val="20"/>
                <w:szCs w:val="20"/>
              </w:rPr>
            </w:pPr>
            <w:r>
              <w:rPr>
                <w:rFonts w:ascii="宋体" w:hAnsi="宋体" w:eastAsia="宋体" w:cs="宋体"/>
                <w:spacing w:val="-3"/>
                <w:sz w:val="20"/>
                <w:szCs w:val="20"/>
              </w:rPr>
              <w:t>指标</w:t>
            </w:r>
          </w:p>
          <w:p w14:paraId="2A7EFC20">
            <w:pPr>
              <w:spacing w:line="177" w:lineRule="auto"/>
              <w:ind w:left="271"/>
              <w:jc w:val="center"/>
              <w:rPr>
                <w:rFonts w:ascii="宋体" w:hAnsi="宋体" w:eastAsia="宋体" w:cs="宋体"/>
                <w:sz w:val="20"/>
                <w:szCs w:val="20"/>
              </w:rPr>
            </w:pPr>
            <w:r>
              <w:rPr>
                <w:rFonts w:ascii="宋体" w:hAnsi="宋体" w:eastAsia="宋体" w:cs="宋体"/>
                <w:spacing w:val="8"/>
                <w:sz w:val="20"/>
                <w:szCs w:val="20"/>
              </w:rPr>
              <w:t>(10分)</w:t>
            </w:r>
          </w:p>
        </w:tc>
        <w:tc>
          <w:tcPr>
            <w:tcW w:w="1351" w:type="dxa"/>
            <w:tcBorders>
              <w:bottom w:val="nil"/>
            </w:tcBorders>
            <w:vAlign w:val="center"/>
          </w:tcPr>
          <w:p w14:paraId="1B233356">
            <w:pPr>
              <w:spacing w:before="55" w:line="194" w:lineRule="auto"/>
              <w:ind w:left="141"/>
              <w:jc w:val="center"/>
              <w:rPr>
                <w:rFonts w:ascii="宋体" w:hAnsi="宋体" w:eastAsia="宋体" w:cs="宋体"/>
                <w:sz w:val="20"/>
                <w:szCs w:val="20"/>
              </w:rPr>
            </w:pPr>
            <w:r>
              <w:rPr>
                <w:rFonts w:ascii="宋体" w:hAnsi="宋体" w:eastAsia="宋体" w:cs="宋体"/>
                <w:spacing w:val="-2"/>
                <w:sz w:val="20"/>
                <w:szCs w:val="20"/>
              </w:rPr>
              <w:t>服务对象</w:t>
            </w:r>
          </w:p>
          <w:p w14:paraId="72607ACA">
            <w:pPr>
              <w:spacing w:line="194" w:lineRule="auto"/>
              <w:ind w:left="141"/>
              <w:jc w:val="center"/>
              <w:rPr>
                <w:rFonts w:ascii="宋体" w:hAnsi="宋体" w:eastAsia="宋体" w:cs="宋体"/>
                <w:sz w:val="20"/>
                <w:szCs w:val="20"/>
              </w:rPr>
            </w:pPr>
            <w:r>
              <w:rPr>
                <w:rFonts w:ascii="宋体" w:hAnsi="宋体" w:eastAsia="宋体" w:cs="宋体"/>
                <w:spacing w:val="3"/>
                <w:sz w:val="20"/>
                <w:szCs w:val="20"/>
              </w:rPr>
              <w:t>满意度指</w:t>
            </w:r>
          </w:p>
          <w:p w14:paraId="2A52FDFA">
            <w:pPr>
              <w:spacing w:line="205" w:lineRule="auto"/>
              <w:ind w:left="441"/>
              <w:jc w:val="center"/>
              <w:rPr>
                <w:rFonts w:ascii="宋体" w:hAnsi="宋体" w:eastAsia="宋体" w:cs="宋体"/>
                <w:sz w:val="20"/>
                <w:szCs w:val="20"/>
              </w:rPr>
            </w:pPr>
            <w:r>
              <w:rPr>
                <w:rFonts w:ascii="宋体" w:hAnsi="宋体" w:eastAsia="宋体" w:cs="宋体"/>
                <w:sz w:val="20"/>
                <w:szCs w:val="20"/>
              </w:rPr>
              <w:t>标</w:t>
            </w:r>
          </w:p>
        </w:tc>
        <w:tc>
          <w:tcPr>
            <w:tcW w:w="1321" w:type="dxa"/>
            <w:vAlign w:val="center"/>
          </w:tcPr>
          <w:p w14:paraId="33BE6579">
            <w:pPr>
              <w:keepNext w:val="0"/>
              <w:keepLines w:val="0"/>
              <w:widowControl/>
              <w:suppressLineNumbers w:val="0"/>
              <w:jc w:val="center"/>
              <w:textAlignment w:val="center"/>
              <w:rPr>
                <w:rFonts w:ascii="宋体" w:hAnsi="宋体" w:eastAsia="宋体" w:cs="宋体"/>
                <w:spacing w:val="-5"/>
                <w:sz w:val="20"/>
                <w:szCs w:val="20"/>
              </w:rPr>
            </w:pPr>
            <w:r>
              <w:rPr>
                <w:rFonts w:hint="eastAsia" w:ascii="宋体" w:hAnsi="宋体" w:eastAsia="宋体" w:cs="宋体"/>
                <w:i w:val="0"/>
                <w:iCs w:val="0"/>
                <w:snapToGrid w:val="0"/>
                <w:color w:val="000000"/>
                <w:kern w:val="0"/>
                <w:sz w:val="20"/>
                <w:szCs w:val="20"/>
                <w:u w:val="none"/>
                <w:lang w:val="en-US" w:eastAsia="zh-CN" w:bidi="ar"/>
              </w:rPr>
              <w:t>服务对象满意度</w:t>
            </w:r>
          </w:p>
        </w:tc>
        <w:tc>
          <w:tcPr>
            <w:tcW w:w="1262" w:type="dxa"/>
            <w:vAlign w:val="center"/>
          </w:tcPr>
          <w:p w14:paraId="0BA00C1E">
            <w:pPr>
              <w:keepNext w:val="0"/>
              <w:keepLines w:val="0"/>
              <w:widowControl/>
              <w:suppressLineNumbers w:val="0"/>
              <w:jc w:val="center"/>
              <w:textAlignment w:val="center"/>
              <w:rPr>
                <w:rFonts w:ascii="宋体" w:hAnsi="宋体" w:eastAsia="宋体" w:cs="宋体"/>
                <w:spacing w:val="-5"/>
                <w:sz w:val="20"/>
                <w:szCs w:val="20"/>
              </w:rPr>
            </w:pPr>
            <w:r>
              <w:rPr>
                <w:rFonts w:hint="eastAsia" w:ascii="宋体" w:hAnsi="宋体" w:eastAsia="宋体" w:cs="宋体"/>
                <w:i w:val="0"/>
                <w:iCs w:val="0"/>
                <w:snapToGrid w:val="0"/>
                <w:color w:val="000000"/>
                <w:kern w:val="0"/>
                <w:sz w:val="20"/>
                <w:szCs w:val="20"/>
                <w:u w:val="none"/>
                <w:lang w:val="en-US" w:eastAsia="zh-CN" w:bidi="ar"/>
              </w:rPr>
              <w:t>90</w:t>
            </w:r>
          </w:p>
        </w:tc>
        <w:tc>
          <w:tcPr>
            <w:tcW w:w="860" w:type="dxa"/>
            <w:shd w:val="clear" w:color="auto" w:fill="auto"/>
            <w:vAlign w:val="center"/>
          </w:tcPr>
          <w:p w14:paraId="6DDA3927">
            <w:pPr>
              <w:keepNext w:val="0"/>
              <w:keepLines w:val="0"/>
              <w:widowControl/>
              <w:suppressLineNumbers w:val="0"/>
              <w:jc w:val="center"/>
              <w:textAlignment w:val="center"/>
              <w:rPr>
                <w:rFonts w:ascii="宋体" w:hAnsi="宋体" w:eastAsia="宋体" w:cs="宋体"/>
                <w:snapToGrid w:val="0"/>
                <w:color w:val="000000"/>
                <w:spacing w:val="-5"/>
                <w:kern w:val="0"/>
                <w:sz w:val="20"/>
                <w:szCs w:val="20"/>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90</w:t>
            </w:r>
          </w:p>
        </w:tc>
        <w:tc>
          <w:tcPr>
            <w:tcW w:w="0" w:type="auto"/>
            <w:vAlign w:val="center"/>
          </w:tcPr>
          <w:p w14:paraId="1B12AA3A">
            <w:pPr>
              <w:spacing w:before="181" w:line="207" w:lineRule="auto"/>
              <w:ind w:right="366"/>
              <w:jc w:val="both"/>
              <w:rPr>
                <w:rFonts w:hint="default" w:ascii="宋体" w:hAnsi="宋体" w:eastAsia="宋体" w:cs="宋体"/>
                <w:spacing w:val="-5"/>
                <w:sz w:val="20"/>
                <w:szCs w:val="20"/>
                <w:lang w:val="en-US" w:eastAsia="zh-CN"/>
              </w:rPr>
            </w:pPr>
            <w:r>
              <w:rPr>
                <w:rFonts w:hint="eastAsia" w:ascii="宋体" w:hAnsi="宋体" w:eastAsia="宋体" w:cs="宋体"/>
                <w:spacing w:val="-5"/>
                <w:sz w:val="20"/>
                <w:szCs w:val="20"/>
                <w:lang w:val="en-US" w:eastAsia="zh-CN"/>
              </w:rPr>
              <w:t>10</w:t>
            </w:r>
          </w:p>
        </w:tc>
        <w:tc>
          <w:tcPr>
            <w:tcW w:w="671" w:type="dxa"/>
            <w:vAlign w:val="center"/>
          </w:tcPr>
          <w:p w14:paraId="08074D1C">
            <w:pPr>
              <w:spacing w:before="181" w:line="207" w:lineRule="auto"/>
              <w:ind w:right="366" w:rightChars="0"/>
              <w:jc w:val="both"/>
              <w:rPr>
                <w:rFonts w:hint="default" w:ascii="宋体" w:hAnsi="宋体" w:eastAsia="宋体" w:cs="宋体"/>
                <w:spacing w:val="-5"/>
                <w:sz w:val="20"/>
                <w:szCs w:val="20"/>
                <w:lang w:val="en-US"/>
              </w:rPr>
            </w:pPr>
            <w:r>
              <w:rPr>
                <w:rFonts w:hint="eastAsia" w:ascii="宋体" w:hAnsi="宋体" w:eastAsia="宋体" w:cs="宋体"/>
                <w:spacing w:val="-5"/>
                <w:sz w:val="20"/>
                <w:szCs w:val="20"/>
                <w:lang w:val="en-US" w:eastAsia="zh-CN"/>
              </w:rPr>
              <w:t>10</w:t>
            </w:r>
          </w:p>
        </w:tc>
        <w:tc>
          <w:tcPr>
            <w:tcW w:w="941" w:type="dxa"/>
            <w:vAlign w:val="center"/>
          </w:tcPr>
          <w:p w14:paraId="4623C451">
            <w:pPr>
              <w:spacing w:before="181" w:line="207" w:lineRule="auto"/>
              <w:ind w:left="342" w:right="366"/>
              <w:jc w:val="center"/>
              <w:rPr>
                <w:rFonts w:ascii="宋体" w:hAnsi="宋体" w:eastAsia="宋体" w:cs="宋体"/>
                <w:spacing w:val="-5"/>
                <w:sz w:val="20"/>
                <w:szCs w:val="20"/>
              </w:rPr>
            </w:pPr>
          </w:p>
        </w:tc>
      </w:tr>
      <w:tr w14:paraId="6E6EF7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0" w:type="auto"/>
            <w:gridSpan w:val="6"/>
            <w:vAlign w:val="center"/>
          </w:tcPr>
          <w:p w14:paraId="182C82F3">
            <w:pPr>
              <w:spacing w:before="77" w:line="220" w:lineRule="auto"/>
              <w:ind w:left="3265"/>
              <w:jc w:val="both"/>
              <w:rPr>
                <w:rFonts w:ascii="宋体" w:hAnsi="宋体" w:eastAsia="宋体" w:cs="宋体"/>
                <w:sz w:val="20"/>
                <w:szCs w:val="20"/>
              </w:rPr>
            </w:pPr>
            <w:r>
              <w:rPr>
                <w:rFonts w:ascii="宋体" w:hAnsi="宋体" w:eastAsia="宋体" w:cs="宋体"/>
                <w:spacing w:val="4"/>
                <w:sz w:val="20"/>
                <w:szCs w:val="20"/>
              </w:rPr>
              <w:t>总分</w:t>
            </w:r>
          </w:p>
        </w:tc>
        <w:tc>
          <w:tcPr>
            <w:tcW w:w="0" w:type="auto"/>
            <w:vAlign w:val="center"/>
          </w:tcPr>
          <w:p w14:paraId="0D1892CC">
            <w:pPr>
              <w:spacing w:before="127" w:line="184" w:lineRule="auto"/>
              <w:ind w:left="196"/>
              <w:jc w:val="center"/>
              <w:rPr>
                <w:rFonts w:ascii="宋体" w:hAnsi="宋体" w:eastAsia="宋体" w:cs="宋体"/>
                <w:sz w:val="20"/>
                <w:szCs w:val="20"/>
              </w:rPr>
            </w:pPr>
            <w:r>
              <w:rPr>
                <w:rFonts w:ascii="宋体" w:hAnsi="宋体" w:eastAsia="宋体" w:cs="宋体"/>
                <w:spacing w:val="-6"/>
                <w:sz w:val="20"/>
                <w:szCs w:val="20"/>
              </w:rPr>
              <w:t>100</w:t>
            </w:r>
          </w:p>
        </w:tc>
        <w:tc>
          <w:tcPr>
            <w:tcW w:w="671" w:type="dxa"/>
            <w:vAlign w:val="center"/>
          </w:tcPr>
          <w:p w14:paraId="666CA320">
            <w:pPr>
              <w:spacing w:before="127" w:line="184" w:lineRule="auto"/>
              <w:ind w:left="196" w:leftChars="0"/>
              <w:jc w:val="center"/>
            </w:pPr>
            <w:r>
              <w:rPr>
                <w:rFonts w:ascii="宋体" w:hAnsi="宋体" w:eastAsia="宋体" w:cs="宋体"/>
                <w:spacing w:val="-6"/>
                <w:sz w:val="20"/>
                <w:szCs w:val="20"/>
              </w:rPr>
              <w:t>100</w:t>
            </w:r>
          </w:p>
        </w:tc>
        <w:tc>
          <w:tcPr>
            <w:tcW w:w="941" w:type="dxa"/>
            <w:vAlign w:val="center"/>
          </w:tcPr>
          <w:p w14:paraId="2403C42D">
            <w:pPr>
              <w:pStyle w:val="8"/>
              <w:jc w:val="center"/>
            </w:pPr>
          </w:p>
        </w:tc>
      </w:tr>
    </w:tbl>
    <w:p w14:paraId="42FCE6B4">
      <w:pPr>
        <w:spacing w:line="219" w:lineRule="auto"/>
        <w:ind w:left="634"/>
        <w:rPr>
          <w:rFonts w:hint="default" w:ascii="宋体" w:hAnsi="宋体" w:eastAsia="宋体" w:cs="宋体"/>
          <w:sz w:val="22"/>
          <w:szCs w:val="22"/>
          <w:lang w:val="en-US" w:eastAsia="zh-CN"/>
        </w:rPr>
        <w:sectPr>
          <w:footerReference r:id="rId7" w:type="default"/>
          <w:pgSz w:w="11900" w:h="16840"/>
          <w:pgMar w:top="1312" w:right="1294" w:bottom="1474" w:left="1254" w:header="0" w:footer="1256" w:gutter="0"/>
          <w:cols w:space="720" w:num="1"/>
        </w:sectPr>
      </w:pPr>
      <w:r>
        <w:rPr>
          <w:rFonts w:ascii="宋体" w:hAnsi="宋体" w:eastAsia="宋体" w:cs="宋体"/>
          <w:spacing w:val="-14"/>
          <w:sz w:val="22"/>
          <w:szCs w:val="22"/>
        </w:rPr>
        <w:t>填表人：</w:t>
      </w:r>
      <w:r>
        <w:rPr>
          <w:rFonts w:hint="eastAsia" w:ascii="宋体" w:hAnsi="宋体" w:eastAsia="宋体" w:cs="宋体"/>
          <w:spacing w:val="-14"/>
          <w:sz w:val="22"/>
          <w:szCs w:val="22"/>
          <w:lang w:val="en-US" w:eastAsia="zh-CN"/>
        </w:rPr>
        <w:t xml:space="preserve">卿佼佼    </w:t>
      </w:r>
      <w:r>
        <w:rPr>
          <w:rFonts w:ascii="宋体" w:hAnsi="宋体" w:eastAsia="宋体" w:cs="宋体"/>
          <w:spacing w:val="-14"/>
          <w:sz w:val="22"/>
          <w:szCs w:val="22"/>
        </w:rPr>
        <w:t>填报日期：</w:t>
      </w:r>
      <w:r>
        <w:rPr>
          <w:rFonts w:hint="eastAsia" w:ascii="宋体" w:hAnsi="宋体" w:eastAsia="宋体" w:cs="宋体"/>
          <w:spacing w:val="-14"/>
          <w:sz w:val="22"/>
          <w:szCs w:val="22"/>
          <w:lang w:val="en-US" w:eastAsia="zh-CN"/>
        </w:rPr>
        <w:t xml:space="preserve">2024年10月15日   </w:t>
      </w:r>
      <w:r>
        <w:rPr>
          <w:rFonts w:ascii="宋体" w:hAnsi="宋体" w:eastAsia="宋体" w:cs="宋体"/>
          <w:spacing w:val="-14"/>
          <w:sz w:val="22"/>
          <w:szCs w:val="22"/>
        </w:rPr>
        <w:t>联系电话：</w:t>
      </w:r>
      <w:r>
        <w:rPr>
          <w:rFonts w:hint="eastAsia" w:ascii="宋体" w:hAnsi="宋体" w:eastAsia="宋体" w:cs="宋体"/>
          <w:sz w:val="22"/>
          <w:szCs w:val="22"/>
          <w:lang w:val="en-US" w:eastAsia="zh-CN"/>
        </w:rPr>
        <w:t>15507394787</w:t>
      </w:r>
    </w:p>
    <w:p w14:paraId="07AA2C43">
      <w:pPr>
        <w:spacing w:line="290" w:lineRule="auto"/>
        <w:rPr>
          <w:rFonts w:ascii="Arial"/>
          <w:sz w:val="21"/>
        </w:rPr>
      </w:pPr>
    </w:p>
    <w:p w14:paraId="700F47C6">
      <w:pPr>
        <w:pStyle w:val="3"/>
      </w:pPr>
    </w:p>
    <w:sectPr>
      <w:footerReference r:id="rId8" w:type="default"/>
      <w:pgSz w:w="11900" w:h="16840"/>
      <w:pgMar w:top="1285" w:right="974" w:bottom="1418" w:left="1194" w:header="0" w:footer="12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30864">
    <w:pPr>
      <w:spacing w:line="175" w:lineRule="auto"/>
      <w:ind w:left="5449"/>
      <w:rPr>
        <w:rFonts w:ascii="宋体" w:hAnsi="宋体" w:eastAsia="宋体" w:cs="宋体"/>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CE666">
    <w:pPr>
      <w:spacing w:line="174" w:lineRule="auto"/>
      <w:ind w:left="4494"/>
      <w:rPr>
        <w:rFonts w:ascii="宋体" w:hAnsi="宋体" w:eastAsia="宋体" w:cs="宋体"/>
        <w:sz w:val="22"/>
        <w:szCs w:val="22"/>
      </w:rPr>
    </w:pPr>
    <w:r>
      <w:rPr>
        <w:rFonts w:ascii="宋体" w:hAnsi="宋体" w:eastAsia="宋体" w:cs="宋体"/>
        <w:spacing w:val="-7"/>
        <w:w w:val="64"/>
        <w:sz w:val="22"/>
        <w:szCs w:val="22"/>
      </w:rPr>
      <w:t>—</w:t>
    </w:r>
    <w:r>
      <w:rPr>
        <w:rFonts w:ascii="宋体" w:hAnsi="宋体" w:eastAsia="宋体" w:cs="宋体"/>
        <w:spacing w:val="-14"/>
        <w:w w:val="96"/>
        <w:sz w:val="22"/>
        <w:szCs w:val="22"/>
      </w:rPr>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8E7AB">
    <w:pPr>
      <w:spacing w:line="174" w:lineRule="auto"/>
      <w:ind w:left="4494"/>
      <w:rPr>
        <w:rFonts w:ascii="宋体" w:hAnsi="宋体" w:eastAsia="宋体" w:cs="宋体"/>
        <w:sz w:val="22"/>
        <w:szCs w:val="22"/>
      </w:rPr>
    </w:pPr>
    <w:r>
      <w:rPr>
        <w:rFonts w:ascii="宋体" w:hAnsi="宋体" w:eastAsia="宋体" w:cs="宋体"/>
        <w:spacing w:val="-7"/>
        <w:w w:val="64"/>
        <w:sz w:val="22"/>
        <w:szCs w:val="22"/>
      </w:rPr>
      <w:t>—</w:t>
    </w:r>
    <w:r>
      <w:rPr>
        <w:rFonts w:ascii="宋体" w:hAnsi="宋体" w:eastAsia="宋体" w:cs="宋体"/>
        <w:spacing w:val="-14"/>
        <w:w w:val="96"/>
        <w:sz w:val="22"/>
        <w:szCs w:val="22"/>
      </w:rPr>
      <w:t>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23848">
    <w:pPr>
      <w:spacing w:before="1" w:line="174" w:lineRule="auto"/>
      <w:ind w:left="4465"/>
      <w:rPr>
        <w:rFonts w:ascii="宋体" w:hAnsi="宋体" w:eastAsia="宋体" w:cs="宋体"/>
        <w:sz w:val="21"/>
        <w:szCs w:val="21"/>
      </w:rPr>
    </w:pPr>
    <w:r>
      <w:rPr>
        <w:rFonts w:ascii="宋体" w:hAnsi="宋体" w:eastAsia="宋体" w:cs="宋体"/>
        <w:spacing w:val="-21"/>
        <w:w w:val="95"/>
        <w:sz w:val="21"/>
        <w:szCs w:val="21"/>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05FAC"/>
    <w:multiLevelType w:val="singleLevel"/>
    <w:tmpl w:val="A9005FAC"/>
    <w:lvl w:ilvl="0" w:tentative="0">
      <w:start w:val="2"/>
      <w:numFmt w:val="chineseCounting"/>
      <w:lvlText w:val="(%1)"/>
      <w:lvlJc w:val="left"/>
      <w:pPr>
        <w:tabs>
          <w:tab w:val="left" w:pos="312"/>
        </w:tabs>
      </w:pPr>
      <w:rPr>
        <w:rFonts w:hint="eastAsia"/>
      </w:rPr>
    </w:lvl>
  </w:abstractNum>
  <w:abstractNum w:abstractNumId="1">
    <w:nsid w:val="C7A24DE4"/>
    <w:multiLevelType w:val="singleLevel"/>
    <w:tmpl w:val="C7A24DE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WM4Y2IzNDhkOTBiZmQxNjdmNmQ2NmM1OTZmZTU5MzQifQ=="/>
  </w:docVars>
  <w:rsids>
    <w:rsidRoot w:val="00000000"/>
    <w:rsid w:val="00E16FE2"/>
    <w:rsid w:val="00E62210"/>
    <w:rsid w:val="00F1191B"/>
    <w:rsid w:val="018B5DB3"/>
    <w:rsid w:val="025739FF"/>
    <w:rsid w:val="04694536"/>
    <w:rsid w:val="07287718"/>
    <w:rsid w:val="07886409"/>
    <w:rsid w:val="0A2772CA"/>
    <w:rsid w:val="0C322DE7"/>
    <w:rsid w:val="0F1D7D7F"/>
    <w:rsid w:val="12674B25"/>
    <w:rsid w:val="16F7663D"/>
    <w:rsid w:val="17DE026B"/>
    <w:rsid w:val="18075128"/>
    <w:rsid w:val="1CDA1978"/>
    <w:rsid w:val="1DE85CFB"/>
    <w:rsid w:val="1FB113FA"/>
    <w:rsid w:val="23A229BA"/>
    <w:rsid w:val="27BB1A8B"/>
    <w:rsid w:val="29057462"/>
    <w:rsid w:val="2A10200D"/>
    <w:rsid w:val="2A420242"/>
    <w:rsid w:val="2D915768"/>
    <w:rsid w:val="2EDD3255"/>
    <w:rsid w:val="2EE1627B"/>
    <w:rsid w:val="30A97D7D"/>
    <w:rsid w:val="31AC7296"/>
    <w:rsid w:val="36910587"/>
    <w:rsid w:val="373F5829"/>
    <w:rsid w:val="37895702"/>
    <w:rsid w:val="3A03179B"/>
    <w:rsid w:val="3ADB040D"/>
    <w:rsid w:val="3B4A0B5C"/>
    <w:rsid w:val="3BC1546A"/>
    <w:rsid w:val="3DD94130"/>
    <w:rsid w:val="40AE3246"/>
    <w:rsid w:val="40AF442B"/>
    <w:rsid w:val="43503AB6"/>
    <w:rsid w:val="43517F15"/>
    <w:rsid w:val="45216F7A"/>
    <w:rsid w:val="4581523A"/>
    <w:rsid w:val="46B67B95"/>
    <w:rsid w:val="475F022D"/>
    <w:rsid w:val="47835CCA"/>
    <w:rsid w:val="488F069E"/>
    <w:rsid w:val="4A262004"/>
    <w:rsid w:val="4A4B48E7"/>
    <w:rsid w:val="4AC960E9"/>
    <w:rsid w:val="516538CA"/>
    <w:rsid w:val="53EC4BF7"/>
    <w:rsid w:val="54D60D1C"/>
    <w:rsid w:val="55E17ADF"/>
    <w:rsid w:val="57996E43"/>
    <w:rsid w:val="58492617"/>
    <w:rsid w:val="58E573D9"/>
    <w:rsid w:val="58E660B8"/>
    <w:rsid w:val="58E804D5"/>
    <w:rsid w:val="59B70352"/>
    <w:rsid w:val="5B0E2985"/>
    <w:rsid w:val="5C361105"/>
    <w:rsid w:val="5C606182"/>
    <w:rsid w:val="5FC627A0"/>
    <w:rsid w:val="60421833"/>
    <w:rsid w:val="64A73255"/>
    <w:rsid w:val="660B53B0"/>
    <w:rsid w:val="66472EB5"/>
    <w:rsid w:val="66CA7019"/>
    <w:rsid w:val="69112CDD"/>
    <w:rsid w:val="691F305C"/>
    <w:rsid w:val="69280B99"/>
    <w:rsid w:val="6A464C09"/>
    <w:rsid w:val="6AD748C6"/>
    <w:rsid w:val="6EB365E5"/>
    <w:rsid w:val="6F997AD0"/>
    <w:rsid w:val="700351E5"/>
    <w:rsid w:val="70787AE6"/>
    <w:rsid w:val="72FF663B"/>
    <w:rsid w:val="77DD5C21"/>
    <w:rsid w:val="78615304"/>
    <w:rsid w:val="789254BD"/>
    <w:rsid w:val="78961451"/>
    <w:rsid w:val="797A4A9D"/>
    <w:rsid w:val="7A456C8B"/>
    <w:rsid w:val="7BC938EC"/>
    <w:rsid w:val="7C136915"/>
    <w:rsid w:val="7D4932EF"/>
    <w:rsid w:val="7E002EC9"/>
    <w:rsid w:val="7E3F1C43"/>
    <w:rsid w:val="7EB32A01"/>
    <w:rsid w:val="7FA1086D"/>
    <w:rsid w:val="7FA73F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仿宋" w:hAnsi="仿宋" w:eastAsia="仿宋" w:cs="仿宋"/>
      <w:sz w:val="36"/>
      <w:szCs w:val="36"/>
      <w:lang w:val="en-US" w:eastAsia="en-US" w:bidi="ar-SA"/>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 w:type="paragraph" w:customStyle="1" w:styleId="9">
    <w:name w:val="首行缩进"/>
    <w:basedOn w:val="1"/>
    <w:autoRedefine/>
    <w:qFormat/>
    <w:uiPriority w:val="0"/>
    <w:pPr>
      <w:ind w:firstLine="200" w:firstLineChars="200"/>
    </w:pPr>
    <w:rPr>
      <w:lang w:val="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3859</Words>
  <Characters>4226</Characters>
  <TotalTime>0</TotalTime>
  <ScaleCrop>false</ScaleCrop>
  <LinksUpToDate>false</LinksUpToDate>
  <CharactersWithSpaces>4268</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2024-10-08T15:11:00Z</dcterms:created>
  <dc:creator>Kingsoft-PDF</dc:creator>
  <cp:lastModifiedBy>海纳百川</cp:lastModifiedBy>
  <dcterms:modified xsi:type="dcterms:W3CDTF">2024-10-28T03:28:18Z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2024-10-08T15:11:43Z</vt:filetime>
  </property>
  <property fmtid="{D5CDD505-2E9C-101B-9397-08002B2CF9AE}" pid="4" name="UsrData">
    <vt:lpwstr>6704db2cce0fa0001fb7b744wl</vt:lpwstr>
  </property>
  <property fmtid="{D5CDD505-2E9C-101B-9397-08002B2CF9AE}" pid="5" name="KSOProductBuildVer">
    <vt:lpwstr>2052-12.1.0.18608</vt:lpwstr>
  </property>
  <property fmtid="{D5CDD505-2E9C-101B-9397-08002B2CF9AE}" pid="6" name="ICV">
    <vt:lpwstr>E051A6863EFB49418A678A8388740DFE_13</vt:lpwstr>
  </property>
</Properties>
</file>