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33478A">
      <w:pPr>
        <w:pStyle w:val="2"/>
        <w:widowControl w:val="0"/>
        <w:kinsoku/>
        <w:overflowPunct w:val="0"/>
        <w:spacing w:line="360" w:lineRule="auto"/>
        <w:rPr>
          <w:sz w:val="32"/>
          <w:szCs w:val="32"/>
          <w:lang w:eastAsia="zh-CN"/>
        </w:rPr>
      </w:pPr>
      <w:r>
        <w:rPr>
          <w:spacing w:val="17"/>
          <w:sz w:val="32"/>
          <w:szCs w:val="32"/>
          <w:lang w:eastAsia="zh-CN"/>
        </w:rPr>
        <w:t>附件1</w:t>
      </w:r>
    </w:p>
    <w:p w14:paraId="2CDC2BD2">
      <w:pPr>
        <w:widowControl w:val="0"/>
        <w:kinsoku/>
        <w:overflowPunct w:val="0"/>
        <w:spacing w:line="360" w:lineRule="auto"/>
        <w:ind w:firstLine="855" w:firstLineChars="200"/>
        <w:jc w:val="center"/>
        <w:rPr>
          <w:rFonts w:ascii="宋体" w:hAnsi="宋体" w:eastAsia="宋体" w:cs="宋体"/>
          <w:sz w:val="44"/>
          <w:szCs w:val="44"/>
          <w:lang w:eastAsia="zh-CN"/>
        </w:rPr>
      </w:pPr>
      <w:r>
        <w:rPr>
          <w:rFonts w:hint="eastAsia" w:ascii="宋体" w:hAnsi="宋体" w:eastAsia="宋体" w:cs="宋体"/>
          <w:b/>
          <w:bCs/>
          <w:spacing w:val="-7"/>
          <w:sz w:val="44"/>
          <w:szCs w:val="44"/>
          <w:lang w:val="en-US" w:eastAsia="zh-CN"/>
        </w:rPr>
        <w:t>怀化市鹤城区人民政府办公室</w:t>
      </w:r>
      <w:r>
        <w:rPr>
          <w:rFonts w:ascii="宋体" w:hAnsi="宋体" w:eastAsia="宋体" w:cs="宋体"/>
          <w:b/>
          <w:bCs/>
          <w:spacing w:val="-7"/>
          <w:sz w:val="44"/>
          <w:szCs w:val="44"/>
          <w:lang w:eastAsia="zh-CN"/>
        </w:rPr>
        <w:t>部门整体支出绩</w:t>
      </w:r>
      <w:bookmarkStart w:id="0" w:name="_GoBack"/>
      <w:bookmarkEnd w:id="0"/>
      <w:r>
        <w:rPr>
          <w:rFonts w:ascii="宋体" w:hAnsi="宋体" w:eastAsia="宋体" w:cs="宋体"/>
          <w:b/>
          <w:bCs/>
          <w:spacing w:val="-7"/>
          <w:sz w:val="44"/>
          <w:szCs w:val="44"/>
          <w:lang w:eastAsia="zh-CN"/>
        </w:rPr>
        <w:t>效自评报告</w:t>
      </w:r>
    </w:p>
    <w:p w14:paraId="5E5FEFC6">
      <w:pPr>
        <w:widowControl w:val="0"/>
        <w:kinsoku/>
        <w:overflowPunct w:val="0"/>
        <w:spacing w:line="360" w:lineRule="auto"/>
        <w:ind w:firstLine="640" w:firstLineChars="200"/>
        <w:rPr>
          <w:sz w:val="32"/>
          <w:szCs w:val="32"/>
          <w:lang w:eastAsia="zh-CN"/>
        </w:rPr>
      </w:pPr>
    </w:p>
    <w:p w14:paraId="0C38A76D">
      <w:pPr>
        <w:widowControl w:val="0"/>
        <w:kinsoku/>
        <w:overflowPunct w:val="0"/>
        <w:spacing w:line="360" w:lineRule="auto"/>
        <w:ind w:firstLine="603" w:firstLineChars="200"/>
        <w:outlineLvl w:val="6"/>
        <w:rPr>
          <w:rFonts w:ascii="黑体" w:hAnsi="黑体" w:eastAsia="黑体" w:cs="黑体"/>
          <w:sz w:val="32"/>
          <w:szCs w:val="32"/>
          <w:lang w:eastAsia="zh-CN"/>
        </w:rPr>
      </w:pPr>
      <w:r>
        <w:rPr>
          <w:rFonts w:ascii="黑体" w:hAnsi="黑体" w:eastAsia="黑体" w:cs="黑体"/>
          <w:b/>
          <w:bCs/>
          <w:spacing w:val="-10"/>
          <w:sz w:val="32"/>
          <w:szCs w:val="32"/>
          <w:lang w:eastAsia="zh-CN"/>
        </w:rPr>
        <w:t>一、部门、单位基本情况</w:t>
      </w:r>
    </w:p>
    <w:p w14:paraId="42949F8D">
      <w:pPr>
        <w:widowControl w:val="0"/>
        <w:kinsoku/>
        <w:overflowPunct w:val="0"/>
        <w:spacing w:line="360" w:lineRule="auto"/>
        <w:ind w:firstLine="684" w:firstLineChars="200"/>
        <w:rPr>
          <w:rFonts w:ascii="楷体" w:hAnsi="楷体" w:eastAsia="楷体" w:cs="楷体"/>
          <w:spacing w:val="11"/>
          <w:sz w:val="32"/>
          <w:szCs w:val="32"/>
          <w:lang w:eastAsia="zh-CN"/>
        </w:rPr>
      </w:pPr>
      <w:r>
        <w:rPr>
          <w:rFonts w:ascii="楷体" w:hAnsi="楷体" w:eastAsia="楷体" w:cs="楷体"/>
          <w:spacing w:val="11"/>
          <w:sz w:val="32"/>
          <w:szCs w:val="32"/>
          <w:lang w:eastAsia="zh-CN"/>
        </w:rPr>
        <w:t>(一)机构设置情况</w:t>
      </w:r>
    </w:p>
    <w:p w14:paraId="1E6617A2">
      <w:pPr>
        <w:numPr>
          <w:ilvl w:val="0"/>
          <w:numId w:val="0"/>
        </w:numPr>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怀化市鹤城区政府办</w:t>
      </w:r>
      <w:r>
        <w:rPr>
          <w:rFonts w:hint="eastAsia" w:ascii="宋体" w:hAnsi="宋体" w:eastAsia="宋体" w:cs="宋体"/>
          <w:sz w:val="24"/>
          <w:szCs w:val="24"/>
        </w:rPr>
        <w:t>作为一般部门预算单位，纳入202</w:t>
      </w:r>
      <w:r>
        <w:rPr>
          <w:rFonts w:hint="eastAsia" w:ascii="宋体" w:hAnsi="宋体" w:eastAsia="宋体" w:cs="宋体"/>
          <w:sz w:val="24"/>
          <w:szCs w:val="24"/>
          <w:lang w:val="en-US" w:eastAsia="zh-CN"/>
        </w:rPr>
        <w:t>3</w:t>
      </w:r>
      <w:r>
        <w:rPr>
          <w:rFonts w:hint="eastAsia" w:ascii="宋体" w:hAnsi="宋体" w:eastAsia="宋体" w:cs="宋体"/>
          <w:sz w:val="24"/>
          <w:szCs w:val="24"/>
        </w:rPr>
        <w:t>年部门预算编制范围的二级部门预算单位包括：</w:t>
      </w:r>
      <w:r>
        <w:rPr>
          <w:rFonts w:hint="eastAsia" w:ascii="宋体" w:hAnsi="宋体" w:eastAsia="宋体" w:cs="宋体"/>
          <w:sz w:val="24"/>
          <w:szCs w:val="24"/>
          <w:lang w:val="en-US" w:eastAsia="zh-CN"/>
        </w:rPr>
        <w:t>怀化市鹤城区政府办本级。</w:t>
      </w:r>
    </w:p>
    <w:p w14:paraId="2888618F">
      <w:pPr>
        <w:widowControl w:val="0"/>
        <w:numPr>
          <w:ilvl w:val="0"/>
          <w:numId w:val="1"/>
        </w:numPr>
        <w:kinsoku/>
        <w:overflowPunct w:val="0"/>
        <w:spacing w:line="360" w:lineRule="auto"/>
        <w:ind w:firstLine="672" w:firstLineChars="200"/>
        <w:rPr>
          <w:rFonts w:ascii="楷体" w:hAnsi="楷体" w:eastAsia="楷体" w:cs="楷体"/>
          <w:spacing w:val="8"/>
          <w:sz w:val="32"/>
          <w:szCs w:val="32"/>
          <w:lang w:eastAsia="zh-CN"/>
        </w:rPr>
      </w:pPr>
      <w:r>
        <w:rPr>
          <w:rFonts w:ascii="楷体" w:hAnsi="楷体" w:eastAsia="楷体" w:cs="楷体"/>
          <w:spacing w:val="8"/>
          <w:sz w:val="32"/>
          <w:szCs w:val="32"/>
          <w:lang w:eastAsia="zh-CN"/>
        </w:rPr>
        <w:t>人员编制情况</w:t>
      </w:r>
    </w:p>
    <w:p w14:paraId="0DED02CD">
      <w:pPr>
        <w:numPr>
          <w:ilvl w:val="0"/>
          <w:numId w:val="0"/>
        </w:numPr>
        <w:snapToGrid w:val="0"/>
        <w:spacing w:line="520" w:lineRule="exact"/>
        <w:ind w:leftChars="200"/>
        <w:rPr>
          <w:rFonts w:hint="eastAsia" w:ascii="宋体" w:hAnsi="宋体" w:eastAsia="宋体" w:cs="宋体"/>
          <w:spacing w:val="8"/>
          <w:sz w:val="24"/>
          <w:szCs w:val="24"/>
          <w:lang w:val="en-US" w:eastAsia="zh-CN"/>
        </w:rPr>
      </w:pPr>
      <w:r>
        <w:rPr>
          <w:rFonts w:hint="eastAsia" w:ascii="仿宋_GB2312" w:hAnsi="仿宋" w:eastAsia="仿宋_GB2312"/>
          <w:sz w:val="32"/>
          <w:szCs w:val="32"/>
          <w:lang w:val="en-US" w:eastAsia="zh-CN"/>
        </w:rPr>
        <w:t xml:space="preserve"> </w:t>
      </w:r>
      <w:r>
        <w:rPr>
          <w:rFonts w:hint="eastAsia" w:ascii="宋体" w:hAnsi="宋体" w:eastAsia="宋体" w:cs="宋体"/>
          <w:sz w:val="24"/>
          <w:szCs w:val="24"/>
          <w:lang w:val="en-US" w:eastAsia="zh-CN"/>
        </w:rPr>
        <w:t>单位2023年末在职人员72人，同比上年减少16人，属于正常人事调动.</w:t>
      </w:r>
    </w:p>
    <w:p w14:paraId="55AEED5D">
      <w:pPr>
        <w:widowControl w:val="0"/>
        <w:numPr>
          <w:ilvl w:val="0"/>
          <w:numId w:val="1"/>
        </w:numPr>
        <w:kinsoku/>
        <w:overflowPunct w:val="0"/>
        <w:spacing w:line="360" w:lineRule="auto"/>
        <w:ind w:left="0" w:leftChars="0" w:firstLine="680" w:firstLineChars="200"/>
        <w:rPr>
          <w:rFonts w:ascii="楷体" w:hAnsi="楷体" w:eastAsia="楷体" w:cs="楷体"/>
          <w:spacing w:val="10"/>
          <w:sz w:val="32"/>
          <w:szCs w:val="32"/>
          <w:lang w:eastAsia="zh-CN"/>
        </w:rPr>
      </w:pPr>
      <w:r>
        <w:rPr>
          <w:rFonts w:ascii="楷体" w:hAnsi="楷体" w:eastAsia="楷体" w:cs="楷体"/>
          <w:spacing w:val="10"/>
          <w:sz w:val="32"/>
          <w:szCs w:val="32"/>
          <w:lang w:eastAsia="zh-CN"/>
        </w:rPr>
        <w:t>主要职能职责</w:t>
      </w:r>
    </w:p>
    <w:p w14:paraId="3C8E10C3">
      <w:pPr>
        <w:widowControl/>
        <w:shd w:val="clear" w:color="auto" w:fill="FFFFFF"/>
        <w:spacing w:line="600" w:lineRule="atLeast"/>
        <w:ind w:firstLine="640"/>
        <w:rPr>
          <w:rFonts w:ascii="楷体" w:hAnsi="楷体" w:eastAsia="楷体" w:cs="楷体"/>
          <w:spacing w:val="10"/>
          <w:sz w:val="32"/>
          <w:szCs w:val="32"/>
          <w:lang w:eastAsia="zh-CN"/>
        </w:rPr>
      </w:pPr>
      <w:r>
        <w:rPr>
          <w:rFonts w:hint="eastAsia" w:ascii="宋体" w:hAnsi="宋体" w:eastAsia="宋体" w:cs="宋体"/>
          <w:sz w:val="24"/>
          <w:szCs w:val="24"/>
        </w:rPr>
        <w:t>鹤城区政府办的主要职能是综合协调、参谋决策、督察督办、行政复议等。文秘室：负责区委常委会议、区委常委办公会议、区委召开的全区性会议的会务组织、会议纪要起草和有关决定事项的催办落实；负责安排区委领导同志的公务活动；负责区委和区委办公室有关文件文稿的起草；负责党群系统召开的有关会议的报批工作；编写区委大事记；负责区委值班任务；负责发送区委、区委办公室的各种文电、函件、资料的注批、注办；负责区委、区委办公室印章的使用、管理和区委颁发印章的刻制和发送。政策研究室：组织起草有关区委领导同志的讲话、报告，起草区委的政策性文件和其他文稿；围绕区委的中心工作开展调查研究，提出意见和建议，供区委决策参考；参与区委有关重要会议及调研活动的组织协调和服务工作；收集整理各类重要信息资料，提供给区委领导参阅，并及时上报上级党委；承担区委领导的有关报务工作；编辑区委机关刊物；完成省委政研室、市委政研室、市委办综调室交办调研课题及其他工作；负责全区党委办公室系统业务指导、业务培训和队伍建设。督查室：负责中央、省、市、区委重大决策、重要工作部署贯彻落实的督促检查和情况综合；负责省委、市委、区委领导同志重要批示和交办事项的督办及落实情况的反馈，负责区委和区委领导同志决定事项的督促办理；承担人大代表、政协委员提出的需要党委部门答复的议案、提案的催办工作；负责有关督杳信息的综合与报送；参与区委、区委办公室领导提出的重要课题的调查研究和部分文件、文稿的起草；负责区委、区政府重要督促检查活动的组织协调工作。机要室：按照中央和省委密码工作的方针政策，制订实施办法和规章制度；负责全区党政系统密码通信和密码管理；负责密码电报的翻译、传输、递送和规定范围内部传真电报的传输、办理工作；负责中央、省委、市委文件、刊物、资料的分发管理和区委主要领导同志阅文的分送、管理；负责区委、区委办公室的立卷、归档、管理和保密工作；承担区委密码工作领导小组和区国家密码管理委员会的日常工作。保密办：贯彻执行党和国家有关保密工作的方针、政策、决定、指示，制定全区保密工作计划并组织实施；指导、协调全区党、政、军、人民团体及企事业单位的保密工作，监督检查保密法及其他保密法规、规章的实施。组织、指导保密宣传教育工作，制定宣传教育计划并组织实施；组织推广应用保密技术设备，指导、协调并组织实施保密技术检查。政工室：负责区委办公室归口管理单位的人事、机构编制、教育培训、考核奖惩、劳动工资、保险福利、人事档案、工人技术等级考核等工作，协助区委组织部考察本办及归中管理单位干部；负责办理本单位的干部任免、录用、调动等事宜。财务室：负责区委和区委办财务经费预、决算和审计；负责办公室班干部职工的医疗费的结算工作；负责工资统计报表的编制；负责区委办公室财产、物资的清理。</w:t>
      </w:r>
    </w:p>
    <w:p w14:paraId="13FB4450">
      <w:pPr>
        <w:widowControl w:val="0"/>
        <w:numPr>
          <w:ilvl w:val="0"/>
          <w:numId w:val="1"/>
        </w:numPr>
        <w:kinsoku/>
        <w:overflowPunct w:val="0"/>
        <w:spacing w:line="360" w:lineRule="auto"/>
        <w:ind w:left="0" w:leftChars="0" w:firstLine="676" w:firstLineChars="200"/>
        <w:rPr>
          <w:rFonts w:ascii="楷体" w:hAnsi="楷体" w:eastAsia="楷体" w:cs="楷体"/>
          <w:spacing w:val="9"/>
          <w:sz w:val="32"/>
          <w:szCs w:val="32"/>
          <w:lang w:eastAsia="zh-CN"/>
        </w:rPr>
      </w:pPr>
      <w:r>
        <w:rPr>
          <w:rFonts w:ascii="楷体" w:hAnsi="楷体" w:eastAsia="楷体" w:cs="楷体"/>
          <w:spacing w:val="9"/>
          <w:sz w:val="32"/>
          <w:szCs w:val="32"/>
          <w:lang w:eastAsia="zh-CN"/>
        </w:rPr>
        <w:t>绩效目标设定情况</w:t>
      </w:r>
    </w:p>
    <w:p w14:paraId="08D17F89">
      <w:pPr>
        <w:widowControl w:val="0"/>
        <w:numPr>
          <w:numId w:val="0"/>
        </w:numPr>
        <w:kinsoku/>
        <w:overflowPunct w:val="0"/>
        <w:spacing w:line="360" w:lineRule="auto"/>
        <w:ind w:leftChars="200" w:firstLine="516" w:firstLineChars="200"/>
        <w:rPr>
          <w:rFonts w:hint="eastAsia" w:ascii="宋体" w:hAnsi="宋体" w:eastAsia="宋体" w:cs="宋体"/>
          <w:spacing w:val="9"/>
          <w:sz w:val="24"/>
          <w:szCs w:val="24"/>
          <w:lang w:eastAsia="zh-CN"/>
        </w:rPr>
      </w:pPr>
      <w:r>
        <w:rPr>
          <w:rFonts w:hint="eastAsia" w:ascii="宋体" w:hAnsi="宋体" w:eastAsia="宋体" w:cs="宋体"/>
          <w:spacing w:val="9"/>
          <w:sz w:val="24"/>
          <w:szCs w:val="24"/>
          <w:lang w:val="en-US" w:eastAsia="zh-CN"/>
        </w:rPr>
        <w:t>区</w:t>
      </w:r>
      <w:r>
        <w:rPr>
          <w:rFonts w:hint="eastAsia" w:ascii="宋体" w:hAnsi="宋体" w:eastAsia="宋体" w:cs="宋体"/>
          <w:spacing w:val="9"/>
          <w:sz w:val="24"/>
          <w:szCs w:val="24"/>
          <w:lang w:eastAsia="zh-CN"/>
        </w:rPr>
        <w:t>府办2023年整体支出绩效目标是落实</w:t>
      </w:r>
      <w:r>
        <w:rPr>
          <w:rFonts w:hint="eastAsia" w:ascii="宋体" w:hAnsi="宋体" w:eastAsia="宋体" w:cs="宋体"/>
          <w:spacing w:val="9"/>
          <w:sz w:val="24"/>
          <w:szCs w:val="24"/>
          <w:lang w:val="en-US" w:eastAsia="zh-CN"/>
        </w:rPr>
        <w:t>区</w:t>
      </w:r>
      <w:r>
        <w:rPr>
          <w:rFonts w:hint="eastAsia" w:ascii="宋体" w:hAnsi="宋体" w:eastAsia="宋体" w:cs="宋体"/>
          <w:spacing w:val="9"/>
          <w:sz w:val="24"/>
          <w:szCs w:val="24"/>
          <w:lang w:eastAsia="zh-CN"/>
        </w:rPr>
        <w:t>委、</w:t>
      </w:r>
      <w:r>
        <w:rPr>
          <w:rFonts w:hint="eastAsia" w:ascii="宋体" w:hAnsi="宋体" w:eastAsia="宋体" w:cs="宋体"/>
          <w:spacing w:val="9"/>
          <w:sz w:val="24"/>
          <w:szCs w:val="24"/>
          <w:lang w:val="en-US" w:eastAsia="zh-CN"/>
        </w:rPr>
        <w:t>区</w:t>
      </w:r>
      <w:r>
        <w:rPr>
          <w:rFonts w:hint="eastAsia" w:ascii="宋体" w:hAnsi="宋体" w:eastAsia="宋体" w:cs="宋体"/>
          <w:spacing w:val="9"/>
          <w:sz w:val="24"/>
          <w:szCs w:val="24"/>
          <w:lang w:eastAsia="zh-CN"/>
        </w:rPr>
        <w:t>政府的决策部署，紧密关注各级时事和政务动态，跟踪分析宏观形势，对全</w:t>
      </w:r>
      <w:r>
        <w:rPr>
          <w:rFonts w:hint="eastAsia" w:ascii="宋体" w:hAnsi="宋体" w:eastAsia="宋体" w:cs="宋体"/>
          <w:spacing w:val="9"/>
          <w:sz w:val="24"/>
          <w:szCs w:val="24"/>
          <w:lang w:val="en-US" w:eastAsia="zh-CN"/>
        </w:rPr>
        <w:t>区</w:t>
      </w:r>
      <w:r>
        <w:rPr>
          <w:rFonts w:hint="eastAsia" w:ascii="宋体" w:hAnsi="宋体" w:eastAsia="宋体" w:cs="宋体"/>
          <w:spacing w:val="9"/>
          <w:sz w:val="24"/>
          <w:szCs w:val="24"/>
          <w:lang w:eastAsia="zh-CN"/>
        </w:rPr>
        <w:t>经济社会发展重大问题进行研究分析，认真落实“参谋、服务、协调、督查”职能。</w:t>
      </w:r>
    </w:p>
    <w:p w14:paraId="12A26E78">
      <w:pPr>
        <w:widowControl w:val="0"/>
        <w:numPr>
          <w:numId w:val="0"/>
        </w:numPr>
        <w:kinsoku/>
        <w:overflowPunct w:val="0"/>
        <w:spacing w:line="360" w:lineRule="auto"/>
        <w:ind w:leftChars="200" w:firstLine="516" w:firstLineChars="200"/>
        <w:rPr>
          <w:rFonts w:hint="eastAsia" w:ascii="宋体" w:hAnsi="宋体" w:eastAsia="宋体" w:cs="宋体"/>
          <w:spacing w:val="9"/>
          <w:sz w:val="24"/>
          <w:szCs w:val="24"/>
          <w:lang w:eastAsia="zh-CN"/>
        </w:rPr>
      </w:pPr>
      <w:r>
        <w:rPr>
          <w:rFonts w:hint="eastAsia" w:ascii="宋体" w:hAnsi="宋体" w:eastAsia="宋体" w:cs="宋体"/>
          <w:spacing w:val="9"/>
          <w:sz w:val="24"/>
          <w:szCs w:val="24"/>
          <w:lang w:eastAsia="zh-CN"/>
        </w:rPr>
        <w:t>一强化组织建设，推动“党建+业务”融合;落实社区“大党委”工作机制;加强党内激励帮扶机制。</w:t>
      </w:r>
    </w:p>
    <w:p w14:paraId="376546CC">
      <w:pPr>
        <w:widowControl w:val="0"/>
        <w:numPr>
          <w:numId w:val="0"/>
        </w:numPr>
        <w:kinsoku/>
        <w:overflowPunct w:val="0"/>
        <w:spacing w:line="360" w:lineRule="auto"/>
        <w:ind w:leftChars="200" w:firstLine="516" w:firstLineChars="200"/>
        <w:rPr>
          <w:rFonts w:hint="eastAsia" w:ascii="宋体" w:hAnsi="宋体" w:eastAsia="宋体" w:cs="宋体"/>
          <w:spacing w:val="9"/>
          <w:sz w:val="24"/>
          <w:szCs w:val="24"/>
          <w:lang w:eastAsia="zh-CN"/>
        </w:rPr>
      </w:pPr>
      <w:r>
        <w:rPr>
          <w:rFonts w:hint="eastAsia" w:ascii="宋体" w:hAnsi="宋体" w:eastAsia="宋体" w:cs="宋体"/>
          <w:spacing w:val="9"/>
          <w:sz w:val="24"/>
          <w:szCs w:val="24"/>
          <w:lang w:eastAsia="zh-CN"/>
        </w:rPr>
        <w:t>二落实参谋辅政，为领导决策提供有力支撑。扎实做好以文辅政，高质量起草县《政府工作报告》，完成</w:t>
      </w:r>
      <w:r>
        <w:rPr>
          <w:rFonts w:hint="eastAsia" w:ascii="宋体" w:hAnsi="宋体" w:eastAsia="宋体" w:cs="宋体"/>
          <w:spacing w:val="9"/>
          <w:sz w:val="24"/>
          <w:szCs w:val="24"/>
          <w:lang w:val="en-US" w:eastAsia="zh-CN"/>
        </w:rPr>
        <w:t>区</w:t>
      </w:r>
      <w:r>
        <w:rPr>
          <w:rFonts w:hint="eastAsia" w:ascii="宋体" w:hAnsi="宋体" w:eastAsia="宋体" w:cs="宋体"/>
          <w:spacing w:val="9"/>
          <w:sz w:val="24"/>
          <w:szCs w:val="24"/>
          <w:lang w:eastAsia="zh-CN"/>
        </w:rPr>
        <w:t>领导讲话文稿，全年收文做到即收即分、精准拟办;扎实做好信息辅政，打造政务信息精品，紧扣宏观政策取向和领导决策关注点，跟踪研判经济社会运行的新动态，以更高质量的政务公开工作助力全县经济社会实现跨越式、高质量发展。</w:t>
      </w:r>
    </w:p>
    <w:p w14:paraId="386B93B1">
      <w:pPr>
        <w:widowControl w:val="0"/>
        <w:numPr>
          <w:numId w:val="0"/>
        </w:numPr>
        <w:kinsoku/>
        <w:overflowPunct w:val="0"/>
        <w:spacing w:line="360" w:lineRule="auto"/>
        <w:ind w:leftChars="200" w:firstLine="516" w:firstLineChars="200"/>
        <w:rPr>
          <w:rFonts w:hint="eastAsia" w:ascii="宋体" w:hAnsi="宋体" w:eastAsia="宋体" w:cs="宋体"/>
          <w:spacing w:val="9"/>
          <w:sz w:val="24"/>
          <w:szCs w:val="24"/>
          <w:lang w:eastAsia="zh-CN"/>
        </w:rPr>
      </w:pPr>
      <w:r>
        <w:rPr>
          <w:rFonts w:hint="eastAsia" w:ascii="宋体" w:hAnsi="宋体" w:eastAsia="宋体" w:cs="宋体"/>
          <w:spacing w:val="9"/>
          <w:sz w:val="24"/>
          <w:szCs w:val="24"/>
          <w:lang w:eastAsia="zh-CN"/>
        </w:rPr>
        <w:t>三充分发挥督查“利剑”作用，强力推动相关问题解决，促进各项目标任务顺利完成。</w:t>
      </w:r>
    </w:p>
    <w:p w14:paraId="24555D97">
      <w:pPr>
        <w:widowControl w:val="0"/>
        <w:numPr>
          <w:numId w:val="0"/>
        </w:numPr>
        <w:kinsoku/>
        <w:overflowPunct w:val="0"/>
        <w:spacing w:line="360" w:lineRule="auto"/>
        <w:ind w:leftChars="200" w:firstLine="516" w:firstLineChars="200"/>
        <w:rPr>
          <w:rFonts w:hint="eastAsia" w:ascii="宋体" w:hAnsi="宋体" w:eastAsia="宋体" w:cs="宋体"/>
          <w:spacing w:val="9"/>
          <w:sz w:val="24"/>
          <w:szCs w:val="24"/>
          <w:lang w:eastAsia="zh-CN"/>
        </w:rPr>
      </w:pPr>
      <w:r>
        <w:rPr>
          <w:rFonts w:hint="eastAsia" w:ascii="宋体" w:hAnsi="宋体" w:eastAsia="宋体" w:cs="宋体"/>
          <w:spacing w:val="9"/>
          <w:sz w:val="24"/>
          <w:szCs w:val="24"/>
          <w:lang w:eastAsia="zh-CN"/>
        </w:rPr>
        <w:t>四强化金融机构的组织协调，引导金融机构加大对中小企业、民营企业和“三农”信贷投入。深化普惠金融服务，强化“乡村振兴”信贷投放。加强非法集资风险排查处置工作力度。</w:t>
      </w:r>
    </w:p>
    <w:p w14:paraId="2C0782CB">
      <w:pPr>
        <w:widowControl w:val="0"/>
        <w:numPr>
          <w:numId w:val="0"/>
        </w:numPr>
        <w:kinsoku/>
        <w:overflowPunct w:val="0"/>
        <w:spacing w:line="360" w:lineRule="auto"/>
        <w:ind w:leftChars="200" w:firstLine="516" w:firstLineChars="200"/>
        <w:rPr>
          <w:rFonts w:hint="eastAsia" w:ascii="宋体" w:hAnsi="宋体" w:eastAsia="宋体" w:cs="宋体"/>
          <w:spacing w:val="9"/>
          <w:sz w:val="24"/>
          <w:szCs w:val="24"/>
          <w:lang w:eastAsia="zh-CN"/>
        </w:rPr>
      </w:pPr>
      <w:r>
        <w:rPr>
          <w:rFonts w:hint="eastAsia" w:ascii="宋体" w:hAnsi="宋体" w:eastAsia="宋体" w:cs="宋体"/>
          <w:spacing w:val="9"/>
          <w:sz w:val="24"/>
          <w:szCs w:val="24"/>
          <w:lang w:eastAsia="zh-CN"/>
        </w:rPr>
        <w:t>五加强应急值守，及时处理重大突发事件，做好日常政务值班工作，确保政令畅通。</w:t>
      </w:r>
    </w:p>
    <w:p w14:paraId="2D8CFA6F">
      <w:pPr>
        <w:widowControl w:val="0"/>
        <w:kinsoku/>
        <w:overflowPunct w:val="0"/>
        <w:spacing w:line="360" w:lineRule="auto"/>
        <w:ind w:firstLine="583" w:firstLineChars="200"/>
        <w:outlineLvl w:val="6"/>
        <w:rPr>
          <w:rFonts w:ascii="黑体" w:hAnsi="黑体" w:eastAsia="黑体" w:cs="黑体"/>
          <w:sz w:val="32"/>
          <w:szCs w:val="32"/>
          <w:lang w:eastAsia="zh-CN"/>
        </w:rPr>
      </w:pPr>
      <w:r>
        <w:rPr>
          <w:rFonts w:ascii="黑体" w:hAnsi="黑体" w:eastAsia="黑体" w:cs="黑体"/>
          <w:b/>
          <w:bCs/>
          <w:spacing w:val="-15"/>
          <w:sz w:val="32"/>
          <w:szCs w:val="32"/>
          <w:lang w:eastAsia="zh-CN"/>
        </w:rPr>
        <w:t>二、部门整体支出管理及使用情况</w:t>
      </w:r>
    </w:p>
    <w:p w14:paraId="477B0254">
      <w:pPr>
        <w:widowControl w:val="0"/>
        <w:kinsoku/>
        <w:overflowPunct w:val="0"/>
        <w:spacing w:line="360" w:lineRule="auto"/>
        <w:ind w:firstLine="644" w:firstLineChars="200"/>
        <w:rPr>
          <w:rFonts w:ascii="楷体" w:hAnsi="楷体" w:eastAsia="楷体" w:cs="楷体"/>
          <w:spacing w:val="1"/>
          <w:sz w:val="32"/>
          <w:szCs w:val="32"/>
          <w:lang w:eastAsia="zh-CN"/>
        </w:rPr>
      </w:pPr>
      <w:r>
        <w:rPr>
          <w:rFonts w:ascii="楷体" w:hAnsi="楷体" w:eastAsia="楷体" w:cs="楷体"/>
          <w:spacing w:val="1"/>
          <w:sz w:val="32"/>
          <w:szCs w:val="32"/>
          <w:lang w:eastAsia="zh-CN"/>
        </w:rPr>
        <w:t>(一)预算执行、使用、管理总体情况。</w:t>
      </w:r>
    </w:p>
    <w:p w14:paraId="574ED16D">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32"/>
        <w:jc w:val="both"/>
        <w:rPr>
          <w:rFonts w:ascii="楷体" w:hAnsi="楷体" w:eastAsia="楷体" w:cs="楷体"/>
          <w:spacing w:val="1"/>
          <w:sz w:val="32"/>
          <w:szCs w:val="32"/>
          <w:lang w:eastAsia="zh-CN"/>
        </w:rPr>
      </w:pPr>
      <w:r>
        <w:rPr>
          <w:rFonts w:hint="eastAsia" w:ascii="宋体" w:hAnsi="宋体" w:eastAsia="宋体" w:cs="宋体"/>
          <w:i w:val="0"/>
          <w:iCs w:val="0"/>
          <w:caps w:val="0"/>
          <w:color w:val="3D3D3D"/>
          <w:spacing w:val="-2"/>
          <w:sz w:val="24"/>
          <w:szCs w:val="24"/>
          <w:shd w:val="clear" w:color="auto" w:fill="FFFFFF"/>
        </w:rPr>
        <w:t>2023年基本支出为</w:t>
      </w:r>
      <w:r>
        <w:rPr>
          <w:rFonts w:hint="eastAsia" w:ascii="宋体" w:hAnsi="宋体" w:eastAsia="宋体" w:cs="宋体"/>
          <w:i w:val="0"/>
          <w:iCs w:val="0"/>
          <w:caps w:val="0"/>
          <w:color w:val="3D3D3D"/>
          <w:spacing w:val="-2"/>
          <w:sz w:val="24"/>
          <w:szCs w:val="24"/>
          <w:shd w:val="clear" w:color="auto" w:fill="FFFFFF"/>
          <w:lang w:val="en-US" w:eastAsia="zh-CN"/>
        </w:rPr>
        <w:t>1381.87万</w:t>
      </w:r>
      <w:r>
        <w:rPr>
          <w:rFonts w:hint="eastAsia" w:ascii="宋体" w:hAnsi="宋体" w:eastAsia="宋体" w:cs="宋体"/>
          <w:i w:val="0"/>
          <w:iCs w:val="0"/>
          <w:caps w:val="0"/>
          <w:color w:val="3D3D3D"/>
          <w:spacing w:val="-2"/>
          <w:sz w:val="24"/>
          <w:szCs w:val="24"/>
          <w:shd w:val="clear" w:color="auto" w:fill="FFFFFF"/>
        </w:rPr>
        <w:t>元，包含人员经费</w:t>
      </w:r>
      <w:r>
        <w:rPr>
          <w:rFonts w:hint="eastAsia" w:ascii="宋体" w:hAnsi="宋体" w:eastAsia="宋体" w:cs="宋体"/>
          <w:i w:val="0"/>
          <w:iCs w:val="0"/>
          <w:caps w:val="0"/>
          <w:color w:val="3D3D3D"/>
          <w:spacing w:val="-2"/>
          <w:sz w:val="24"/>
          <w:szCs w:val="24"/>
          <w:shd w:val="clear" w:color="auto" w:fill="FFFFFF"/>
          <w:lang w:val="en-US" w:eastAsia="zh-CN"/>
        </w:rPr>
        <w:t>1220.96万</w:t>
      </w:r>
      <w:r>
        <w:rPr>
          <w:rFonts w:hint="eastAsia" w:ascii="宋体" w:hAnsi="宋体" w:eastAsia="宋体" w:cs="宋体"/>
          <w:i w:val="0"/>
          <w:iCs w:val="0"/>
          <w:caps w:val="0"/>
          <w:color w:val="3D3D3D"/>
          <w:spacing w:val="-2"/>
          <w:sz w:val="24"/>
          <w:szCs w:val="24"/>
          <w:shd w:val="clear" w:color="auto" w:fill="FFFFFF"/>
        </w:rPr>
        <w:t>元，公用经费</w:t>
      </w:r>
      <w:r>
        <w:rPr>
          <w:rFonts w:hint="eastAsia" w:ascii="宋体" w:hAnsi="宋体" w:eastAsia="宋体" w:cs="宋体"/>
          <w:i w:val="0"/>
          <w:iCs w:val="0"/>
          <w:caps w:val="0"/>
          <w:color w:val="3D3D3D"/>
          <w:spacing w:val="-2"/>
          <w:sz w:val="24"/>
          <w:szCs w:val="24"/>
          <w:shd w:val="clear" w:color="auto" w:fill="FFFFFF"/>
          <w:lang w:val="en-US" w:eastAsia="zh-CN"/>
        </w:rPr>
        <w:t>160.91万</w:t>
      </w:r>
      <w:r>
        <w:rPr>
          <w:rFonts w:hint="eastAsia" w:ascii="宋体" w:hAnsi="宋体" w:eastAsia="宋体" w:cs="宋体"/>
          <w:i w:val="0"/>
          <w:iCs w:val="0"/>
          <w:caps w:val="0"/>
          <w:color w:val="3D3D3D"/>
          <w:spacing w:val="-2"/>
          <w:sz w:val="24"/>
          <w:szCs w:val="24"/>
          <w:shd w:val="clear" w:color="auto" w:fill="FFFFFF"/>
        </w:rPr>
        <w:t>元；项目支出为</w:t>
      </w:r>
      <w:r>
        <w:rPr>
          <w:rFonts w:hint="eastAsia" w:ascii="宋体" w:hAnsi="宋体" w:eastAsia="宋体" w:cs="宋体"/>
          <w:i w:val="0"/>
          <w:iCs w:val="0"/>
          <w:caps w:val="0"/>
          <w:color w:val="3D3D3D"/>
          <w:spacing w:val="-2"/>
          <w:sz w:val="24"/>
          <w:szCs w:val="24"/>
          <w:shd w:val="clear" w:color="auto" w:fill="FFFFFF"/>
          <w:lang w:val="en-US" w:eastAsia="zh-CN"/>
        </w:rPr>
        <w:t>643.89万</w:t>
      </w:r>
      <w:r>
        <w:rPr>
          <w:rFonts w:hint="eastAsia" w:ascii="宋体" w:hAnsi="宋体" w:eastAsia="宋体" w:cs="宋体"/>
          <w:i w:val="0"/>
          <w:iCs w:val="0"/>
          <w:caps w:val="0"/>
          <w:color w:val="3D3D3D"/>
          <w:spacing w:val="-2"/>
          <w:sz w:val="24"/>
          <w:szCs w:val="24"/>
          <w:shd w:val="clear" w:color="auto" w:fill="FFFFFF"/>
        </w:rPr>
        <w:t>元。基本支出用于保障机构正常运转、完成日常工作任务而发生的支出。项目支出是为完成特定的工作任务或事业发展目标，在基本的预算支出以外，财政预算专项安排的支出，主要包括业务工作专项、运行维护专项、专项资金。</w:t>
      </w:r>
    </w:p>
    <w:p w14:paraId="3102264D">
      <w:pPr>
        <w:widowControl w:val="0"/>
        <w:kinsoku/>
        <w:overflowPunct w:val="0"/>
        <w:spacing w:line="360" w:lineRule="auto"/>
        <w:ind w:firstLine="676" w:firstLineChars="200"/>
        <w:rPr>
          <w:rFonts w:ascii="楷体" w:hAnsi="楷体" w:eastAsia="楷体" w:cs="楷体"/>
          <w:sz w:val="32"/>
          <w:szCs w:val="32"/>
          <w:lang w:eastAsia="zh-CN"/>
        </w:rPr>
      </w:pPr>
      <w:r>
        <w:rPr>
          <w:rFonts w:ascii="楷体" w:hAnsi="楷体" w:eastAsia="楷体" w:cs="楷体"/>
          <w:spacing w:val="9"/>
          <w:sz w:val="32"/>
          <w:szCs w:val="32"/>
          <w:lang w:eastAsia="zh-CN"/>
        </w:rPr>
        <w:t>(二)部门预算执行情况</w:t>
      </w:r>
    </w:p>
    <w:p w14:paraId="6C028BDD">
      <w:pPr>
        <w:pStyle w:val="2"/>
        <w:widowControl w:val="0"/>
        <w:kinsoku/>
        <w:overflowPunct w:val="0"/>
        <w:spacing w:line="360" w:lineRule="auto"/>
        <w:ind w:firstLine="620" w:firstLineChars="200"/>
        <w:rPr>
          <w:spacing w:val="-5"/>
          <w:sz w:val="32"/>
          <w:szCs w:val="32"/>
          <w:lang w:eastAsia="zh-CN"/>
        </w:rPr>
      </w:pPr>
      <w:r>
        <w:rPr>
          <w:spacing w:val="-5"/>
          <w:sz w:val="32"/>
          <w:szCs w:val="32"/>
          <w:lang w:eastAsia="zh-CN"/>
        </w:rPr>
        <w:t>1.基本支出情况</w:t>
      </w:r>
    </w:p>
    <w:p w14:paraId="378D17CF">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32"/>
        <w:jc w:val="both"/>
        <w:rPr>
          <w:rFonts w:hint="eastAsia" w:ascii="宋体" w:hAnsi="宋体" w:eastAsia="宋体" w:cs="宋体"/>
          <w:i w:val="0"/>
          <w:iCs w:val="0"/>
          <w:caps w:val="0"/>
          <w:color w:val="3D3D3D"/>
          <w:spacing w:val="0"/>
          <w:sz w:val="24"/>
          <w:szCs w:val="24"/>
        </w:rPr>
      </w:pPr>
      <w:r>
        <w:rPr>
          <w:rFonts w:hint="eastAsia" w:ascii="宋体" w:hAnsi="宋体" w:eastAsia="宋体" w:cs="宋体"/>
          <w:i w:val="0"/>
          <w:iCs w:val="0"/>
          <w:caps w:val="0"/>
          <w:color w:val="3D3D3D"/>
          <w:spacing w:val="-2"/>
          <w:sz w:val="24"/>
          <w:szCs w:val="24"/>
          <w:shd w:val="clear" w:color="auto" w:fill="FFFFFF"/>
        </w:rPr>
        <w:t>基本支出用于保障机构正常运转、完成日常工作任务而发生的支出，包括用于在职人员基本工资、津贴补贴、奖金、社会保险等缴费和离退休人员奖金等人员经费以及办公费、印刷费、水电费、劳务费、物业服务、办公设备购置等日常公用经费。</w:t>
      </w:r>
    </w:p>
    <w:p w14:paraId="2BB47D6D">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32"/>
        <w:jc w:val="both"/>
        <w:rPr>
          <w:rFonts w:hint="eastAsia" w:ascii="宋体" w:hAnsi="宋体" w:eastAsia="宋体" w:cs="宋体"/>
          <w:i w:val="0"/>
          <w:iCs w:val="0"/>
          <w:caps w:val="0"/>
          <w:color w:val="3D3D3D"/>
          <w:spacing w:val="0"/>
          <w:sz w:val="24"/>
          <w:szCs w:val="24"/>
        </w:rPr>
      </w:pPr>
      <w:r>
        <w:rPr>
          <w:rFonts w:hint="eastAsia" w:ascii="宋体" w:hAnsi="宋体" w:eastAsia="宋体" w:cs="宋体"/>
          <w:i w:val="0"/>
          <w:iCs w:val="0"/>
          <w:caps w:val="0"/>
          <w:color w:val="3D3D3D"/>
          <w:spacing w:val="-2"/>
          <w:sz w:val="24"/>
          <w:szCs w:val="24"/>
          <w:shd w:val="clear" w:color="auto" w:fill="FFFFFF"/>
        </w:rPr>
        <w:t>2023年基本支出为</w:t>
      </w:r>
      <w:r>
        <w:rPr>
          <w:rFonts w:hint="eastAsia" w:ascii="宋体" w:hAnsi="宋体" w:eastAsia="宋体" w:cs="宋体"/>
          <w:i w:val="0"/>
          <w:iCs w:val="0"/>
          <w:caps w:val="0"/>
          <w:color w:val="3D3D3D"/>
          <w:spacing w:val="-2"/>
          <w:sz w:val="24"/>
          <w:szCs w:val="24"/>
          <w:shd w:val="clear" w:color="auto" w:fill="FFFFFF"/>
          <w:lang w:val="en-US" w:eastAsia="zh-CN"/>
        </w:rPr>
        <w:t>1381.87万</w:t>
      </w:r>
      <w:r>
        <w:rPr>
          <w:rFonts w:hint="eastAsia" w:ascii="宋体" w:hAnsi="宋体" w:eastAsia="宋体" w:cs="宋体"/>
          <w:i w:val="0"/>
          <w:iCs w:val="0"/>
          <w:caps w:val="0"/>
          <w:color w:val="3D3D3D"/>
          <w:spacing w:val="-2"/>
          <w:sz w:val="24"/>
          <w:szCs w:val="24"/>
          <w:shd w:val="clear" w:color="auto" w:fill="FFFFFF"/>
        </w:rPr>
        <w:t>元，按经济科目划分，各项支出金额分别为：工资福利支出</w:t>
      </w:r>
      <w:r>
        <w:rPr>
          <w:rFonts w:hint="eastAsia" w:ascii="宋体" w:hAnsi="宋体" w:eastAsia="宋体" w:cs="宋体"/>
          <w:i w:val="0"/>
          <w:iCs w:val="0"/>
          <w:caps w:val="0"/>
          <w:color w:val="3D3D3D"/>
          <w:spacing w:val="-2"/>
          <w:sz w:val="24"/>
          <w:szCs w:val="24"/>
          <w:shd w:val="clear" w:color="auto" w:fill="FFFFFF"/>
          <w:lang w:val="en-US" w:eastAsia="zh-CN"/>
        </w:rPr>
        <w:t>1082.87万</w:t>
      </w:r>
      <w:r>
        <w:rPr>
          <w:rFonts w:hint="eastAsia" w:ascii="宋体" w:hAnsi="宋体" w:eastAsia="宋体" w:cs="宋体"/>
          <w:i w:val="0"/>
          <w:iCs w:val="0"/>
          <w:caps w:val="0"/>
          <w:color w:val="3D3D3D"/>
          <w:spacing w:val="-2"/>
          <w:sz w:val="24"/>
          <w:szCs w:val="24"/>
          <w:shd w:val="clear" w:color="auto" w:fill="FFFFFF"/>
        </w:rPr>
        <w:t>元，商品和服务支出</w:t>
      </w:r>
      <w:r>
        <w:rPr>
          <w:rFonts w:hint="eastAsia" w:ascii="宋体" w:hAnsi="宋体" w:eastAsia="宋体" w:cs="宋体"/>
          <w:i w:val="0"/>
          <w:iCs w:val="0"/>
          <w:caps w:val="0"/>
          <w:color w:val="3D3D3D"/>
          <w:spacing w:val="-2"/>
          <w:sz w:val="24"/>
          <w:szCs w:val="24"/>
          <w:shd w:val="clear" w:color="auto" w:fill="FFFFFF"/>
          <w:lang w:val="en-US" w:eastAsia="zh-CN"/>
        </w:rPr>
        <w:t>160.91万</w:t>
      </w:r>
      <w:r>
        <w:rPr>
          <w:rFonts w:hint="eastAsia" w:ascii="宋体" w:hAnsi="宋体" w:eastAsia="宋体" w:cs="宋体"/>
          <w:i w:val="0"/>
          <w:iCs w:val="0"/>
          <w:caps w:val="0"/>
          <w:color w:val="3D3D3D"/>
          <w:spacing w:val="-2"/>
          <w:sz w:val="24"/>
          <w:szCs w:val="24"/>
          <w:shd w:val="clear" w:color="auto" w:fill="FFFFFF"/>
        </w:rPr>
        <w:t>元，对个人和家庭的补助</w:t>
      </w:r>
      <w:r>
        <w:rPr>
          <w:rFonts w:hint="eastAsia" w:ascii="宋体" w:hAnsi="宋体" w:eastAsia="宋体" w:cs="宋体"/>
          <w:i w:val="0"/>
          <w:iCs w:val="0"/>
          <w:caps w:val="0"/>
          <w:color w:val="3D3D3D"/>
          <w:spacing w:val="-2"/>
          <w:sz w:val="24"/>
          <w:szCs w:val="24"/>
          <w:shd w:val="clear" w:color="auto" w:fill="FFFFFF"/>
          <w:lang w:val="en-US" w:eastAsia="zh-CN"/>
        </w:rPr>
        <w:t>138.09万</w:t>
      </w:r>
      <w:r>
        <w:rPr>
          <w:rFonts w:hint="eastAsia" w:ascii="宋体" w:hAnsi="宋体" w:eastAsia="宋体" w:cs="宋体"/>
          <w:i w:val="0"/>
          <w:iCs w:val="0"/>
          <w:caps w:val="0"/>
          <w:color w:val="3D3D3D"/>
          <w:spacing w:val="-2"/>
          <w:sz w:val="24"/>
          <w:szCs w:val="24"/>
          <w:shd w:val="clear" w:color="auto" w:fill="FFFFFF"/>
        </w:rPr>
        <w:t>元。</w:t>
      </w:r>
    </w:p>
    <w:p w14:paraId="21190382">
      <w:pPr>
        <w:pStyle w:val="2"/>
        <w:widowControl w:val="0"/>
        <w:kinsoku/>
        <w:overflowPunct w:val="0"/>
        <w:spacing w:line="360" w:lineRule="auto"/>
        <w:ind w:firstLine="460" w:firstLineChars="200"/>
        <w:rPr>
          <w:rFonts w:hint="eastAsia" w:ascii="宋体" w:hAnsi="宋体" w:eastAsia="宋体" w:cs="宋体"/>
          <w:spacing w:val="-5"/>
          <w:sz w:val="24"/>
          <w:szCs w:val="24"/>
          <w:lang w:eastAsia="zh-CN"/>
        </w:rPr>
      </w:pPr>
    </w:p>
    <w:p w14:paraId="251E10F7">
      <w:pPr>
        <w:pStyle w:val="2"/>
        <w:widowControl w:val="0"/>
        <w:numPr>
          <w:ilvl w:val="0"/>
          <w:numId w:val="2"/>
        </w:numPr>
        <w:kinsoku/>
        <w:overflowPunct w:val="0"/>
        <w:spacing w:line="360" w:lineRule="auto"/>
        <w:ind w:firstLine="632" w:firstLineChars="200"/>
        <w:rPr>
          <w:rFonts w:hint="eastAsia" w:ascii="宋体" w:hAnsi="宋体" w:eastAsia="宋体" w:cs="宋体"/>
          <w:i w:val="0"/>
          <w:iCs w:val="0"/>
          <w:caps w:val="0"/>
          <w:color w:val="3D3D3D"/>
          <w:spacing w:val="0"/>
          <w:sz w:val="24"/>
          <w:szCs w:val="24"/>
        </w:rPr>
      </w:pPr>
      <w:r>
        <w:rPr>
          <w:spacing w:val="-2"/>
          <w:sz w:val="32"/>
          <w:szCs w:val="32"/>
          <w:lang w:eastAsia="zh-CN"/>
        </w:rPr>
        <w:t>项目支出情况</w:t>
      </w:r>
    </w:p>
    <w:p w14:paraId="3B7AA247">
      <w:pPr>
        <w:pStyle w:val="2"/>
        <w:widowControl w:val="0"/>
        <w:numPr>
          <w:numId w:val="0"/>
        </w:numPr>
        <w:kinsoku/>
        <w:overflowPunct w:val="0"/>
        <w:spacing w:line="360" w:lineRule="auto"/>
        <w:ind w:firstLine="632" w:firstLineChars="200"/>
        <w:rPr>
          <w:rFonts w:hint="eastAsia" w:ascii="宋体" w:hAnsi="宋体" w:eastAsia="宋体" w:cs="宋体"/>
          <w:spacing w:val="-2"/>
          <w:sz w:val="24"/>
          <w:szCs w:val="24"/>
          <w:lang w:eastAsia="zh-CN"/>
        </w:rPr>
      </w:pPr>
      <w:r>
        <w:rPr>
          <w:rFonts w:hint="eastAsia"/>
          <w:spacing w:val="-2"/>
          <w:sz w:val="32"/>
          <w:szCs w:val="32"/>
          <w:lang w:val="en-US" w:eastAsia="zh-CN"/>
        </w:rPr>
        <w:t xml:space="preserve"> </w:t>
      </w:r>
      <w:r>
        <w:rPr>
          <w:rFonts w:hint="eastAsia" w:ascii="宋体" w:hAnsi="宋体" w:eastAsia="宋体" w:cs="宋体"/>
          <w:spacing w:val="-2"/>
          <w:sz w:val="24"/>
          <w:szCs w:val="24"/>
          <w:lang w:val="en-US" w:eastAsia="zh-CN"/>
        </w:rPr>
        <w:t xml:space="preserve">  </w:t>
      </w:r>
      <w:r>
        <w:rPr>
          <w:rFonts w:hint="eastAsia" w:ascii="宋体" w:hAnsi="宋体" w:eastAsia="宋体" w:cs="宋体"/>
          <w:i w:val="0"/>
          <w:iCs w:val="0"/>
          <w:caps w:val="0"/>
          <w:color w:val="3D3D3D"/>
          <w:spacing w:val="-2"/>
          <w:sz w:val="24"/>
          <w:szCs w:val="24"/>
          <w:shd w:val="clear" w:color="auto" w:fill="FFFFFF"/>
        </w:rPr>
        <w:t>2023年项目支出为</w:t>
      </w:r>
      <w:r>
        <w:rPr>
          <w:rFonts w:hint="eastAsia" w:ascii="宋体" w:hAnsi="宋体" w:eastAsia="宋体" w:cs="宋体"/>
          <w:i w:val="0"/>
          <w:iCs w:val="0"/>
          <w:caps w:val="0"/>
          <w:color w:val="3D3D3D"/>
          <w:spacing w:val="-2"/>
          <w:sz w:val="24"/>
          <w:szCs w:val="24"/>
          <w:shd w:val="clear" w:color="auto" w:fill="FFFFFF"/>
          <w:lang w:val="en-US" w:eastAsia="zh-CN"/>
        </w:rPr>
        <w:t>643.89万</w:t>
      </w:r>
      <w:r>
        <w:rPr>
          <w:rFonts w:hint="eastAsia" w:ascii="宋体" w:hAnsi="宋体" w:eastAsia="宋体" w:cs="宋体"/>
          <w:i w:val="0"/>
          <w:iCs w:val="0"/>
          <w:caps w:val="0"/>
          <w:color w:val="3D3D3D"/>
          <w:spacing w:val="-2"/>
          <w:sz w:val="24"/>
          <w:szCs w:val="24"/>
          <w:shd w:val="clear" w:color="auto" w:fill="FFFFFF"/>
        </w:rPr>
        <w:t>元，按经济科目划分，各项支出金额分别为：工资福利支出</w:t>
      </w:r>
      <w:r>
        <w:rPr>
          <w:rFonts w:hint="eastAsia" w:ascii="宋体" w:hAnsi="宋体" w:eastAsia="宋体" w:cs="宋体"/>
          <w:i w:val="0"/>
          <w:iCs w:val="0"/>
          <w:caps w:val="0"/>
          <w:color w:val="3D3D3D"/>
          <w:spacing w:val="-2"/>
          <w:sz w:val="24"/>
          <w:szCs w:val="24"/>
          <w:shd w:val="clear" w:color="auto" w:fill="FFFFFF"/>
          <w:lang w:val="en-US" w:eastAsia="zh-CN"/>
        </w:rPr>
        <w:t>132.92万</w:t>
      </w:r>
      <w:r>
        <w:rPr>
          <w:rFonts w:hint="eastAsia" w:ascii="宋体" w:hAnsi="宋体" w:eastAsia="宋体" w:cs="宋体"/>
          <w:i w:val="0"/>
          <w:iCs w:val="0"/>
          <w:caps w:val="0"/>
          <w:color w:val="3D3D3D"/>
          <w:spacing w:val="-2"/>
          <w:sz w:val="24"/>
          <w:szCs w:val="24"/>
          <w:shd w:val="clear" w:color="auto" w:fill="FFFFFF"/>
        </w:rPr>
        <w:t>元，商品和服务支出</w:t>
      </w:r>
      <w:r>
        <w:rPr>
          <w:rFonts w:hint="eastAsia" w:ascii="宋体" w:hAnsi="宋体" w:eastAsia="宋体" w:cs="宋体"/>
          <w:i w:val="0"/>
          <w:iCs w:val="0"/>
          <w:caps w:val="0"/>
          <w:color w:val="3D3D3D"/>
          <w:spacing w:val="-2"/>
          <w:sz w:val="24"/>
          <w:szCs w:val="24"/>
          <w:shd w:val="clear" w:color="auto" w:fill="FFFFFF"/>
          <w:lang w:val="en-US" w:eastAsia="zh-CN"/>
        </w:rPr>
        <w:t>434.46万</w:t>
      </w:r>
      <w:r>
        <w:rPr>
          <w:rFonts w:hint="eastAsia" w:ascii="宋体" w:hAnsi="宋体" w:eastAsia="宋体" w:cs="宋体"/>
          <w:i w:val="0"/>
          <w:iCs w:val="0"/>
          <w:caps w:val="0"/>
          <w:color w:val="3D3D3D"/>
          <w:spacing w:val="-2"/>
          <w:sz w:val="24"/>
          <w:szCs w:val="24"/>
          <w:shd w:val="clear" w:color="auto" w:fill="FFFFFF"/>
        </w:rPr>
        <w:t>元，对个人和家庭的补助</w:t>
      </w:r>
      <w:r>
        <w:rPr>
          <w:rFonts w:hint="eastAsia" w:ascii="宋体" w:hAnsi="宋体" w:eastAsia="宋体" w:cs="宋体"/>
          <w:i w:val="0"/>
          <w:iCs w:val="0"/>
          <w:caps w:val="0"/>
          <w:color w:val="3D3D3D"/>
          <w:spacing w:val="-2"/>
          <w:sz w:val="24"/>
          <w:szCs w:val="24"/>
          <w:shd w:val="clear" w:color="auto" w:fill="FFFFFF"/>
          <w:lang w:val="en-US" w:eastAsia="zh-CN"/>
        </w:rPr>
        <w:t>48.32万</w:t>
      </w:r>
      <w:r>
        <w:rPr>
          <w:rFonts w:hint="eastAsia" w:ascii="宋体" w:hAnsi="宋体" w:eastAsia="宋体" w:cs="宋体"/>
          <w:i w:val="0"/>
          <w:iCs w:val="0"/>
          <w:caps w:val="0"/>
          <w:color w:val="3D3D3D"/>
          <w:spacing w:val="-2"/>
          <w:sz w:val="24"/>
          <w:szCs w:val="24"/>
          <w:shd w:val="clear" w:color="auto" w:fill="FFFFFF"/>
        </w:rPr>
        <w:t>元，资本性支出</w:t>
      </w:r>
      <w:r>
        <w:rPr>
          <w:rFonts w:hint="eastAsia" w:ascii="宋体" w:hAnsi="宋体" w:eastAsia="宋体" w:cs="宋体"/>
          <w:i w:val="0"/>
          <w:iCs w:val="0"/>
          <w:caps w:val="0"/>
          <w:color w:val="3D3D3D"/>
          <w:spacing w:val="-2"/>
          <w:sz w:val="24"/>
          <w:szCs w:val="24"/>
          <w:shd w:val="clear" w:color="auto" w:fill="FFFFFF"/>
          <w:lang w:val="en-US" w:eastAsia="zh-CN"/>
        </w:rPr>
        <w:t>28.19万</w:t>
      </w:r>
      <w:r>
        <w:rPr>
          <w:rFonts w:hint="eastAsia" w:ascii="宋体" w:hAnsi="宋体" w:eastAsia="宋体" w:cs="宋体"/>
          <w:i w:val="0"/>
          <w:iCs w:val="0"/>
          <w:caps w:val="0"/>
          <w:color w:val="3D3D3D"/>
          <w:spacing w:val="-2"/>
          <w:sz w:val="24"/>
          <w:szCs w:val="24"/>
          <w:shd w:val="clear" w:color="auto" w:fill="FFFFFF"/>
        </w:rPr>
        <w:t>元。</w:t>
      </w:r>
    </w:p>
    <w:p w14:paraId="34D7A42C">
      <w:pPr>
        <w:widowControl w:val="0"/>
        <w:numPr>
          <w:ilvl w:val="0"/>
          <w:numId w:val="3"/>
        </w:numPr>
        <w:kinsoku/>
        <w:overflowPunct w:val="0"/>
        <w:spacing w:line="360" w:lineRule="auto"/>
        <w:ind w:firstLine="660" w:firstLineChars="200"/>
        <w:rPr>
          <w:rFonts w:ascii="楷体" w:hAnsi="楷体" w:eastAsia="楷体" w:cs="楷体"/>
          <w:spacing w:val="5"/>
          <w:sz w:val="32"/>
          <w:szCs w:val="32"/>
          <w:lang w:eastAsia="zh-CN"/>
        </w:rPr>
      </w:pPr>
      <w:r>
        <w:rPr>
          <w:rFonts w:ascii="楷体" w:hAnsi="楷体" w:eastAsia="楷体" w:cs="楷体"/>
          <w:spacing w:val="5"/>
          <w:sz w:val="32"/>
          <w:szCs w:val="32"/>
          <w:lang w:eastAsia="zh-CN"/>
        </w:rPr>
        <w:t>"三公"经费使用和管理情况</w:t>
      </w:r>
    </w:p>
    <w:p w14:paraId="4CFFB97E">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32"/>
        <w:jc w:val="both"/>
        <w:rPr>
          <w:rFonts w:hint="eastAsia" w:ascii="宋体" w:hAnsi="宋体" w:eastAsia="宋体" w:cs="宋体"/>
          <w:i w:val="0"/>
          <w:iCs w:val="0"/>
          <w:caps w:val="0"/>
          <w:color w:val="3D3D3D"/>
          <w:spacing w:val="0"/>
          <w:sz w:val="24"/>
          <w:szCs w:val="24"/>
        </w:rPr>
      </w:pPr>
      <w:r>
        <w:rPr>
          <w:rFonts w:hint="eastAsia" w:ascii="宋体" w:hAnsi="宋体" w:eastAsia="宋体" w:cs="宋体"/>
          <w:i w:val="0"/>
          <w:iCs w:val="0"/>
          <w:caps w:val="0"/>
          <w:color w:val="3D3D3D"/>
          <w:spacing w:val="-2"/>
          <w:sz w:val="24"/>
          <w:szCs w:val="24"/>
          <w:shd w:val="clear" w:color="auto" w:fill="FFFFFF"/>
        </w:rPr>
        <w:t>2023年“三公经费”年初预算数为</w:t>
      </w:r>
      <w:r>
        <w:rPr>
          <w:rFonts w:hint="eastAsia" w:ascii="宋体" w:hAnsi="宋体" w:eastAsia="宋体" w:cs="宋体"/>
          <w:i w:val="0"/>
          <w:iCs w:val="0"/>
          <w:caps w:val="0"/>
          <w:color w:val="3D3D3D"/>
          <w:spacing w:val="-2"/>
          <w:sz w:val="24"/>
          <w:szCs w:val="24"/>
          <w:shd w:val="clear" w:color="auto" w:fill="FFFFFF"/>
          <w:lang w:val="en-US" w:eastAsia="zh-CN"/>
        </w:rPr>
        <w:t>12万</w:t>
      </w:r>
      <w:r>
        <w:rPr>
          <w:rFonts w:hint="eastAsia" w:ascii="宋体" w:hAnsi="宋体" w:eastAsia="宋体" w:cs="宋体"/>
          <w:i w:val="0"/>
          <w:iCs w:val="0"/>
          <w:caps w:val="0"/>
          <w:color w:val="3D3D3D"/>
          <w:spacing w:val="-2"/>
          <w:sz w:val="24"/>
          <w:szCs w:val="24"/>
          <w:shd w:val="clear" w:color="auto" w:fill="FFFFFF"/>
        </w:rPr>
        <w:t>元，其中公务用车运行维护费</w:t>
      </w:r>
      <w:r>
        <w:rPr>
          <w:rFonts w:hint="eastAsia" w:ascii="宋体" w:hAnsi="宋体" w:eastAsia="宋体" w:cs="宋体"/>
          <w:i w:val="0"/>
          <w:iCs w:val="0"/>
          <w:caps w:val="0"/>
          <w:color w:val="3D3D3D"/>
          <w:spacing w:val="-2"/>
          <w:sz w:val="24"/>
          <w:szCs w:val="24"/>
          <w:shd w:val="clear" w:color="auto" w:fill="FFFFFF"/>
          <w:lang w:val="en-US" w:eastAsia="zh-CN"/>
        </w:rPr>
        <w:t>10万</w:t>
      </w:r>
      <w:r>
        <w:rPr>
          <w:rFonts w:hint="eastAsia" w:ascii="宋体" w:hAnsi="宋体" w:eastAsia="宋体" w:cs="宋体"/>
          <w:i w:val="0"/>
          <w:iCs w:val="0"/>
          <w:caps w:val="0"/>
          <w:color w:val="3D3D3D"/>
          <w:spacing w:val="-2"/>
          <w:sz w:val="24"/>
          <w:szCs w:val="24"/>
          <w:shd w:val="clear" w:color="auto" w:fill="FFFFFF"/>
        </w:rPr>
        <w:t>元，公务接待费</w:t>
      </w:r>
      <w:r>
        <w:rPr>
          <w:rFonts w:hint="eastAsia" w:ascii="宋体" w:hAnsi="宋体" w:eastAsia="宋体" w:cs="宋体"/>
          <w:i w:val="0"/>
          <w:iCs w:val="0"/>
          <w:caps w:val="0"/>
          <w:color w:val="3D3D3D"/>
          <w:spacing w:val="-2"/>
          <w:sz w:val="24"/>
          <w:szCs w:val="24"/>
          <w:shd w:val="clear" w:color="auto" w:fill="FFFFFF"/>
          <w:lang w:val="en-US" w:eastAsia="zh-CN"/>
        </w:rPr>
        <w:t>2万元</w:t>
      </w:r>
      <w:r>
        <w:rPr>
          <w:rFonts w:hint="eastAsia" w:ascii="宋体" w:hAnsi="宋体" w:eastAsia="宋体" w:cs="宋体"/>
          <w:i w:val="0"/>
          <w:iCs w:val="0"/>
          <w:caps w:val="0"/>
          <w:color w:val="3D3D3D"/>
          <w:spacing w:val="-2"/>
          <w:sz w:val="24"/>
          <w:szCs w:val="24"/>
          <w:shd w:val="clear" w:color="auto" w:fill="FFFFFF"/>
        </w:rPr>
        <w:t>。2023年决算“三公经费”支出为</w:t>
      </w:r>
      <w:r>
        <w:rPr>
          <w:rFonts w:hint="eastAsia" w:ascii="宋体" w:hAnsi="宋体" w:eastAsia="宋体" w:cs="宋体"/>
          <w:i w:val="0"/>
          <w:iCs w:val="0"/>
          <w:caps w:val="0"/>
          <w:color w:val="3D3D3D"/>
          <w:spacing w:val="-2"/>
          <w:sz w:val="24"/>
          <w:szCs w:val="24"/>
          <w:shd w:val="clear" w:color="auto" w:fill="FFFFFF"/>
          <w:lang w:val="en-US" w:eastAsia="zh-CN"/>
        </w:rPr>
        <w:t>3.51万</w:t>
      </w:r>
      <w:r>
        <w:rPr>
          <w:rFonts w:hint="eastAsia" w:ascii="宋体" w:hAnsi="宋体" w:eastAsia="宋体" w:cs="宋体"/>
          <w:i w:val="0"/>
          <w:iCs w:val="0"/>
          <w:caps w:val="0"/>
          <w:color w:val="3D3D3D"/>
          <w:spacing w:val="-2"/>
          <w:sz w:val="24"/>
          <w:szCs w:val="24"/>
          <w:shd w:val="clear" w:color="auto" w:fill="FFFFFF"/>
        </w:rPr>
        <w:t>元，其中：公务用车运行维护费</w:t>
      </w:r>
      <w:r>
        <w:rPr>
          <w:rFonts w:hint="eastAsia" w:ascii="宋体" w:hAnsi="宋体" w:eastAsia="宋体" w:cs="宋体"/>
          <w:i w:val="0"/>
          <w:iCs w:val="0"/>
          <w:caps w:val="0"/>
          <w:color w:val="3D3D3D"/>
          <w:spacing w:val="-2"/>
          <w:sz w:val="24"/>
          <w:szCs w:val="24"/>
          <w:shd w:val="clear" w:color="auto" w:fill="FFFFFF"/>
          <w:lang w:val="en-US" w:eastAsia="zh-CN"/>
        </w:rPr>
        <w:t>3.51万</w:t>
      </w:r>
      <w:r>
        <w:rPr>
          <w:rFonts w:hint="eastAsia" w:ascii="宋体" w:hAnsi="宋体" w:eastAsia="宋体" w:cs="宋体"/>
          <w:i w:val="0"/>
          <w:iCs w:val="0"/>
          <w:caps w:val="0"/>
          <w:color w:val="3D3D3D"/>
          <w:spacing w:val="-2"/>
          <w:sz w:val="24"/>
          <w:szCs w:val="24"/>
          <w:shd w:val="clear" w:color="auto" w:fill="FFFFFF"/>
        </w:rPr>
        <w:t>元，公务接待费</w:t>
      </w:r>
      <w:r>
        <w:rPr>
          <w:rFonts w:hint="eastAsia" w:ascii="宋体" w:hAnsi="宋体" w:eastAsia="宋体" w:cs="宋体"/>
          <w:i w:val="0"/>
          <w:iCs w:val="0"/>
          <w:caps w:val="0"/>
          <w:color w:val="3D3D3D"/>
          <w:spacing w:val="-2"/>
          <w:sz w:val="24"/>
          <w:szCs w:val="24"/>
          <w:shd w:val="clear" w:color="auto" w:fill="FFFFFF"/>
          <w:lang w:val="en-US" w:eastAsia="zh-CN"/>
        </w:rPr>
        <w:t>0万</w:t>
      </w:r>
      <w:r>
        <w:rPr>
          <w:rFonts w:hint="eastAsia" w:ascii="宋体" w:hAnsi="宋体" w:eastAsia="宋体" w:cs="宋体"/>
          <w:i w:val="0"/>
          <w:iCs w:val="0"/>
          <w:caps w:val="0"/>
          <w:color w:val="3D3D3D"/>
          <w:spacing w:val="-2"/>
          <w:sz w:val="24"/>
          <w:szCs w:val="24"/>
          <w:shd w:val="clear" w:color="auto" w:fill="FFFFFF"/>
        </w:rPr>
        <w:t>元。比年初预算节约了</w:t>
      </w:r>
      <w:r>
        <w:rPr>
          <w:rFonts w:hint="eastAsia" w:ascii="宋体" w:hAnsi="宋体" w:eastAsia="宋体" w:cs="宋体"/>
          <w:i w:val="0"/>
          <w:iCs w:val="0"/>
          <w:caps w:val="0"/>
          <w:color w:val="3D3D3D"/>
          <w:spacing w:val="-2"/>
          <w:sz w:val="24"/>
          <w:szCs w:val="24"/>
          <w:shd w:val="clear" w:color="auto" w:fill="FFFFFF"/>
          <w:lang w:val="en-US" w:eastAsia="zh-CN"/>
        </w:rPr>
        <w:t>8.49万</w:t>
      </w:r>
      <w:r>
        <w:rPr>
          <w:rFonts w:hint="eastAsia" w:ascii="宋体" w:hAnsi="宋体" w:eastAsia="宋体" w:cs="宋体"/>
          <w:i w:val="0"/>
          <w:iCs w:val="0"/>
          <w:caps w:val="0"/>
          <w:color w:val="3D3D3D"/>
          <w:spacing w:val="-2"/>
          <w:sz w:val="24"/>
          <w:szCs w:val="24"/>
          <w:shd w:val="clear" w:color="auto" w:fill="FFFFFF"/>
        </w:rPr>
        <w:t>元，节支率</w:t>
      </w:r>
      <w:r>
        <w:rPr>
          <w:rFonts w:hint="eastAsia" w:ascii="宋体" w:hAnsi="宋体" w:eastAsia="宋体" w:cs="宋体"/>
          <w:i w:val="0"/>
          <w:iCs w:val="0"/>
          <w:caps w:val="0"/>
          <w:color w:val="3D3D3D"/>
          <w:spacing w:val="-2"/>
          <w:sz w:val="24"/>
          <w:szCs w:val="24"/>
          <w:shd w:val="clear" w:color="auto" w:fill="FFFFFF"/>
          <w:lang w:val="en-US" w:eastAsia="zh-CN"/>
        </w:rPr>
        <w:t>70.75</w:t>
      </w:r>
      <w:r>
        <w:rPr>
          <w:rFonts w:hint="eastAsia" w:ascii="宋体" w:hAnsi="宋体" w:eastAsia="宋体" w:cs="宋体"/>
          <w:i w:val="0"/>
          <w:iCs w:val="0"/>
          <w:caps w:val="0"/>
          <w:color w:val="3D3D3D"/>
          <w:spacing w:val="-2"/>
          <w:sz w:val="24"/>
          <w:szCs w:val="24"/>
          <w:shd w:val="clear" w:color="auto" w:fill="FFFFFF"/>
        </w:rPr>
        <w:t>%。</w:t>
      </w:r>
    </w:p>
    <w:p w14:paraId="1F69BFA0">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32"/>
        <w:jc w:val="both"/>
        <w:rPr>
          <w:rFonts w:ascii="楷体" w:hAnsi="楷体" w:eastAsia="楷体" w:cs="楷体"/>
          <w:spacing w:val="5"/>
          <w:sz w:val="32"/>
          <w:szCs w:val="32"/>
          <w:lang w:eastAsia="zh-CN"/>
        </w:rPr>
      </w:pPr>
      <w:r>
        <w:rPr>
          <w:rFonts w:hint="eastAsia" w:ascii="宋体" w:hAnsi="宋体" w:eastAsia="宋体" w:cs="宋体"/>
          <w:i w:val="0"/>
          <w:iCs w:val="0"/>
          <w:caps w:val="0"/>
          <w:color w:val="3D3D3D"/>
          <w:spacing w:val="-2"/>
          <w:sz w:val="24"/>
          <w:szCs w:val="24"/>
          <w:shd w:val="clear" w:color="auto" w:fill="FFFFFF"/>
        </w:rPr>
        <w:t>2023年根据</w:t>
      </w:r>
      <w:r>
        <w:rPr>
          <w:rFonts w:hint="eastAsia" w:ascii="宋体" w:hAnsi="宋体" w:eastAsia="宋体" w:cs="宋体"/>
          <w:i w:val="0"/>
          <w:iCs w:val="0"/>
          <w:caps w:val="0"/>
          <w:color w:val="3D3D3D"/>
          <w:spacing w:val="-2"/>
          <w:sz w:val="24"/>
          <w:szCs w:val="24"/>
          <w:shd w:val="clear" w:color="auto" w:fill="FFFFFF"/>
          <w:lang w:val="en-US" w:eastAsia="zh-CN"/>
        </w:rPr>
        <w:t>鹤城区政府办</w:t>
      </w:r>
      <w:r>
        <w:rPr>
          <w:rFonts w:hint="eastAsia" w:ascii="宋体" w:hAnsi="宋体" w:eastAsia="宋体" w:cs="宋体"/>
          <w:i w:val="0"/>
          <w:iCs w:val="0"/>
          <w:caps w:val="0"/>
          <w:color w:val="3D3D3D"/>
          <w:spacing w:val="-2"/>
          <w:sz w:val="24"/>
          <w:szCs w:val="24"/>
          <w:shd w:val="clear" w:color="auto" w:fill="FFFFFF"/>
        </w:rPr>
        <w:t>内部财务管理制度，局领导与各部门实行经费预算管理，按领导的职务、级别和部门工作业务范围及在岗人数制定年度预算经费，年度预算经费是年度经费支出的上限，其中招待费不得超过预算经费总量的25%。严格执行接待公函及清单制度，控制接待人数和接待标准，2023年局接待费发生额</w:t>
      </w:r>
      <w:r>
        <w:rPr>
          <w:rFonts w:hint="eastAsia" w:ascii="宋体" w:hAnsi="宋体" w:eastAsia="宋体" w:cs="宋体"/>
          <w:i w:val="0"/>
          <w:iCs w:val="0"/>
          <w:caps w:val="0"/>
          <w:color w:val="3D3D3D"/>
          <w:spacing w:val="-2"/>
          <w:sz w:val="24"/>
          <w:szCs w:val="24"/>
          <w:shd w:val="clear" w:color="auto" w:fill="FFFFFF"/>
          <w:lang w:val="en-US" w:eastAsia="zh-CN"/>
        </w:rPr>
        <w:t>0万</w:t>
      </w:r>
      <w:r>
        <w:rPr>
          <w:rFonts w:hint="eastAsia" w:ascii="宋体" w:hAnsi="宋体" w:eastAsia="宋体" w:cs="宋体"/>
          <w:i w:val="0"/>
          <w:iCs w:val="0"/>
          <w:caps w:val="0"/>
          <w:color w:val="3D3D3D"/>
          <w:spacing w:val="-2"/>
          <w:sz w:val="24"/>
          <w:szCs w:val="24"/>
          <w:shd w:val="clear" w:color="auto" w:fill="FFFFFF"/>
        </w:rPr>
        <w:t>元，车辆使用全部纳入公务用车平台里申请使用，维修由使用人申请，分管领导审批，极大的规范了车辆的使用和维修。</w:t>
      </w:r>
    </w:p>
    <w:p w14:paraId="0E5C7351">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20" w:lineRule="atLeast"/>
        <w:ind w:left="0" w:right="0" w:firstLine="640"/>
        <w:jc w:val="left"/>
        <w:rPr>
          <w:rFonts w:hint="default" w:ascii="Calibri" w:hAnsi="Calibri" w:cs="Calibri"/>
          <w:b/>
          <w:bCs/>
          <w:i w:val="0"/>
          <w:iCs w:val="0"/>
          <w:caps w:val="0"/>
          <w:color w:val="3D3D3D"/>
          <w:spacing w:val="0"/>
          <w:sz w:val="24"/>
          <w:szCs w:val="24"/>
        </w:rPr>
      </w:pPr>
      <w:r>
        <w:rPr>
          <w:rFonts w:hint="eastAsia" w:ascii="黑体" w:hAnsi="宋体" w:eastAsia="黑体" w:cs="黑体"/>
          <w:b/>
          <w:bCs/>
          <w:i w:val="0"/>
          <w:iCs w:val="0"/>
          <w:caps w:val="0"/>
          <w:color w:val="000000"/>
          <w:spacing w:val="0"/>
          <w:sz w:val="32"/>
          <w:szCs w:val="32"/>
          <w:shd w:val="clear" w:color="auto" w:fill="FFFFFF"/>
        </w:rPr>
        <w:t>三、政府性基金预算支出情况</w:t>
      </w:r>
    </w:p>
    <w:p w14:paraId="37789F1A">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20" w:lineRule="atLeast"/>
        <w:ind w:left="0" w:right="0" w:firstLine="640"/>
        <w:jc w:val="left"/>
        <w:rPr>
          <w:rFonts w:hint="default" w:ascii="Calibri" w:hAnsi="Calibri" w:cs="Calibri"/>
          <w:i w:val="0"/>
          <w:iCs w:val="0"/>
          <w:caps w:val="0"/>
          <w:color w:val="3D3D3D"/>
          <w:spacing w:val="0"/>
          <w:sz w:val="24"/>
          <w:szCs w:val="24"/>
        </w:rPr>
      </w:pPr>
      <w:r>
        <w:rPr>
          <w:rFonts w:hint="default" w:ascii="仿宋_GB2312" w:hAnsi="仿宋" w:eastAsia="仿宋_GB2312" w:cs="仿宋_GB2312"/>
          <w:i w:val="0"/>
          <w:iCs w:val="0"/>
          <w:caps w:val="0"/>
          <w:color w:val="000000"/>
          <w:spacing w:val="0"/>
          <w:sz w:val="32"/>
          <w:szCs w:val="32"/>
          <w:shd w:val="clear" w:color="auto" w:fill="FFFFFF"/>
        </w:rPr>
        <w:t>无。</w:t>
      </w:r>
    </w:p>
    <w:p w14:paraId="64822F20">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20" w:lineRule="atLeast"/>
        <w:ind w:left="0" w:right="0" w:firstLine="640"/>
        <w:jc w:val="left"/>
        <w:rPr>
          <w:rFonts w:hint="default" w:ascii="Calibri" w:hAnsi="Calibri" w:cs="Calibri"/>
          <w:b/>
          <w:bCs/>
          <w:i w:val="0"/>
          <w:iCs w:val="0"/>
          <w:caps w:val="0"/>
          <w:color w:val="3D3D3D"/>
          <w:spacing w:val="0"/>
          <w:sz w:val="24"/>
          <w:szCs w:val="24"/>
        </w:rPr>
      </w:pPr>
      <w:r>
        <w:rPr>
          <w:rFonts w:hint="eastAsia" w:ascii="黑体" w:hAnsi="宋体" w:eastAsia="黑体" w:cs="黑体"/>
          <w:b/>
          <w:bCs/>
          <w:i w:val="0"/>
          <w:iCs w:val="0"/>
          <w:caps w:val="0"/>
          <w:color w:val="000000"/>
          <w:spacing w:val="0"/>
          <w:sz w:val="32"/>
          <w:szCs w:val="32"/>
          <w:shd w:val="clear" w:color="auto" w:fill="FFFFFF"/>
        </w:rPr>
        <w:t>四、国有资本经营预算支出情况</w:t>
      </w:r>
    </w:p>
    <w:p w14:paraId="423810BF">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20" w:lineRule="atLeast"/>
        <w:ind w:left="0" w:right="0" w:firstLine="640"/>
        <w:jc w:val="left"/>
        <w:rPr>
          <w:rFonts w:hint="default" w:ascii="Calibri" w:hAnsi="Calibri" w:cs="Calibri"/>
          <w:i w:val="0"/>
          <w:iCs w:val="0"/>
          <w:caps w:val="0"/>
          <w:color w:val="3D3D3D"/>
          <w:spacing w:val="0"/>
          <w:sz w:val="24"/>
          <w:szCs w:val="24"/>
        </w:rPr>
      </w:pPr>
      <w:r>
        <w:rPr>
          <w:rFonts w:hint="default" w:ascii="仿宋_GB2312" w:hAnsi="仿宋" w:eastAsia="仿宋_GB2312" w:cs="仿宋_GB2312"/>
          <w:i w:val="0"/>
          <w:iCs w:val="0"/>
          <w:caps w:val="0"/>
          <w:color w:val="000000"/>
          <w:spacing w:val="0"/>
          <w:sz w:val="32"/>
          <w:szCs w:val="32"/>
          <w:shd w:val="clear" w:color="auto" w:fill="FFFFFF"/>
        </w:rPr>
        <w:t>无。</w:t>
      </w:r>
    </w:p>
    <w:p w14:paraId="037AC1DD">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20" w:lineRule="atLeast"/>
        <w:ind w:left="0" w:right="0" w:firstLine="640"/>
        <w:jc w:val="left"/>
        <w:rPr>
          <w:rFonts w:hint="default" w:ascii="Calibri" w:hAnsi="Calibri" w:cs="Calibri"/>
          <w:b/>
          <w:bCs/>
          <w:i w:val="0"/>
          <w:iCs w:val="0"/>
          <w:caps w:val="0"/>
          <w:color w:val="3D3D3D"/>
          <w:spacing w:val="0"/>
          <w:sz w:val="24"/>
          <w:szCs w:val="24"/>
        </w:rPr>
      </w:pPr>
      <w:r>
        <w:rPr>
          <w:rFonts w:hint="eastAsia" w:ascii="黑体" w:hAnsi="宋体" w:eastAsia="黑体" w:cs="黑体"/>
          <w:b/>
          <w:bCs/>
          <w:i w:val="0"/>
          <w:iCs w:val="0"/>
          <w:caps w:val="0"/>
          <w:color w:val="000000"/>
          <w:spacing w:val="0"/>
          <w:sz w:val="32"/>
          <w:szCs w:val="32"/>
          <w:shd w:val="clear" w:color="auto" w:fill="FFFFFF"/>
        </w:rPr>
        <w:t>五、社会保险基金预算支出情况</w:t>
      </w:r>
    </w:p>
    <w:p w14:paraId="02E415E8">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20" w:lineRule="atLeast"/>
        <w:ind w:left="0" w:right="0" w:firstLine="640"/>
        <w:jc w:val="left"/>
        <w:rPr>
          <w:rFonts w:hint="default" w:ascii="Calibri" w:hAnsi="Calibri" w:cs="Calibri"/>
          <w:i w:val="0"/>
          <w:iCs w:val="0"/>
          <w:caps w:val="0"/>
          <w:color w:val="3D3D3D"/>
          <w:spacing w:val="0"/>
          <w:sz w:val="24"/>
          <w:szCs w:val="24"/>
        </w:rPr>
      </w:pPr>
      <w:r>
        <w:rPr>
          <w:rFonts w:hint="default" w:ascii="仿宋_GB2312" w:hAnsi="仿宋" w:eastAsia="仿宋_GB2312" w:cs="仿宋_GB2312"/>
          <w:i w:val="0"/>
          <w:iCs w:val="0"/>
          <w:caps w:val="0"/>
          <w:color w:val="000000"/>
          <w:spacing w:val="0"/>
          <w:sz w:val="32"/>
          <w:szCs w:val="32"/>
          <w:shd w:val="clear" w:color="auto" w:fill="FFFFFF"/>
        </w:rPr>
        <w:t>无。</w:t>
      </w:r>
    </w:p>
    <w:p w14:paraId="4EE53133">
      <w:pPr>
        <w:widowControl w:val="0"/>
        <w:kinsoku/>
        <w:overflowPunct w:val="0"/>
        <w:spacing w:line="360" w:lineRule="auto"/>
        <w:ind w:firstLine="603" w:firstLineChars="200"/>
        <w:rPr>
          <w:rFonts w:ascii="黑体" w:hAnsi="黑体" w:eastAsia="黑体" w:cs="黑体"/>
          <w:sz w:val="32"/>
          <w:szCs w:val="32"/>
          <w:lang w:eastAsia="zh-CN"/>
        </w:rPr>
      </w:pPr>
      <w:r>
        <w:rPr>
          <w:rFonts w:ascii="黑体" w:hAnsi="黑体" w:eastAsia="黑体" w:cs="黑体"/>
          <w:b/>
          <w:bCs/>
          <w:spacing w:val="-10"/>
          <w:sz w:val="32"/>
          <w:szCs w:val="32"/>
          <w:lang w:eastAsia="zh-CN"/>
        </w:rPr>
        <w:t>六、部门整体支出绩效情况</w:t>
      </w:r>
    </w:p>
    <w:p w14:paraId="6F8D52CC">
      <w:pPr>
        <w:pStyle w:val="2"/>
        <w:widowControl w:val="0"/>
        <w:kinsoku/>
        <w:overflowPunct w:val="0"/>
        <w:spacing w:line="360" w:lineRule="auto"/>
        <w:ind w:firstLine="620" w:firstLineChars="200"/>
        <w:rPr>
          <w:spacing w:val="-5"/>
          <w:sz w:val="32"/>
          <w:szCs w:val="32"/>
          <w:lang w:eastAsia="zh-CN"/>
        </w:rPr>
      </w:pPr>
      <w:r>
        <w:rPr>
          <w:rFonts w:ascii="楷体" w:hAnsi="楷体" w:eastAsia="楷体" w:cs="楷体"/>
          <w:spacing w:val="-5"/>
          <w:sz w:val="32"/>
          <w:szCs w:val="32"/>
          <w:lang w:eastAsia="zh-CN"/>
        </w:rPr>
        <w:t>(一)综合评价结论。</w:t>
      </w:r>
    </w:p>
    <w:p w14:paraId="0C95C8D1">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20" w:lineRule="atLeast"/>
        <w:ind w:left="0" w:right="0" w:firstLine="640"/>
        <w:jc w:val="left"/>
        <w:rPr>
          <w:rFonts w:hint="eastAsia" w:ascii="宋体" w:hAnsi="宋体" w:eastAsia="宋体" w:cs="宋体"/>
          <w:spacing w:val="-5"/>
          <w:sz w:val="24"/>
          <w:szCs w:val="24"/>
          <w:lang w:eastAsia="zh-CN"/>
        </w:rPr>
      </w:pPr>
      <w:r>
        <w:rPr>
          <w:rFonts w:hint="eastAsia" w:ascii="宋体" w:hAnsi="宋体" w:eastAsia="宋体" w:cs="宋体"/>
          <w:i w:val="0"/>
          <w:iCs w:val="0"/>
          <w:caps w:val="0"/>
          <w:color w:val="000000"/>
          <w:spacing w:val="0"/>
          <w:sz w:val="24"/>
          <w:szCs w:val="24"/>
          <w:shd w:val="clear" w:color="auto" w:fill="FFFFFF"/>
        </w:rPr>
        <w:t>我办严格按照年初预算进行部门整体支出，财政拨款资金整体支出完成率达到100%，完成财政拨款资金预期目标。预算安排的基本支出、项目支出保障了我单位的正常工作运转。在经费支出过程中，能严格遵守各项规章制度，严格控制“三公经费”开支。资产能做到专人管理、账实一致、配置合理、使用合规,固定资产利用率高达100%。经过认真客观自评，我单位在预算年度内整体支出绩效目标完成情况及履行职责的经济性、效率性、效果性和公平性等情况，自评分数为9</w:t>
      </w:r>
      <w:r>
        <w:rPr>
          <w:rFonts w:hint="eastAsia" w:ascii="宋体" w:hAnsi="宋体" w:eastAsia="宋体" w:cs="宋体"/>
          <w:i w:val="0"/>
          <w:iCs w:val="0"/>
          <w:caps w:val="0"/>
          <w:color w:val="000000"/>
          <w:spacing w:val="0"/>
          <w:sz w:val="24"/>
          <w:szCs w:val="24"/>
          <w:shd w:val="clear" w:color="auto" w:fill="FFFFFF"/>
          <w:lang w:val="en-US" w:eastAsia="zh-CN"/>
        </w:rPr>
        <w:t>8</w:t>
      </w:r>
      <w:r>
        <w:rPr>
          <w:rFonts w:hint="eastAsia" w:ascii="宋体" w:hAnsi="宋体" w:eastAsia="宋体" w:cs="宋体"/>
          <w:i w:val="0"/>
          <w:iCs w:val="0"/>
          <w:caps w:val="0"/>
          <w:color w:val="000000"/>
          <w:spacing w:val="0"/>
          <w:sz w:val="24"/>
          <w:szCs w:val="24"/>
          <w:shd w:val="clear" w:color="auto" w:fill="FFFFFF"/>
        </w:rPr>
        <w:t>分，等级为优。</w:t>
      </w:r>
    </w:p>
    <w:p w14:paraId="0AE9A7DA">
      <w:pPr>
        <w:pStyle w:val="2"/>
        <w:widowControl w:val="0"/>
        <w:numPr>
          <w:ilvl w:val="0"/>
          <w:numId w:val="4"/>
        </w:numPr>
        <w:kinsoku/>
        <w:overflowPunct w:val="0"/>
        <w:spacing w:line="360" w:lineRule="auto"/>
        <w:ind w:firstLine="676" w:firstLineChars="200"/>
        <w:jc w:val="both"/>
        <w:rPr>
          <w:rFonts w:ascii="楷体" w:hAnsi="楷体" w:eastAsia="楷体" w:cs="楷体"/>
          <w:spacing w:val="9"/>
          <w:sz w:val="32"/>
          <w:szCs w:val="32"/>
          <w:lang w:eastAsia="zh-CN"/>
        </w:rPr>
      </w:pPr>
      <w:r>
        <w:rPr>
          <w:rFonts w:ascii="楷体" w:hAnsi="楷体" w:eastAsia="楷体" w:cs="楷体"/>
          <w:spacing w:val="9"/>
          <w:sz w:val="32"/>
          <w:szCs w:val="32"/>
          <w:lang w:eastAsia="zh-CN"/>
        </w:rPr>
        <w:t>评价指标分析</w:t>
      </w:r>
    </w:p>
    <w:p w14:paraId="33E6CDEF">
      <w:pPr>
        <w:pStyle w:val="2"/>
        <w:widowControl w:val="0"/>
        <w:numPr>
          <w:numId w:val="0"/>
        </w:numPr>
        <w:kinsoku/>
        <w:overflowPunct w:val="0"/>
        <w:spacing w:line="360" w:lineRule="auto"/>
        <w:jc w:val="both"/>
        <w:rPr>
          <w:rFonts w:hint="eastAsia" w:ascii="宋体" w:hAnsi="宋体" w:eastAsia="宋体" w:cs="宋体"/>
          <w:spacing w:val="9"/>
          <w:sz w:val="24"/>
          <w:szCs w:val="24"/>
          <w:lang w:eastAsia="zh-CN"/>
        </w:rPr>
      </w:pPr>
      <w:r>
        <w:rPr>
          <w:rFonts w:hint="eastAsia" w:ascii="宋体" w:hAnsi="宋体" w:eastAsia="宋体" w:cs="宋体"/>
          <w:spacing w:val="9"/>
          <w:sz w:val="24"/>
          <w:szCs w:val="24"/>
          <w:lang w:eastAsia="zh-CN"/>
        </w:rPr>
        <w:t>1.履职效能</w:t>
      </w:r>
    </w:p>
    <w:p w14:paraId="75E976CF">
      <w:pPr>
        <w:pStyle w:val="2"/>
        <w:widowControl w:val="0"/>
        <w:numPr>
          <w:numId w:val="0"/>
        </w:numPr>
        <w:kinsoku/>
        <w:overflowPunct w:val="0"/>
        <w:spacing w:line="360" w:lineRule="auto"/>
        <w:jc w:val="both"/>
        <w:rPr>
          <w:rFonts w:hint="eastAsia" w:ascii="宋体" w:hAnsi="宋体" w:eastAsia="宋体" w:cs="宋体"/>
          <w:spacing w:val="9"/>
          <w:sz w:val="24"/>
          <w:szCs w:val="24"/>
          <w:lang w:eastAsia="zh-CN"/>
        </w:rPr>
      </w:pPr>
      <w:r>
        <w:rPr>
          <w:rFonts w:hint="eastAsia" w:ascii="宋体" w:hAnsi="宋体" w:eastAsia="宋体" w:cs="宋体"/>
          <w:spacing w:val="9"/>
          <w:sz w:val="24"/>
          <w:szCs w:val="24"/>
          <w:lang w:eastAsia="zh-CN"/>
        </w:rPr>
        <w:t>(1)我办执行国家有关法律、法规和财务制度，厉行节约，量入为出，注重资金使用效益、部门预算编制、分配符合本单位职责、符合</w:t>
      </w:r>
      <w:r>
        <w:rPr>
          <w:rFonts w:hint="eastAsia" w:ascii="宋体" w:hAnsi="宋体" w:eastAsia="宋体" w:cs="宋体"/>
          <w:spacing w:val="9"/>
          <w:sz w:val="24"/>
          <w:szCs w:val="24"/>
          <w:lang w:val="en-US" w:eastAsia="zh-CN"/>
        </w:rPr>
        <w:t>区</w:t>
      </w:r>
      <w:r>
        <w:rPr>
          <w:rFonts w:hint="eastAsia" w:ascii="宋体" w:hAnsi="宋体" w:eastAsia="宋体" w:cs="宋体"/>
          <w:spacing w:val="9"/>
          <w:sz w:val="24"/>
          <w:szCs w:val="24"/>
          <w:lang w:eastAsia="zh-CN"/>
        </w:rPr>
        <w:t>委</w:t>
      </w:r>
      <w:r>
        <w:rPr>
          <w:rFonts w:hint="eastAsia" w:ascii="宋体" w:hAnsi="宋体" w:eastAsia="宋体" w:cs="宋体"/>
          <w:spacing w:val="9"/>
          <w:sz w:val="24"/>
          <w:szCs w:val="24"/>
          <w:lang w:val="en-US" w:eastAsia="zh-CN"/>
        </w:rPr>
        <w:t>区</w:t>
      </w:r>
      <w:r>
        <w:rPr>
          <w:rFonts w:hint="eastAsia" w:ascii="宋体" w:hAnsi="宋体" w:eastAsia="宋体" w:cs="宋体"/>
          <w:spacing w:val="9"/>
          <w:sz w:val="24"/>
          <w:szCs w:val="24"/>
          <w:lang w:eastAsia="zh-CN"/>
        </w:rPr>
        <w:t>政府方针政策和工作要求，部门预算资金能根据年度工作重点，在不同项目、不同用途之间合理调整，按要求做实做细部门项目库工作，严格依照要求申报项目绩效目标和设置部门整体绩效目标，整体绩效目标具有合理性、可衡量性。</w:t>
      </w:r>
    </w:p>
    <w:p w14:paraId="6E27868F">
      <w:pPr>
        <w:pStyle w:val="2"/>
        <w:widowControl w:val="0"/>
        <w:numPr>
          <w:numId w:val="0"/>
        </w:numPr>
        <w:kinsoku/>
        <w:overflowPunct w:val="0"/>
        <w:spacing w:line="360" w:lineRule="auto"/>
        <w:jc w:val="both"/>
        <w:rPr>
          <w:rFonts w:hint="eastAsia" w:ascii="宋体" w:hAnsi="宋体" w:eastAsia="宋体" w:cs="宋体"/>
          <w:spacing w:val="9"/>
          <w:sz w:val="24"/>
          <w:szCs w:val="24"/>
          <w:lang w:eastAsia="zh-CN"/>
        </w:rPr>
      </w:pPr>
      <w:r>
        <w:rPr>
          <w:rFonts w:hint="eastAsia" w:ascii="宋体" w:hAnsi="宋体" w:eastAsia="宋体" w:cs="宋体"/>
          <w:spacing w:val="9"/>
          <w:sz w:val="24"/>
          <w:szCs w:val="24"/>
          <w:lang w:eastAsia="zh-CN"/>
        </w:rPr>
        <w:t>(2)部门整体绩效目标效益指标完成情况:我办围绕“参与政务、掌管政务、搞好服务”的宗旨，坚持以新发展理念为指导，落实</w:t>
      </w:r>
      <w:r>
        <w:rPr>
          <w:rFonts w:hint="eastAsia" w:ascii="宋体" w:hAnsi="宋体" w:eastAsia="宋体" w:cs="宋体"/>
          <w:spacing w:val="9"/>
          <w:sz w:val="24"/>
          <w:szCs w:val="24"/>
          <w:lang w:val="en-US" w:eastAsia="zh-CN"/>
        </w:rPr>
        <w:t>区</w:t>
      </w:r>
      <w:r>
        <w:rPr>
          <w:rFonts w:hint="eastAsia" w:ascii="宋体" w:hAnsi="宋体" w:eastAsia="宋体" w:cs="宋体"/>
          <w:spacing w:val="9"/>
          <w:sz w:val="24"/>
          <w:szCs w:val="24"/>
          <w:lang w:eastAsia="zh-CN"/>
        </w:rPr>
        <w:t>委</w:t>
      </w:r>
      <w:r>
        <w:rPr>
          <w:rFonts w:hint="eastAsia" w:ascii="宋体" w:hAnsi="宋体" w:eastAsia="宋体" w:cs="宋体"/>
          <w:spacing w:val="9"/>
          <w:sz w:val="24"/>
          <w:szCs w:val="24"/>
          <w:lang w:val="en-US" w:eastAsia="zh-CN"/>
        </w:rPr>
        <w:t>区</w:t>
      </w:r>
      <w:r>
        <w:rPr>
          <w:rFonts w:hint="eastAsia" w:ascii="宋体" w:hAnsi="宋体" w:eastAsia="宋体" w:cs="宋体"/>
          <w:spacing w:val="9"/>
          <w:sz w:val="24"/>
          <w:szCs w:val="24"/>
          <w:lang w:eastAsia="zh-CN"/>
        </w:rPr>
        <w:t>政府中心工作、重点工作，认真细致扎实做好“三服务”工作。高质量完成各项办文办会工作。积极配合党代会、</w:t>
      </w:r>
      <w:r>
        <w:rPr>
          <w:rFonts w:hint="eastAsia" w:ascii="宋体" w:hAnsi="宋体" w:eastAsia="宋体" w:cs="宋体"/>
          <w:spacing w:val="9"/>
          <w:sz w:val="24"/>
          <w:szCs w:val="24"/>
          <w:lang w:val="en-US" w:eastAsia="zh-CN"/>
        </w:rPr>
        <w:t>区</w:t>
      </w:r>
      <w:r>
        <w:rPr>
          <w:rFonts w:hint="eastAsia" w:ascii="宋体" w:hAnsi="宋体" w:eastAsia="宋体" w:cs="宋体"/>
          <w:spacing w:val="9"/>
          <w:sz w:val="24"/>
          <w:szCs w:val="24"/>
          <w:lang w:eastAsia="zh-CN"/>
        </w:rPr>
        <w:t>委全会、人大、政协“两会”等综合性大型会议圆满召开。积极向市级推送政府职能转变和“放管服”改革信息。完善政府系统相关部门信息报送制度，高质量完成《2023 年</w:t>
      </w:r>
      <w:r>
        <w:rPr>
          <w:rFonts w:hint="eastAsia" w:ascii="宋体" w:hAnsi="宋体" w:eastAsia="宋体" w:cs="宋体"/>
          <w:spacing w:val="9"/>
          <w:sz w:val="24"/>
          <w:szCs w:val="24"/>
          <w:lang w:val="en-US" w:eastAsia="zh-CN"/>
        </w:rPr>
        <w:t>区</w:t>
      </w:r>
      <w:r>
        <w:rPr>
          <w:rFonts w:hint="eastAsia" w:ascii="宋体" w:hAnsi="宋体" w:eastAsia="宋体" w:cs="宋体"/>
          <w:spacing w:val="9"/>
          <w:sz w:val="24"/>
          <w:szCs w:val="24"/>
          <w:lang w:eastAsia="zh-CN"/>
        </w:rPr>
        <w:t>政府工作报告》。</w:t>
      </w:r>
    </w:p>
    <w:p w14:paraId="396F1816">
      <w:pPr>
        <w:pStyle w:val="2"/>
        <w:widowControl w:val="0"/>
        <w:numPr>
          <w:numId w:val="0"/>
        </w:numPr>
        <w:kinsoku/>
        <w:overflowPunct w:val="0"/>
        <w:spacing w:line="360" w:lineRule="auto"/>
        <w:ind w:firstLine="516" w:firstLineChars="200"/>
        <w:jc w:val="both"/>
        <w:rPr>
          <w:rFonts w:hint="eastAsia" w:ascii="宋体" w:hAnsi="宋体" w:eastAsia="宋体" w:cs="宋体"/>
          <w:spacing w:val="9"/>
          <w:sz w:val="24"/>
          <w:szCs w:val="24"/>
          <w:lang w:eastAsia="zh-CN"/>
        </w:rPr>
      </w:pPr>
      <w:r>
        <w:rPr>
          <w:rFonts w:hint="eastAsia" w:ascii="宋体" w:hAnsi="宋体" w:eastAsia="宋体" w:cs="宋体"/>
          <w:spacing w:val="9"/>
          <w:sz w:val="24"/>
          <w:szCs w:val="24"/>
          <w:lang w:eastAsia="zh-CN"/>
        </w:rPr>
        <w:t>2.管理效率</w:t>
      </w:r>
    </w:p>
    <w:p w14:paraId="2DC5F413">
      <w:pPr>
        <w:pStyle w:val="2"/>
        <w:widowControl w:val="0"/>
        <w:numPr>
          <w:numId w:val="0"/>
        </w:numPr>
        <w:kinsoku/>
        <w:overflowPunct w:val="0"/>
        <w:spacing w:line="360" w:lineRule="auto"/>
        <w:ind w:firstLine="258" w:firstLineChars="100"/>
        <w:jc w:val="both"/>
        <w:rPr>
          <w:rFonts w:hint="eastAsia" w:ascii="宋体" w:hAnsi="宋体" w:eastAsia="宋体" w:cs="宋体"/>
          <w:spacing w:val="9"/>
          <w:sz w:val="24"/>
          <w:szCs w:val="24"/>
          <w:lang w:eastAsia="zh-CN"/>
        </w:rPr>
      </w:pPr>
      <w:r>
        <w:rPr>
          <w:rFonts w:hint="eastAsia" w:ascii="宋体" w:hAnsi="宋体" w:eastAsia="宋体" w:cs="宋体"/>
          <w:spacing w:val="9"/>
          <w:sz w:val="24"/>
          <w:szCs w:val="24"/>
          <w:lang w:eastAsia="zh-CN"/>
        </w:rPr>
        <w:t>财务管理合规性:我办能做好资金管理，对外积极协调财政部门做好预算内资金申请工作，对内做好核算和监督工作;会计人员认真贯彻执行各项财务制度，遵守财经纪律，严格履行会计核算和会计监督职能，正确使用会计科目，准确及时反映财务状况;负责登记所管账户的明细账簿和财务会计报表及其他报表的编制工作，搞好会计资料的归档等;出纳人员负责管理现金及银行存款的收支，并能做到日清月结。我办的基本支出管理、项目支出管理、费用支出等能够按制度严格执行;财务账簿按照“财政拨款支出”和“其他资金支出”、“基本支出”和“项目支出”等分类进行明细核算;会计核算不存在支出依据不合规、虚列支出、超标准开支等情况。</w:t>
      </w:r>
    </w:p>
    <w:p w14:paraId="0234AAA9">
      <w:pPr>
        <w:pStyle w:val="2"/>
        <w:widowControl w:val="0"/>
        <w:numPr>
          <w:numId w:val="0"/>
        </w:numPr>
        <w:kinsoku/>
        <w:overflowPunct w:val="0"/>
        <w:spacing w:line="360" w:lineRule="auto"/>
        <w:ind w:firstLine="258" w:firstLineChars="100"/>
        <w:jc w:val="both"/>
        <w:rPr>
          <w:rFonts w:hint="eastAsia" w:ascii="宋体" w:hAnsi="宋体" w:eastAsia="宋体" w:cs="宋体"/>
          <w:spacing w:val="9"/>
          <w:sz w:val="24"/>
          <w:szCs w:val="24"/>
          <w:lang w:eastAsia="zh-CN"/>
        </w:rPr>
      </w:pPr>
      <w:r>
        <w:rPr>
          <w:rFonts w:hint="eastAsia" w:ascii="宋体" w:hAnsi="宋体" w:eastAsia="宋体" w:cs="宋体"/>
          <w:spacing w:val="9"/>
          <w:sz w:val="24"/>
          <w:szCs w:val="24"/>
          <w:lang w:eastAsia="zh-CN"/>
        </w:rPr>
        <w:t>3.信息公开</w:t>
      </w:r>
    </w:p>
    <w:p w14:paraId="2ED88B49">
      <w:pPr>
        <w:pStyle w:val="2"/>
        <w:widowControl w:val="0"/>
        <w:numPr>
          <w:numId w:val="0"/>
        </w:numPr>
        <w:kinsoku/>
        <w:overflowPunct w:val="0"/>
        <w:spacing w:line="360" w:lineRule="auto"/>
        <w:ind w:firstLine="258" w:firstLineChars="100"/>
        <w:jc w:val="both"/>
        <w:rPr>
          <w:rFonts w:hint="eastAsia" w:ascii="宋体" w:hAnsi="宋体" w:eastAsia="宋体" w:cs="宋体"/>
          <w:spacing w:val="9"/>
          <w:sz w:val="24"/>
          <w:szCs w:val="24"/>
          <w:lang w:eastAsia="zh-CN"/>
        </w:rPr>
      </w:pPr>
      <w:r>
        <w:rPr>
          <w:rFonts w:hint="eastAsia" w:ascii="宋体" w:hAnsi="宋体" w:eastAsia="宋体" w:cs="宋体"/>
          <w:spacing w:val="9"/>
          <w:sz w:val="24"/>
          <w:szCs w:val="24"/>
          <w:lang w:eastAsia="zh-CN"/>
        </w:rPr>
        <w:t>我办按照《预算法》和政府信息公开有关规定，根据财政要求的时间节点进行每年预算决算、“三公”经费、绩效自评报告等信息的公开。</w:t>
      </w:r>
    </w:p>
    <w:p w14:paraId="1D559260">
      <w:pPr>
        <w:pStyle w:val="2"/>
        <w:widowControl w:val="0"/>
        <w:numPr>
          <w:numId w:val="0"/>
        </w:numPr>
        <w:kinsoku/>
        <w:overflowPunct w:val="0"/>
        <w:spacing w:line="360" w:lineRule="auto"/>
        <w:ind w:firstLine="258" w:firstLineChars="100"/>
        <w:jc w:val="both"/>
        <w:rPr>
          <w:rFonts w:hint="eastAsia" w:ascii="宋体" w:hAnsi="宋体" w:eastAsia="宋体" w:cs="宋体"/>
          <w:spacing w:val="9"/>
          <w:sz w:val="24"/>
          <w:szCs w:val="24"/>
          <w:lang w:eastAsia="zh-CN"/>
        </w:rPr>
      </w:pPr>
      <w:r>
        <w:rPr>
          <w:rFonts w:hint="eastAsia" w:ascii="宋体" w:hAnsi="宋体" w:eastAsia="宋体" w:cs="宋体"/>
          <w:spacing w:val="9"/>
          <w:sz w:val="24"/>
          <w:szCs w:val="24"/>
          <w:lang w:eastAsia="zh-CN"/>
        </w:rPr>
        <w:t>4.绩效管理</w:t>
      </w:r>
    </w:p>
    <w:p w14:paraId="33BAC23B">
      <w:pPr>
        <w:pStyle w:val="2"/>
        <w:widowControl w:val="0"/>
        <w:numPr>
          <w:numId w:val="0"/>
        </w:numPr>
        <w:kinsoku/>
        <w:overflowPunct w:val="0"/>
        <w:spacing w:line="360" w:lineRule="auto"/>
        <w:ind w:firstLine="258" w:firstLineChars="100"/>
        <w:jc w:val="both"/>
        <w:rPr>
          <w:rFonts w:hint="eastAsia" w:ascii="宋体" w:hAnsi="宋体" w:eastAsia="宋体" w:cs="宋体"/>
          <w:spacing w:val="9"/>
          <w:sz w:val="24"/>
          <w:szCs w:val="24"/>
          <w:lang w:eastAsia="zh-CN"/>
        </w:rPr>
      </w:pPr>
      <w:r>
        <w:rPr>
          <w:rFonts w:hint="eastAsia" w:ascii="宋体" w:hAnsi="宋体" w:eastAsia="宋体" w:cs="宋体"/>
          <w:spacing w:val="9"/>
          <w:sz w:val="24"/>
          <w:szCs w:val="24"/>
          <w:lang w:eastAsia="zh-CN"/>
        </w:rPr>
        <w:t>我办为加强预算支出管理，强化支出责任，建立科学、合理的预算支出绩效评价管理体系，提高预算资金使用效益，根据财政部《财政支出绩效评价管理暂行办法》等有关规定，对我办项目绩效目标设定、管理、监控、评价起到很好的制度约束作用。</w:t>
      </w:r>
    </w:p>
    <w:p w14:paraId="1524E66B">
      <w:pPr>
        <w:pStyle w:val="2"/>
        <w:widowControl w:val="0"/>
        <w:numPr>
          <w:numId w:val="0"/>
        </w:numPr>
        <w:kinsoku/>
        <w:overflowPunct w:val="0"/>
        <w:spacing w:line="360" w:lineRule="auto"/>
        <w:ind w:firstLine="258" w:firstLineChars="100"/>
        <w:jc w:val="both"/>
        <w:rPr>
          <w:rFonts w:hint="eastAsia" w:ascii="宋体" w:hAnsi="宋体" w:eastAsia="宋体" w:cs="宋体"/>
          <w:spacing w:val="9"/>
          <w:sz w:val="24"/>
          <w:szCs w:val="24"/>
          <w:lang w:eastAsia="zh-CN"/>
        </w:rPr>
      </w:pPr>
      <w:r>
        <w:rPr>
          <w:rFonts w:hint="eastAsia" w:ascii="宋体" w:hAnsi="宋体" w:eastAsia="宋体" w:cs="宋体"/>
          <w:spacing w:val="9"/>
          <w:sz w:val="24"/>
          <w:szCs w:val="24"/>
          <w:lang w:eastAsia="zh-CN"/>
        </w:rPr>
        <w:t>(1)绩效管理制度建设。为全面推进预算绩效管理，提高财政资金使用效益，落实支出责任，树立效率意识，根据</w:t>
      </w:r>
      <w:r>
        <w:rPr>
          <w:rFonts w:hint="eastAsia" w:ascii="宋体" w:hAnsi="宋体" w:eastAsia="宋体" w:cs="宋体"/>
          <w:spacing w:val="9"/>
          <w:sz w:val="24"/>
          <w:szCs w:val="24"/>
          <w:lang w:val="en-US" w:eastAsia="zh-CN"/>
        </w:rPr>
        <w:t>鹤城区</w:t>
      </w:r>
      <w:r>
        <w:rPr>
          <w:rFonts w:hint="eastAsia" w:ascii="宋体" w:hAnsi="宋体" w:eastAsia="宋体" w:cs="宋体"/>
          <w:spacing w:val="9"/>
          <w:sz w:val="24"/>
          <w:szCs w:val="24"/>
          <w:lang w:eastAsia="zh-CN"/>
        </w:rPr>
        <w:t>财政局关于预算绩效管理等相关规定和文件精神，结合本单位工作实际，我办制定了《</w:t>
      </w:r>
      <w:r>
        <w:rPr>
          <w:rFonts w:hint="eastAsia" w:ascii="宋体" w:hAnsi="宋体" w:eastAsia="宋体" w:cs="宋体"/>
          <w:spacing w:val="9"/>
          <w:sz w:val="24"/>
          <w:szCs w:val="24"/>
          <w:lang w:val="en-US" w:eastAsia="zh-CN"/>
        </w:rPr>
        <w:t>鹤城区</w:t>
      </w:r>
      <w:r>
        <w:rPr>
          <w:rFonts w:hint="eastAsia" w:ascii="宋体" w:hAnsi="宋体" w:eastAsia="宋体" w:cs="宋体"/>
          <w:spacing w:val="9"/>
          <w:sz w:val="24"/>
          <w:szCs w:val="24"/>
          <w:lang w:eastAsia="zh-CN"/>
        </w:rPr>
        <w:t>人民政府办公室预算绩效管理制度》。</w:t>
      </w:r>
    </w:p>
    <w:p w14:paraId="56DF1982">
      <w:pPr>
        <w:pStyle w:val="2"/>
        <w:widowControl w:val="0"/>
        <w:numPr>
          <w:numId w:val="0"/>
        </w:numPr>
        <w:kinsoku/>
        <w:overflowPunct w:val="0"/>
        <w:spacing w:line="360" w:lineRule="auto"/>
        <w:ind w:firstLine="258" w:firstLineChars="100"/>
        <w:jc w:val="both"/>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eastAsia="zh-CN"/>
        </w:rPr>
        <w:t>(2)绩效管理制度执行。2023年，我办按照相关文件及财政部门的工作要求，在规定的时间内申报绩效目标，将相关指标应用到项目库入库、预算编制和绩效评价中;填报的绩效目标完整规范，内容清晰明确，目标细化和量化，指标值可比较、可评定，绩效目标与支出内容政策依据关联，与预算资金规模匹配;绩效指标涵盖与业务相关的个性化、行业性的主要产出指标和效益指标，指标值设置合理;绩效指标反映项目的主要情况，对项目预期产出和效果进行充分、恰当地描述。</w:t>
      </w:r>
    </w:p>
    <w:p w14:paraId="0CBD7937">
      <w:pPr>
        <w:widowControl w:val="0"/>
        <w:kinsoku/>
        <w:overflowPunct w:val="0"/>
        <w:spacing w:line="360" w:lineRule="auto"/>
        <w:ind w:firstLine="615" w:firstLineChars="200"/>
        <w:outlineLvl w:val="6"/>
        <w:rPr>
          <w:rFonts w:ascii="黑体" w:hAnsi="黑体" w:eastAsia="黑体" w:cs="黑体"/>
          <w:sz w:val="32"/>
          <w:szCs w:val="32"/>
          <w:lang w:eastAsia="zh-CN"/>
        </w:rPr>
      </w:pPr>
      <w:r>
        <w:rPr>
          <w:rFonts w:ascii="黑体" w:hAnsi="黑体" w:eastAsia="黑体" w:cs="黑体"/>
          <w:b/>
          <w:bCs/>
          <w:spacing w:val="-7"/>
          <w:sz w:val="32"/>
          <w:szCs w:val="32"/>
          <w:lang w:eastAsia="zh-CN"/>
        </w:rPr>
        <w:t>七、存在的问题及原因分析</w:t>
      </w:r>
    </w:p>
    <w:p w14:paraId="53487E06">
      <w:pPr>
        <w:widowControl w:val="0"/>
        <w:kinsoku/>
        <w:overflowPunct w:val="0"/>
        <w:spacing w:line="360" w:lineRule="auto"/>
        <w:ind w:firstLine="444" w:firstLineChars="200"/>
        <w:rPr>
          <w:rFonts w:hint="eastAsia" w:asciiTheme="minorEastAsia" w:hAnsiTheme="minorEastAsia" w:eastAsiaTheme="minorEastAsia" w:cstheme="minorEastAsia"/>
          <w:spacing w:val="-9"/>
          <w:sz w:val="24"/>
          <w:szCs w:val="24"/>
          <w:lang w:eastAsia="zh-CN"/>
        </w:rPr>
      </w:pPr>
      <w:r>
        <w:rPr>
          <w:rFonts w:hint="eastAsia" w:asciiTheme="minorEastAsia" w:hAnsiTheme="minorEastAsia" w:eastAsiaTheme="minorEastAsia" w:cstheme="minorEastAsia"/>
          <w:spacing w:val="-9"/>
          <w:sz w:val="24"/>
          <w:szCs w:val="24"/>
          <w:lang w:eastAsia="zh-CN"/>
        </w:rPr>
        <w:t>1.预算申报时，应建立在科学测算、整体评估、切合实际的基础上，但项目经费下达还不够细化，预算编制的准确性有待进一步提高。</w:t>
      </w:r>
    </w:p>
    <w:p w14:paraId="67C30E60">
      <w:pPr>
        <w:widowControl w:val="0"/>
        <w:kinsoku/>
        <w:overflowPunct w:val="0"/>
        <w:spacing w:line="360" w:lineRule="auto"/>
        <w:ind w:firstLine="444" w:firstLineChars="200"/>
        <w:rPr>
          <w:rFonts w:hint="eastAsia" w:asciiTheme="minorEastAsia" w:hAnsiTheme="minorEastAsia" w:eastAsiaTheme="minorEastAsia" w:cstheme="minorEastAsia"/>
          <w:spacing w:val="-9"/>
          <w:sz w:val="24"/>
          <w:szCs w:val="24"/>
          <w:lang w:eastAsia="zh-CN"/>
        </w:rPr>
      </w:pPr>
      <w:r>
        <w:rPr>
          <w:rFonts w:hint="eastAsia" w:asciiTheme="minorEastAsia" w:hAnsiTheme="minorEastAsia" w:eastAsiaTheme="minorEastAsia" w:cstheme="minorEastAsia"/>
          <w:spacing w:val="-9"/>
          <w:sz w:val="24"/>
          <w:szCs w:val="24"/>
          <w:lang w:eastAsia="zh-CN"/>
        </w:rPr>
        <w:t>2.人员素质有待进一步提高。预算绩效管理极具专业性和复杂性，相关工作人员专业能力有待提升。</w:t>
      </w:r>
    </w:p>
    <w:p w14:paraId="10FCFDE0">
      <w:pPr>
        <w:widowControl w:val="0"/>
        <w:kinsoku/>
        <w:overflowPunct w:val="0"/>
        <w:spacing w:line="360" w:lineRule="auto"/>
        <w:ind w:firstLine="588" w:firstLineChars="200"/>
        <w:rPr>
          <w:rFonts w:ascii="黑体" w:hAnsi="黑体" w:eastAsia="黑体" w:cs="黑体"/>
          <w:spacing w:val="-13"/>
          <w:sz w:val="32"/>
          <w:szCs w:val="32"/>
          <w:lang w:eastAsia="zh-CN"/>
        </w:rPr>
      </w:pPr>
      <w:r>
        <w:rPr>
          <w:rFonts w:ascii="黑体" w:hAnsi="黑体" w:eastAsia="黑体" w:cs="黑体"/>
          <w:spacing w:val="-13"/>
          <w:sz w:val="32"/>
          <w:szCs w:val="32"/>
          <w:lang w:eastAsia="zh-CN"/>
        </w:rPr>
        <w:t>八、下一步改进措施</w:t>
      </w:r>
    </w:p>
    <w:p w14:paraId="087D58E9">
      <w:pPr>
        <w:widowControl w:val="0"/>
        <w:kinsoku/>
        <w:overflowPunct w:val="0"/>
        <w:spacing w:line="360" w:lineRule="auto"/>
        <w:ind w:firstLine="428" w:firstLineChars="200"/>
        <w:rPr>
          <w:rFonts w:hint="eastAsia" w:ascii="宋体" w:hAnsi="宋体" w:eastAsia="宋体" w:cs="宋体"/>
          <w:spacing w:val="-13"/>
          <w:sz w:val="24"/>
          <w:szCs w:val="24"/>
          <w:lang w:eastAsia="zh-CN"/>
        </w:rPr>
      </w:pPr>
      <w:r>
        <w:rPr>
          <w:rFonts w:hint="eastAsia" w:ascii="宋体" w:hAnsi="宋体" w:eastAsia="宋体" w:cs="宋体"/>
          <w:spacing w:val="-13"/>
          <w:sz w:val="24"/>
          <w:szCs w:val="24"/>
          <w:lang w:eastAsia="zh-CN"/>
        </w:rPr>
        <w:t>1.科学合理编制，严格执行预算计划。加强预算编制的前瞻性，按政策规定及本部门的发展规划，结合上一年度预算执行情况和本年度预算收支变化因素，科学、合理地编制预算草案，避免项目支出与基本支出划分不准或预算支出与实际执行出现较大偏差的情况，执行中确需调剂预算的，按规定程序报经批准。</w:t>
      </w:r>
    </w:p>
    <w:p w14:paraId="131E52BB">
      <w:pPr>
        <w:widowControl w:val="0"/>
        <w:kinsoku/>
        <w:overflowPunct w:val="0"/>
        <w:spacing w:line="360" w:lineRule="auto"/>
        <w:ind w:firstLine="428" w:firstLineChars="200"/>
        <w:rPr>
          <w:rFonts w:hint="eastAsia" w:ascii="宋体" w:hAnsi="宋体" w:eastAsia="宋体" w:cs="宋体"/>
          <w:spacing w:val="-13"/>
          <w:sz w:val="24"/>
          <w:szCs w:val="24"/>
          <w:lang w:eastAsia="zh-CN"/>
        </w:rPr>
      </w:pPr>
      <w:r>
        <w:rPr>
          <w:rFonts w:hint="eastAsia" w:ascii="宋体" w:hAnsi="宋体" w:eastAsia="宋体" w:cs="宋体"/>
          <w:spacing w:val="-13"/>
          <w:sz w:val="24"/>
          <w:szCs w:val="24"/>
          <w:lang w:eastAsia="zh-CN"/>
        </w:rPr>
        <w:t>2.细化项目支出，强化过程监督。加强预算使用的管理，预算支出落实到具体使用部门，做到精细化管理。对预算执行过程以及资金使用情况进行适时跟踪监控，及时调整、纠正偏离绩效目标的各项支出，确保绩效目标的实现。</w:t>
      </w:r>
    </w:p>
    <w:p w14:paraId="46EA687D">
      <w:pPr>
        <w:widowControl w:val="0"/>
        <w:kinsoku/>
        <w:overflowPunct w:val="0"/>
        <w:spacing w:line="360" w:lineRule="auto"/>
        <w:ind w:firstLine="428" w:firstLineChars="200"/>
        <w:rPr>
          <w:rFonts w:hint="eastAsia" w:ascii="宋体" w:hAnsi="宋体" w:eastAsia="宋体" w:cs="宋体"/>
          <w:spacing w:val="-13"/>
          <w:sz w:val="24"/>
          <w:szCs w:val="24"/>
          <w:lang w:eastAsia="zh-CN"/>
        </w:rPr>
      </w:pPr>
      <w:r>
        <w:rPr>
          <w:rFonts w:hint="eastAsia" w:ascii="宋体" w:hAnsi="宋体" w:eastAsia="宋体" w:cs="宋体"/>
          <w:spacing w:val="-13"/>
          <w:sz w:val="24"/>
          <w:szCs w:val="24"/>
          <w:lang w:eastAsia="zh-CN"/>
        </w:rPr>
        <w:t>3.加强培训力度，提高财务管理水平。加强财务人员队伍管理，强化培训力度，培养财务管理人才，提高预算执行过程中合理调整、纠正预算执行偏差应对能力，切实提高部门预算收支管理水平。</w:t>
      </w:r>
    </w:p>
    <w:p w14:paraId="09DAB6AB">
      <w:pPr>
        <w:widowControl w:val="0"/>
        <w:kinsoku/>
        <w:overflowPunct w:val="0"/>
        <w:spacing w:line="360" w:lineRule="auto"/>
        <w:ind w:firstLine="588" w:firstLineChars="200"/>
        <w:rPr>
          <w:rFonts w:ascii="黑体" w:hAnsi="黑体" w:eastAsia="黑体" w:cs="黑体"/>
          <w:spacing w:val="-13"/>
          <w:sz w:val="32"/>
          <w:szCs w:val="32"/>
          <w:lang w:eastAsia="zh-CN"/>
        </w:rPr>
      </w:pPr>
      <w:r>
        <w:rPr>
          <w:rFonts w:ascii="黑体" w:hAnsi="黑体" w:eastAsia="黑体" w:cs="黑体"/>
          <w:spacing w:val="-13"/>
          <w:sz w:val="32"/>
          <w:szCs w:val="32"/>
          <w:lang w:eastAsia="zh-CN"/>
        </w:rPr>
        <w:t>九、其他需要说明的情况</w:t>
      </w:r>
    </w:p>
    <w:p w14:paraId="2A471441">
      <w:pPr>
        <w:widowControl w:val="0"/>
        <w:kinsoku/>
        <w:overflowPunct w:val="0"/>
        <w:spacing w:line="360" w:lineRule="auto"/>
        <w:ind w:firstLine="588" w:firstLineChars="200"/>
        <w:rPr>
          <w:rFonts w:hint="default" w:ascii="黑体" w:hAnsi="黑体" w:eastAsia="黑体" w:cs="黑体"/>
          <w:spacing w:val="-13"/>
          <w:sz w:val="32"/>
          <w:szCs w:val="32"/>
          <w:lang w:val="en-US" w:eastAsia="zh-CN"/>
        </w:rPr>
      </w:pPr>
      <w:r>
        <w:rPr>
          <w:rFonts w:hint="eastAsia" w:ascii="黑体" w:hAnsi="黑体" w:eastAsia="黑体" w:cs="黑体"/>
          <w:spacing w:val="-13"/>
          <w:sz w:val="32"/>
          <w:szCs w:val="32"/>
          <w:lang w:val="en-US" w:eastAsia="zh-CN"/>
        </w:rPr>
        <w:t xml:space="preserve"> </w:t>
      </w:r>
      <w:r>
        <w:rPr>
          <w:rFonts w:hint="eastAsia" w:ascii="宋体" w:hAnsi="宋体" w:eastAsia="宋体" w:cs="宋体"/>
          <w:spacing w:val="-13"/>
          <w:sz w:val="32"/>
          <w:szCs w:val="32"/>
          <w:lang w:val="en-US" w:eastAsia="zh-CN"/>
        </w:rPr>
        <w:t>无。</w:t>
      </w:r>
    </w:p>
    <w:sectPr>
      <w:headerReference r:id="rId3" w:type="default"/>
      <w:footerReference r:id="rId4" w:type="default"/>
      <w:pgSz w:w="11900" w:h="16838"/>
      <w:pgMar w:top="1417" w:right="1474" w:bottom="1417" w:left="1474" w:header="0" w:footer="947"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Yu Gothic UI Light">
    <w:panose1 w:val="020B0300000000000000"/>
    <w:charset w:val="80"/>
    <w:family w:val="auto"/>
    <w:pitch w:val="default"/>
    <w:sig w:usb0="E00002FF" w:usb1="2AC7FDFF" w:usb2="00000016" w:usb3="00000000" w:csb0="2002009F" w:csb1="00000000"/>
  </w:font>
  <w:font w:name="Yu Gothic">
    <w:panose1 w:val="020B0400000000000000"/>
    <w:charset w:val="80"/>
    <w:family w:val="auto"/>
    <w:pitch w:val="default"/>
    <w:sig w:usb0="E00002FF" w:usb1="2AC7FDFF" w:usb2="00000016" w:usb3="00000000" w:csb0="2002009F" w:csb1="00000000"/>
  </w:font>
  <w:font w:name="MS PGothic">
    <w:panose1 w:val="020B0600070205080204"/>
    <w:charset w:val="80"/>
    <w:family w:val="auto"/>
    <w:pitch w:val="default"/>
    <w:sig w:usb0="E00002FF" w:usb1="6AC7FDFB" w:usb2="08000012" w:usb3="00000000" w:csb0="4002009F" w:csb1="DFD70000"/>
  </w:font>
  <w:font w:name="Microsoft JhengHei UI">
    <w:panose1 w:val="020B0604030504040204"/>
    <w:charset w:val="88"/>
    <w:family w:val="auto"/>
    <w:pitch w:val="default"/>
    <w:sig w:usb0="000002A7" w:usb1="28CF4400" w:usb2="00000016" w:usb3="00000000" w:csb0="00100009"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0000000000000000000"/>
    <w:charset w:val="00"/>
    <w:family w:val="auto"/>
    <w:pitch w:val="default"/>
    <w:sig w:usb0="00000000" w:usb1="00000000" w:usb2="00000000" w:usb3="00000000" w:csb0="00040001" w:csb1="00000000"/>
  </w:font>
  <w:font w:name="Arial">
    <w:panose1 w:val="020B0604020202020204"/>
    <w:charset w:val="00"/>
    <w:family w:val="auto"/>
    <w:pitch w:val="default"/>
    <w:sig w:usb0="E0002EFF" w:usb1="C000785B" w:usb2="00000009" w:usb3="00000000" w:csb0="400001FF" w:csb1="FFFF0000"/>
  </w:font>
  <w:font w:name="Yu Gothic UI">
    <w:panose1 w:val="020B0500000000000000"/>
    <w:charset w:val="80"/>
    <w:family w:val="auto"/>
    <w:pitch w:val="default"/>
    <w:sig w:usb0="E00002FF" w:usb1="2AC7FDFF" w:usb2="00000016" w:usb3="00000000" w:csb0="2002009F" w:csb1="00000000"/>
  </w:font>
  <w:font w:name="PMingLiU-ExtB">
    <w:panose1 w:val="02020500000000000000"/>
    <w:charset w:val="88"/>
    <w:family w:val="auto"/>
    <w:pitch w:val="default"/>
    <w:sig w:usb0="8000002F" w:usb1="02000008" w:usb2="00000000" w:usb3="00000000" w:csb0="00100001" w:csb1="00000000"/>
  </w:font>
  <w:font w:name="Microsoft YaHei UI Light">
    <w:panose1 w:val="020B0502040204020203"/>
    <w:charset w:val="86"/>
    <w:family w:val="auto"/>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9D58EA">
    <w:pPr>
      <w:pStyle w:val="3"/>
      <w:jc w:val="center"/>
    </w:pPr>
    <w:r>
      <w:fldChar w:fldCharType="begin"/>
    </w:r>
    <w:r>
      <w:instrText xml:space="preserve"> PAGE   \* MERGEFORMAT </w:instrText>
    </w:r>
    <w:r>
      <w:fldChar w:fldCharType="separate"/>
    </w:r>
    <w:r>
      <w:rPr>
        <w:lang w:val="zh-CN"/>
      </w:rPr>
      <w:t>-</w:t>
    </w:r>
    <w:r>
      <w:t xml:space="preserve"> 10 -</w:t>
    </w:r>
    <w:r>
      <w:fldChar w:fldCharType="end"/>
    </w:r>
  </w:p>
  <w:p w14:paraId="41AC50B3">
    <w:pPr>
      <w:spacing w:line="179" w:lineRule="auto"/>
      <w:ind w:left="8854"/>
      <w:rPr>
        <w:rFonts w:ascii="Times New Roman" w:hAnsi="Times New Roman" w:eastAsia="Times New Roman" w:cs="Times New Roman"/>
        <w:sz w:val="23"/>
        <w:szCs w:val="23"/>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2768D1">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FA4541"/>
    <w:multiLevelType w:val="singleLevel"/>
    <w:tmpl w:val="B2FA4541"/>
    <w:lvl w:ilvl="0" w:tentative="0">
      <w:start w:val="2"/>
      <w:numFmt w:val="chineseCounting"/>
      <w:lvlText w:val="(%1)"/>
      <w:lvlJc w:val="left"/>
      <w:pPr>
        <w:tabs>
          <w:tab w:val="left" w:pos="312"/>
        </w:tabs>
      </w:pPr>
      <w:rPr>
        <w:rFonts w:hint="eastAsia"/>
      </w:rPr>
    </w:lvl>
  </w:abstractNum>
  <w:abstractNum w:abstractNumId="1">
    <w:nsid w:val="C7545D10"/>
    <w:multiLevelType w:val="singleLevel"/>
    <w:tmpl w:val="C7545D10"/>
    <w:lvl w:ilvl="0" w:tentative="0">
      <w:start w:val="3"/>
      <w:numFmt w:val="chineseCounting"/>
      <w:lvlText w:val="(%1)"/>
      <w:lvlJc w:val="left"/>
      <w:pPr>
        <w:tabs>
          <w:tab w:val="left" w:pos="312"/>
        </w:tabs>
      </w:pPr>
      <w:rPr>
        <w:rFonts w:hint="eastAsia"/>
      </w:rPr>
    </w:lvl>
  </w:abstractNum>
  <w:abstractNum w:abstractNumId="2">
    <w:nsid w:val="1863C309"/>
    <w:multiLevelType w:val="singleLevel"/>
    <w:tmpl w:val="1863C309"/>
    <w:lvl w:ilvl="0" w:tentative="0">
      <w:start w:val="2"/>
      <w:numFmt w:val="chineseCounting"/>
      <w:lvlText w:val="(%1)"/>
      <w:lvlJc w:val="left"/>
      <w:pPr>
        <w:tabs>
          <w:tab w:val="left" w:pos="312"/>
        </w:tabs>
      </w:pPr>
      <w:rPr>
        <w:rFonts w:hint="eastAsia"/>
      </w:rPr>
    </w:lvl>
  </w:abstractNum>
  <w:abstractNum w:abstractNumId="3">
    <w:nsid w:val="1900D016"/>
    <w:multiLevelType w:val="singleLevel"/>
    <w:tmpl w:val="1900D016"/>
    <w:lvl w:ilvl="0" w:tentative="0">
      <w:start w:val="2"/>
      <w:numFmt w:val="decimal"/>
      <w:lvlText w:val="%1."/>
      <w:lvlJc w:val="left"/>
      <w:pPr>
        <w:tabs>
          <w:tab w:val="left" w:pos="312"/>
        </w:tabs>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efaultTabStop w:val="420"/>
  <w:drawingGridHorizontalSpacing w:val="105"/>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yZGY4M2ViMjlkZDdlOGQyOGE5OTllMTJjYTFmOGYifQ=="/>
  </w:docVars>
  <w:rsids>
    <w:rsidRoot w:val="00D65F4E"/>
    <w:rsid w:val="00252DD3"/>
    <w:rsid w:val="003A0F30"/>
    <w:rsid w:val="006B3AFB"/>
    <w:rsid w:val="00814CEE"/>
    <w:rsid w:val="00C24372"/>
    <w:rsid w:val="00D65F4E"/>
    <w:rsid w:val="0D0A17F5"/>
    <w:rsid w:val="177C4139"/>
    <w:rsid w:val="1EA94859"/>
    <w:rsid w:val="2AB96756"/>
    <w:rsid w:val="2FECE574"/>
    <w:rsid w:val="325A4C76"/>
    <w:rsid w:val="3F7D3D52"/>
    <w:rsid w:val="3F9DD004"/>
    <w:rsid w:val="49425710"/>
    <w:rsid w:val="495F65A8"/>
    <w:rsid w:val="4F3BC71C"/>
    <w:rsid w:val="5F4B456D"/>
    <w:rsid w:val="673BA62A"/>
    <w:rsid w:val="68FC5635"/>
    <w:rsid w:val="6BD7A7ED"/>
    <w:rsid w:val="6D9143ED"/>
    <w:rsid w:val="6EE669BA"/>
    <w:rsid w:val="6FCA0CAD"/>
    <w:rsid w:val="72333E41"/>
    <w:rsid w:val="74293E44"/>
    <w:rsid w:val="75ECE37B"/>
    <w:rsid w:val="78CF226D"/>
    <w:rsid w:val="7C7F423C"/>
    <w:rsid w:val="7F1844D7"/>
    <w:rsid w:val="7FFF9DB5"/>
    <w:rsid w:val="97FDB6DE"/>
    <w:rsid w:val="BFC7BA4C"/>
    <w:rsid w:val="CFCC39E5"/>
    <w:rsid w:val="DFFA7680"/>
    <w:rsid w:val="E6FF343A"/>
    <w:rsid w:val="EFDF4342"/>
    <w:rsid w:val="F3FF532E"/>
    <w:rsid w:val="F9BE7C56"/>
    <w:rsid w:val="FF83E629"/>
    <w:rsid w:val="FFF66C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rPr>
  </w:style>
  <w:style w:type="paragraph" w:styleId="3">
    <w:name w:val="footer"/>
    <w:basedOn w:val="1"/>
    <w:link w:val="11"/>
    <w:uiPriority w:val="99"/>
    <w:pPr>
      <w:tabs>
        <w:tab w:val="center" w:pos="4153"/>
        <w:tab w:val="right" w:pos="8306"/>
      </w:tabs>
    </w:pPr>
    <w:rPr>
      <w:sz w:val="18"/>
      <w:szCs w:val="18"/>
    </w:rPr>
  </w:style>
  <w:style w:type="paragraph" w:styleId="4">
    <w:name w:val="header"/>
    <w:basedOn w:val="1"/>
    <w:link w:val="10"/>
    <w:uiPriority w:val="0"/>
    <w:pPr>
      <w:pBdr>
        <w:bottom w:val="single" w:color="auto" w:sz="6" w:space="1"/>
      </w:pBdr>
      <w:tabs>
        <w:tab w:val="center" w:pos="4153"/>
        <w:tab w:val="right" w:pos="8306"/>
      </w:tabs>
      <w:jc w:val="center"/>
    </w:pPr>
    <w:rPr>
      <w:sz w:val="18"/>
      <w:szCs w:val="18"/>
    </w:r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style>
  <w:style w:type="character" w:customStyle="1" w:styleId="10">
    <w:name w:val="页眉 Char"/>
    <w:basedOn w:val="7"/>
    <w:link w:val="4"/>
    <w:uiPriority w:val="0"/>
    <w:rPr>
      <w:rFonts w:eastAsia="Arial"/>
      <w:snapToGrid w:val="0"/>
      <w:color w:val="000000"/>
      <w:sz w:val="18"/>
      <w:szCs w:val="18"/>
      <w:lang w:eastAsia="en-US"/>
    </w:rPr>
  </w:style>
  <w:style w:type="character" w:customStyle="1" w:styleId="11">
    <w:name w:val="页脚 Char"/>
    <w:basedOn w:val="7"/>
    <w:link w:val="3"/>
    <w:uiPriority w:val="99"/>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402</Words>
  <Characters>405</Characters>
  <Lines>38</Lines>
  <Paragraphs>10</Paragraphs>
  <TotalTime>17</TotalTime>
  <ScaleCrop>false</ScaleCrop>
  <LinksUpToDate>false</LinksUpToDate>
  <CharactersWithSpaces>405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2024-09-20T08:39:00Z</dcterms:created>
  <dc:creator>Kingsoft-PDF</dc:creator>
  <cp:lastModifiedBy>LENOVO</cp:lastModifiedBy>
  <cp:lastPrinted>2024-09-21T01:17:00Z</cp:lastPrinted>
  <dcterms:modified xsi:type="dcterms:W3CDTF">2024-10-18T06:15:56Z</dcterms:modified>
  <dc:subject>pdfbuilder</dc:subject>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2052-12.1.0.18276</vt:lpwstr>
  </property>
  <property fmtid="{D5CDD505-2E9C-101B-9397-08002B2CF9AE}" pid="6" name="ICV">
    <vt:lpwstr>28180A5D7D914ADCA8CB2C94F8A1F307_13</vt:lpwstr>
  </property>
</Properties>
</file>