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F4BB0">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1D60290D">
      <w:pPr>
        <w:widowControl w:val="0"/>
        <w:kinsoku/>
        <w:overflowPunct w:val="0"/>
        <w:spacing w:line="360" w:lineRule="auto"/>
        <w:ind w:firstLine="640" w:firstLineChars="200"/>
        <w:rPr>
          <w:sz w:val="32"/>
          <w:szCs w:val="32"/>
          <w:lang w:eastAsia="zh-CN"/>
        </w:rPr>
      </w:pPr>
    </w:p>
    <w:p w14:paraId="0B432284">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2BDBD819">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6FBB9D12">
      <w:pPr>
        <w:spacing w:line="600" w:lineRule="exact"/>
        <w:ind w:firstLine="640" w:firstLineChars="200"/>
        <w:rPr>
          <w:rFonts w:ascii="楷体" w:hAnsi="楷体" w:eastAsia="楷体" w:cs="楷体"/>
          <w:spacing w:val="11"/>
          <w:sz w:val="32"/>
          <w:szCs w:val="32"/>
          <w:lang w:eastAsia="zh-CN"/>
        </w:rPr>
      </w:pPr>
      <w:r>
        <w:rPr>
          <w:rFonts w:hint="eastAsia" w:ascii="仿宋_GB2312" w:hAnsi="仿宋_GB2312" w:eastAsia="仿宋_GB2312" w:cs="仿宋_GB2312"/>
          <w:sz w:val="32"/>
          <w:szCs w:val="32"/>
        </w:rPr>
        <w:t>怀化市鹤城区就业服务中心是全额拔款的事业单位，内设职能股室：综合</w:t>
      </w:r>
      <w:r>
        <w:rPr>
          <w:rFonts w:hint="eastAsia" w:ascii="仿宋_GB2312" w:hAnsi="仿宋_GB2312" w:eastAsia="仿宋_GB2312" w:cs="仿宋_GB2312"/>
          <w:sz w:val="32"/>
          <w:szCs w:val="32"/>
          <w:lang w:eastAsia="zh-CN"/>
        </w:rPr>
        <w:t>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就业服务部</w:t>
      </w:r>
      <w:r>
        <w:rPr>
          <w:rFonts w:hint="eastAsia" w:ascii="仿宋_GB2312" w:hAnsi="仿宋_GB2312" w:eastAsia="仿宋_GB2312" w:cs="仿宋_GB2312"/>
          <w:sz w:val="32"/>
          <w:szCs w:val="32"/>
        </w:rPr>
        <w:t>、培训</w:t>
      </w:r>
      <w:r>
        <w:rPr>
          <w:rFonts w:hint="eastAsia" w:ascii="仿宋_GB2312" w:hAnsi="仿宋_GB2312" w:eastAsia="仿宋_GB2312" w:cs="仿宋_GB2312"/>
          <w:sz w:val="32"/>
          <w:szCs w:val="32"/>
          <w:lang w:eastAsia="zh-CN"/>
        </w:rPr>
        <w:t>部</w:t>
      </w:r>
      <w:r>
        <w:rPr>
          <w:rFonts w:hint="eastAsia" w:ascii="仿宋_GB2312" w:hAnsi="仿宋_GB2312" w:eastAsia="仿宋_GB2312" w:cs="仿宋_GB2312"/>
          <w:sz w:val="32"/>
          <w:szCs w:val="32"/>
        </w:rPr>
        <w:t>、失业保险</w:t>
      </w:r>
      <w:r>
        <w:rPr>
          <w:rFonts w:hint="eastAsia" w:ascii="仿宋_GB2312" w:hAnsi="仿宋_GB2312" w:eastAsia="仿宋_GB2312" w:cs="仿宋_GB2312"/>
          <w:sz w:val="32"/>
          <w:szCs w:val="32"/>
          <w:lang w:eastAsia="zh-CN"/>
        </w:rPr>
        <w:t>部</w:t>
      </w:r>
      <w:r>
        <w:rPr>
          <w:rFonts w:hint="eastAsia" w:ascii="仿宋_GB2312" w:hAnsi="仿宋_GB2312" w:eastAsia="仿宋_GB2312" w:cs="仿宋_GB2312"/>
          <w:sz w:val="32"/>
          <w:szCs w:val="32"/>
        </w:rPr>
        <w:t>、职业技能鉴定</w:t>
      </w:r>
      <w:r>
        <w:rPr>
          <w:rFonts w:hint="eastAsia" w:ascii="仿宋_GB2312" w:hAnsi="仿宋_GB2312" w:eastAsia="仿宋_GB2312" w:cs="仿宋_GB2312"/>
          <w:sz w:val="32"/>
          <w:szCs w:val="32"/>
          <w:lang w:eastAsia="zh-CN"/>
        </w:rPr>
        <w:t>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促进就业</w:t>
      </w:r>
      <w:r>
        <w:rPr>
          <w:rFonts w:hint="eastAsia" w:ascii="仿宋_GB2312" w:hAnsi="仿宋_GB2312" w:eastAsia="仿宋_GB2312" w:cs="仿宋_GB2312"/>
          <w:sz w:val="32"/>
          <w:szCs w:val="32"/>
        </w:rPr>
        <w:t>小额担保贷款</w:t>
      </w:r>
      <w:r>
        <w:rPr>
          <w:rFonts w:hint="eastAsia" w:ascii="仿宋_GB2312" w:hAnsi="仿宋_GB2312" w:eastAsia="仿宋_GB2312" w:cs="仿宋_GB2312"/>
          <w:sz w:val="32"/>
          <w:szCs w:val="32"/>
          <w:lang w:eastAsia="zh-CN"/>
        </w:rPr>
        <w:t>部</w:t>
      </w:r>
      <w:r>
        <w:rPr>
          <w:rFonts w:hint="eastAsia" w:ascii="仿宋_GB2312" w:hAnsi="仿宋_GB2312" w:eastAsia="仿宋_GB2312" w:cs="仿宋_GB2312"/>
          <w:sz w:val="32"/>
          <w:szCs w:val="32"/>
        </w:rPr>
        <w:t>。</w:t>
      </w:r>
    </w:p>
    <w:p w14:paraId="12019B65">
      <w:pPr>
        <w:widowControl w:val="0"/>
        <w:numPr>
          <w:ilvl w:val="0"/>
          <w:numId w:val="1"/>
        </w:numPr>
        <w:kinsoku/>
        <w:overflowPunct w:val="0"/>
        <w:spacing w:line="360" w:lineRule="auto"/>
        <w:ind w:firstLine="672" w:firstLineChars="200"/>
        <w:rPr>
          <w:rFonts w:ascii="楷体" w:hAnsi="楷体" w:eastAsia="楷体" w:cs="楷体"/>
          <w:spacing w:val="8"/>
          <w:sz w:val="32"/>
          <w:szCs w:val="32"/>
          <w:lang w:eastAsia="zh-CN"/>
        </w:rPr>
      </w:pPr>
      <w:r>
        <w:rPr>
          <w:rFonts w:ascii="楷体" w:hAnsi="楷体" w:eastAsia="楷体" w:cs="楷体"/>
          <w:spacing w:val="8"/>
          <w:sz w:val="32"/>
          <w:szCs w:val="32"/>
          <w:lang w:eastAsia="zh-CN"/>
        </w:rPr>
        <w:t>人员编制情况</w:t>
      </w:r>
    </w:p>
    <w:p w14:paraId="4516595F">
      <w:pPr>
        <w:widowControl w:val="0"/>
        <w:numPr>
          <w:ilvl w:val="0"/>
          <w:numId w:val="0"/>
        </w:numPr>
        <w:kinsoku/>
        <w:overflowPunct w:val="0"/>
        <w:spacing w:line="360" w:lineRule="auto"/>
        <w:rPr>
          <w:rFonts w:hint="default" w:ascii="仿宋_GB2312" w:hAnsi="仿宋_GB2312" w:eastAsia="仿宋_GB2312" w:cs="仿宋_GB2312"/>
          <w:sz w:val="32"/>
          <w:szCs w:val="32"/>
          <w:lang w:val="en-US" w:eastAsia="zh-CN"/>
        </w:rPr>
      </w:pPr>
      <w:r>
        <w:rPr>
          <w:rFonts w:hint="eastAsia" w:ascii="楷体" w:hAnsi="楷体" w:eastAsia="楷体" w:cs="楷体"/>
          <w:spacing w:val="8"/>
          <w:sz w:val="32"/>
          <w:szCs w:val="32"/>
          <w:lang w:val="en-US" w:eastAsia="zh-CN"/>
        </w:rPr>
        <w:t xml:space="preserve">  </w:t>
      </w:r>
      <w:r>
        <w:rPr>
          <w:rFonts w:hint="eastAsia" w:ascii="仿宋_GB2312" w:hAnsi="仿宋_GB2312" w:eastAsia="仿宋_GB2312" w:cs="仿宋_GB2312"/>
          <w:sz w:val="32"/>
          <w:szCs w:val="32"/>
          <w:lang w:val="en-US" w:eastAsia="zh-CN"/>
        </w:rPr>
        <w:t xml:space="preserve">  全额在职在编人员28人，无公车。</w:t>
      </w:r>
    </w:p>
    <w:p w14:paraId="5BA60476">
      <w:pPr>
        <w:widowControl w:val="0"/>
        <w:numPr>
          <w:ilvl w:val="0"/>
          <w:numId w:val="1"/>
        </w:numPr>
        <w:kinsoku/>
        <w:overflowPunct w:val="0"/>
        <w:spacing w:line="360" w:lineRule="auto"/>
        <w:ind w:left="0" w:leftChars="0" w:firstLine="680" w:firstLineChars="200"/>
        <w:rPr>
          <w:rFonts w:hint="eastAsia" w:ascii="仿宋_GB2312" w:hAnsi="仿宋_GB2312" w:eastAsia="仿宋_GB2312" w:cs="仿宋_GB2312"/>
          <w:sz w:val="32"/>
          <w:szCs w:val="32"/>
          <w:lang w:eastAsia="zh-CN"/>
        </w:rPr>
      </w:pPr>
      <w:r>
        <w:rPr>
          <w:rFonts w:ascii="楷体" w:hAnsi="楷体" w:eastAsia="楷体" w:cs="楷体"/>
          <w:spacing w:val="10"/>
          <w:sz w:val="32"/>
          <w:szCs w:val="32"/>
          <w:lang w:eastAsia="zh-CN"/>
        </w:rPr>
        <w:t>主要职能职责</w:t>
      </w:r>
    </w:p>
    <w:p w14:paraId="03A247DB">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（1）贯彻党和政府就业方针、政策，统筹做好城乡各类劳动者的就业和培训工作；</w:t>
      </w:r>
    </w:p>
    <w:p w14:paraId="3581A3C7">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（2）落实就业再就业扶持政策，开展就业登记、失业登记、职业指导、职业技能培训和创业培训、劳务输出、社保补贴、小额担保贷款、劳动保障事务代理等服务，对特殊就业困难群体实施就业援助；</w:t>
      </w:r>
    </w:p>
    <w:p w14:paraId="1341F76C">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（3）办理失业保险扩面、征缴、发放等各项业务；</w:t>
      </w:r>
    </w:p>
    <w:p w14:paraId="51F596BB">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（4）完成上级交办的其他工作。</w:t>
      </w:r>
    </w:p>
    <w:p w14:paraId="2F115057">
      <w:pPr>
        <w:widowControl w:val="0"/>
        <w:numPr>
          <w:ilvl w:val="0"/>
          <w:numId w:val="1"/>
        </w:numPr>
        <w:kinsoku/>
        <w:overflowPunct w:val="0"/>
        <w:spacing w:line="360" w:lineRule="auto"/>
        <w:ind w:left="0" w:leftChars="0" w:firstLine="676" w:firstLineChars="200"/>
        <w:rPr>
          <w:rFonts w:ascii="楷体" w:hAnsi="楷体" w:eastAsia="楷体" w:cs="楷体"/>
          <w:spacing w:val="9"/>
          <w:sz w:val="32"/>
          <w:szCs w:val="32"/>
          <w:lang w:eastAsia="zh-CN"/>
        </w:rPr>
      </w:pPr>
      <w:r>
        <w:rPr>
          <w:rFonts w:ascii="楷体" w:hAnsi="楷体" w:eastAsia="楷体" w:cs="楷体"/>
          <w:spacing w:val="9"/>
          <w:sz w:val="32"/>
          <w:szCs w:val="32"/>
          <w:lang w:eastAsia="zh-CN"/>
        </w:rPr>
        <w:t>绩效目标设定情况</w:t>
      </w:r>
    </w:p>
    <w:p w14:paraId="524D565E">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中心的总目标是扎实开展各项就业创业、促进就业业务经办工作，根据年度绩效目标表三级指标内容，项目产出指标、效益指标、居民满意度等都已达到指标值。已按绩效目标完成任务指标，全年总体目标全部完成。</w:t>
      </w:r>
    </w:p>
    <w:p w14:paraId="18074842">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455578DF">
      <w:pPr>
        <w:widowControl w:val="0"/>
        <w:kinsoku/>
        <w:overflowPunct w:val="0"/>
        <w:spacing w:line="360" w:lineRule="auto"/>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14:paraId="602869CF">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严格按照年初预算进行部门整体支出。在支出过程中，能严格遵守各项规章制度。所有项目都详细制定了方案，严格按方案组织实施，并加强了监督。在专项经费支出上，我们能严格执行专项资金财务管理办法，做到专款专用。</w:t>
      </w:r>
    </w:p>
    <w:p w14:paraId="204D906E">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14:paraId="57BA76DE">
      <w:pPr>
        <w:pStyle w:val="2"/>
        <w:widowControl w:val="0"/>
        <w:kinsoku/>
        <w:overflowPunct w:val="0"/>
        <w:spacing w:line="360" w:lineRule="auto"/>
        <w:ind w:firstLine="620" w:firstLineChars="200"/>
        <w:rPr>
          <w:spacing w:val="-5"/>
          <w:sz w:val="32"/>
          <w:szCs w:val="32"/>
          <w:lang w:eastAsia="zh-CN"/>
        </w:rPr>
      </w:pPr>
      <w:r>
        <w:rPr>
          <w:spacing w:val="-5"/>
          <w:sz w:val="32"/>
          <w:szCs w:val="32"/>
          <w:lang w:eastAsia="zh-CN"/>
        </w:rPr>
        <w:t>1.基本支出情况</w:t>
      </w:r>
    </w:p>
    <w:p w14:paraId="1E84A499">
      <w:pPr>
        <w:pStyle w:val="2"/>
        <w:widowControl w:val="0"/>
        <w:kinsoku/>
        <w:overflowPunct w:val="0"/>
        <w:spacing w:line="360" w:lineRule="auto"/>
        <w:ind w:firstLine="640" w:firstLineChars="200"/>
        <w:rPr>
          <w:spacing w:val="-5"/>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年基本支出决算数为</w:t>
      </w:r>
      <w:r>
        <w:rPr>
          <w:rFonts w:hint="eastAsia" w:ascii="仿宋_GB2312" w:hAnsi="仿宋_GB2312" w:eastAsia="仿宋_GB2312" w:cs="仿宋_GB2312"/>
          <w:sz w:val="32"/>
          <w:szCs w:val="32"/>
          <w:lang w:val="en-US" w:eastAsia="zh-CN"/>
        </w:rPr>
        <w:t>360.68</w:t>
      </w:r>
      <w:r>
        <w:rPr>
          <w:rFonts w:hint="eastAsia" w:ascii="仿宋_GB2312" w:hAnsi="仿宋_GB2312" w:eastAsia="仿宋_GB2312" w:cs="仿宋_GB2312"/>
          <w:sz w:val="32"/>
          <w:szCs w:val="32"/>
        </w:rPr>
        <w:t>万元，是指为保障单位机构正常运转、完成日常工作任务而发生的各项支出，包括用于基本工资、津贴补贴等人员经费以及办公费、印刷费、水电费、物业管理费等日常公用经费。</w:t>
      </w:r>
    </w:p>
    <w:p w14:paraId="44FF3ECF">
      <w:pPr>
        <w:pStyle w:val="2"/>
        <w:widowControl w:val="0"/>
        <w:numPr>
          <w:ilvl w:val="0"/>
          <w:numId w:val="2"/>
        </w:numPr>
        <w:kinsoku/>
        <w:overflowPunct w:val="0"/>
        <w:spacing w:line="360" w:lineRule="auto"/>
        <w:ind w:firstLine="632" w:firstLineChars="200"/>
        <w:rPr>
          <w:spacing w:val="-2"/>
          <w:sz w:val="32"/>
          <w:szCs w:val="32"/>
          <w:lang w:eastAsia="zh-CN"/>
        </w:rPr>
      </w:pPr>
      <w:r>
        <w:rPr>
          <w:spacing w:val="-2"/>
          <w:sz w:val="32"/>
          <w:szCs w:val="32"/>
          <w:lang w:eastAsia="zh-CN"/>
        </w:rPr>
        <w:t>项目支出情况</w:t>
      </w:r>
    </w:p>
    <w:p w14:paraId="68C132E6">
      <w:pPr>
        <w:spacing w:line="600" w:lineRule="exact"/>
        <w:ind w:firstLine="640" w:firstLineChars="200"/>
        <w:rPr>
          <w:spacing w:val="-2"/>
          <w:sz w:val="32"/>
          <w:szCs w:val="32"/>
          <w:lang w:eastAsia="zh-CN"/>
        </w:rPr>
      </w:pPr>
      <w:r>
        <w:rPr>
          <w:rFonts w:hint="eastAsia" w:ascii="仿宋_GB2312" w:hAnsi="仿宋_GB2312" w:eastAsia="仿宋_GB2312" w:cs="仿宋_GB2312"/>
          <w:sz w:val="32"/>
          <w:szCs w:val="32"/>
          <w:lang w:eastAsia="zh-CN"/>
        </w:rPr>
        <w:t>项目支出是指单位为完成特定行政工作任务或事业发展目标而发生的支出，202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年决算数为</w:t>
      </w:r>
      <w:r>
        <w:rPr>
          <w:rFonts w:hint="eastAsia" w:ascii="仿宋_GB2312" w:hAnsi="仿宋_GB2312" w:eastAsia="仿宋_GB2312" w:cs="仿宋_GB2312"/>
          <w:sz w:val="32"/>
          <w:szCs w:val="32"/>
          <w:lang w:val="en-US" w:eastAsia="zh-CN"/>
        </w:rPr>
        <w:t>13.28</w:t>
      </w:r>
      <w:r>
        <w:rPr>
          <w:rFonts w:hint="eastAsia" w:ascii="仿宋_GB2312" w:hAnsi="仿宋_GB2312" w:eastAsia="仿宋_GB2312" w:cs="仿宋_GB2312"/>
          <w:sz w:val="32"/>
          <w:szCs w:val="32"/>
          <w:lang w:eastAsia="zh-CN"/>
        </w:rPr>
        <w:t>万元。其中退养生活费</w:t>
      </w:r>
      <w:r>
        <w:rPr>
          <w:rFonts w:hint="eastAsia" w:ascii="仿宋_GB2312" w:hAnsi="仿宋_GB2312" w:eastAsia="仿宋_GB2312" w:cs="仿宋_GB2312"/>
          <w:sz w:val="32"/>
          <w:szCs w:val="32"/>
          <w:lang w:val="en-US" w:eastAsia="zh-CN"/>
        </w:rPr>
        <w:t>13.28</w:t>
      </w:r>
      <w:r>
        <w:rPr>
          <w:rFonts w:hint="eastAsia" w:ascii="仿宋_GB2312" w:hAnsi="仿宋_GB2312" w:eastAsia="仿宋_GB2312" w:cs="仿宋_GB2312"/>
          <w:sz w:val="32"/>
          <w:szCs w:val="32"/>
          <w:lang w:eastAsia="zh-CN"/>
        </w:rPr>
        <w:t>万元，全部用于电子工业公司，印务公司</w:t>
      </w:r>
      <w:r>
        <w:rPr>
          <w:rFonts w:hint="eastAsia" w:ascii="仿宋_GB2312" w:hAnsi="仿宋_GB2312" w:eastAsia="仿宋_GB2312" w:cs="仿宋_GB2312"/>
          <w:sz w:val="32"/>
          <w:szCs w:val="32"/>
          <w:lang w:val="en-US" w:eastAsia="zh-CN"/>
        </w:rPr>
        <w:t>7人全年退养生活费</w:t>
      </w:r>
      <w:r>
        <w:rPr>
          <w:rFonts w:hint="eastAsia" w:ascii="仿宋_GB2312" w:hAnsi="仿宋_GB2312" w:eastAsia="仿宋_GB2312" w:cs="仿宋_GB2312"/>
          <w:sz w:val="32"/>
          <w:szCs w:val="32"/>
          <w:lang w:eastAsia="zh-CN"/>
        </w:rPr>
        <w:t>。</w:t>
      </w:r>
    </w:p>
    <w:p w14:paraId="2223E998">
      <w:pPr>
        <w:widowControl w:val="0"/>
        <w:numPr>
          <w:ilvl w:val="0"/>
          <w:numId w:val="3"/>
        </w:numPr>
        <w:kinsoku/>
        <w:overflowPunct w:val="0"/>
        <w:spacing w:line="360" w:lineRule="auto"/>
        <w:ind w:firstLine="660" w:firstLineChars="200"/>
        <w:rPr>
          <w:rFonts w:ascii="楷体" w:hAnsi="楷体" w:eastAsia="楷体" w:cs="楷体"/>
          <w:spacing w:val="5"/>
          <w:sz w:val="32"/>
          <w:szCs w:val="32"/>
          <w:lang w:eastAsia="zh-CN"/>
        </w:rPr>
      </w:pPr>
      <w:r>
        <w:rPr>
          <w:rFonts w:ascii="楷体" w:hAnsi="楷体" w:eastAsia="楷体" w:cs="楷体"/>
          <w:spacing w:val="5"/>
          <w:sz w:val="32"/>
          <w:szCs w:val="32"/>
          <w:lang w:eastAsia="zh-CN"/>
        </w:rPr>
        <w:t>"三公"经费使用和管理情况</w:t>
      </w:r>
    </w:p>
    <w:p w14:paraId="467BEA3E">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本年度无三公经费支出</w:t>
      </w:r>
    </w:p>
    <w:p w14:paraId="767756DA">
      <w:pPr>
        <w:widowControl w:val="0"/>
        <w:kinsoku/>
        <w:overflowPunct w:val="0"/>
        <w:spacing w:line="360" w:lineRule="auto"/>
        <w:ind w:firstLine="567" w:firstLineChars="200"/>
        <w:rPr>
          <w:rFonts w:ascii="黑体" w:hAnsi="黑体" w:eastAsia="黑体" w:cs="黑体"/>
          <w:b/>
          <w:bCs/>
          <w:spacing w:val="-19"/>
          <w:sz w:val="32"/>
          <w:szCs w:val="32"/>
          <w:lang w:eastAsia="zh-CN"/>
        </w:rPr>
      </w:pPr>
    </w:p>
    <w:p w14:paraId="4687A123">
      <w:pPr>
        <w:widowControl w:val="0"/>
        <w:kinsoku/>
        <w:overflowPunct w:val="0"/>
        <w:spacing w:line="360" w:lineRule="auto"/>
        <w:ind w:firstLine="603" w:firstLineChars="200"/>
        <w:rPr>
          <w:rFonts w:ascii="黑体" w:hAnsi="黑体" w:eastAsia="黑体" w:cs="黑体"/>
          <w:b/>
          <w:bCs/>
          <w:spacing w:val="-10"/>
          <w:sz w:val="32"/>
          <w:szCs w:val="32"/>
          <w:lang w:eastAsia="zh-CN"/>
        </w:rPr>
      </w:pPr>
    </w:p>
    <w:p w14:paraId="0842A036">
      <w:pPr>
        <w:widowControl w:val="0"/>
        <w:kinsoku/>
        <w:overflowPunct w:val="0"/>
        <w:spacing w:line="360" w:lineRule="auto"/>
        <w:ind w:firstLine="603" w:firstLineChars="200"/>
        <w:rPr>
          <w:rFonts w:ascii="黑体" w:hAnsi="黑体" w:eastAsia="黑体" w:cs="黑体"/>
          <w:sz w:val="32"/>
          <w:szCs w:val="32"/>
          <w:lang w:eastAsia="zh-CN"/>
        </w:rPr>
      </w:pPr>
      <w:r>
        <w:rPr>
          <w:rFonts w:hint="eastAsia" w:ascii="黑体" w:hAnsi="黑体" w:eastAsia="黑体" w:cs="黑体"/>
          <w:b/>
          <w:bCs/>
          <w:spacing w:val="-10"/>
          <w:sz w:val="32"/>
          <w:szCs w:val="32"/>
          <w:lang w:eastAsia="zh-CN"/>
        </w:rPr>
        <w:t>三、</w:t>
      </w:r>
      <w:r>
        <w:rPr>
          <w:rFonts w:ascii="黑体" w:hAnsi="黑体" w:eastAsia="黑体" w:cs="黑体"/>
          <w:b/>
          <w:bCs/>
          <w:spacing w:val="-10"/>
          <w:sz w:val="32"/>
          <w:szCs w:val="32"/>
          <w:lang w:eastAsia="zh-CN"/>
        </w:rPr>
        <w:t>部门整体支出绩效情况</w:t>
      </w:r>
    </w:p>
    <w:p w14:paraId="5C3A000E">
      <w:pPr>
        <w:pStyle w:val="2"/>
        <w:widowControl w:val="0"/>
        <w:kinsoku/>
        <w:overflowPunct w:val="0"/>
        <w:spacing w:line="360" w:lineRule="auto"/>
        <w:ind w:firstLine="620" w:firstLineChars="200"/>
        <w:rPr>
          <w:rFonts w:ascii="楷体" w:hAnsi="楷体" w:eastAsia="楷体" w:cs="楷体"/>
          <w:spacing w:val="-5"/>
          <w:sz w:val="32"/>
          <w:szCs w:val="32"/>
          <w:lang w:eastAsia="zh-CN"/>
        </w:rPr>
      </w:pPr>
      <w:r>
        <w:rPr>
          <w:rFonts w:ascii="楷体" w:hAnsi="楷体" w:eastAsia="楷体" w:cs="楷体"/>
          <w:spacing w:val="-5"/>
          <w:sz w:val="32"/>
          <w:szCs w:val="32"/>
          <w:lang w:eastAsia="zh-CN"/>
        </w:rPr>
        <w:t>(一)综合评价结论。</w:t>
      </w:r>
    </w:p>
    <w:p w14:paraId="7556DA01">
      <w:pPr>
        <w:pStyle w:val="2"/>
        <w:widowControl w:val="0"/>
        <w:kinsoku/>
        <w:overflowPunct w:val="0"/>
        <w:spacing w:line="360" w:lineRule="auto"/>
        <w:ind w:firstLine="640" w:firstLineChars="200"/>
        <w:rPr>
          <w:rFonts w:hint="default" w:ascii="仿宋_GB2312" w:hAnsi="仿宋_GB2312" w:eastAsia="仿宋_GB2312" w:cs="仿宋_GB2312"/>
          <w:snapToGrid w:val="0"/>
          <w:color w:val="000000"/>
          <w:sz w:val="32"/>
          <w:szCs w:val="32"/>
          <w:lang w:val="en-US" w:eastAsia="zh-CN" w:bidi="ar-SA"/>
        </w:rPr>
      </w:pPr>
      <w:r>
        <w:rPr>
          <w:rFonts w:hint="eastAsia" w:ascii="仿宋_GB2312" w:hAnsi="仿宋_GB2312" w:eastAsia="仿宋_GB2312" w:cs="仿宋_GB2312"/>
          <w:snapToGrid w:val="0"/>
          <w:color w:val="000000"/>
          <w:sz w:val="32"/>
          <w:szCs w:val="32"/>
          <w:lang w:val="en-US" w:eastAsia="zh-CN" w:bidi="ar-SA"/>
        </w:rPr>
        <w:t>2023年，根据年初工作规划和重点性工作，围绕上级和区委、区政府的要求较好的完成了年度工作目标，通过加强预算收支管理，不断建立健全内部管理制度，梳理内部管理流程，部门整体支出管理情况得到提升。支出总额控制在预算总额以内。预算管理方面，制度执行总体较为有效，仍需进一步强化；资金使用管理严格按制度执行，严控流程，严把手续；资产管理方面，健全资产管理制度，定期进行盘点和资产清理，总体执行较好。因此，自评得分97分。</w:t>
      </w:r>
    </w:p>
    <w:p w14:paraId="289A16F3">
      <w:pPr>
        <w:pStyle w:val="2"/>
        <w:numPr>
          <w:ilvl w:val="0"/>
          <w:numId w:val="4"/>
        </w:numPr>
        <w:bidi w:val="0"/>
        <w:rPr>
          <w:spacing w:val="9"/>
          <w:sz w:val="32"/>
          <w:szCs w:val="32"/>
          <w:lang w:eastAsia="zh-CN"/>
        </w:rPr>
      </w:pPr>
      <w:r>
        <w:rPr>
          <w:rFonts w:ascii="楷体" w:hAnsi="楷体" w:eastAsia="楷体" w:cs="楷体"/>
          <w:spacing w:val="9"/>
          <w:sz w:val="32"/>
          <w:szCs w:val="32"/>
          <w:lang w:eastAsia="zh-CN"/>
        </w:rPr>
        <w:t>评价指标分析(或综合评价情况)</w:t>
      </w:r>
      <w:r>
        <w:rPr>
          <w:spacing w:val="9"/>
          <w:sz w:val="32"/>
          <w:szCs w:val="32"/>
          <w:lang w:eastAsia="zh-CN"/>
        </w:rPr>
        <w:t>。</w:t>
      </w:r>
    </w:p>
    <w:p w14:paraId="512E1DDB">
      <w:pPr>
        <w:pStyle w:val="2"/>
        <w:numPr>
          <w:ilvl w:val="0"/>
          <w:numId w:val="0"/>
        </w:numPr>
        <w:bidi w:val="0"/>
        <w:rPr>
          <w:rFonts w:hint="eastAsia"/>
          <w:spacing w:val="9"/>
          <w:sz w:val="32"/>
          <w:szCs w:val="32"/>
          <w:lang w:eastAsia="zh-CN"/>
        </w:rPr>
      </w:pPr>
      <w:r>
        <w:rPr>
          <w:rFonts w:hint="eastAsia"/>
          <w:spacing w:val="9"/>
          <w:sz w:val="32"/>
          <w:szCs w:val="32"/>
          <w:lang w:eastAsia="zh-CN"/>
        </w:rPr>
        <w:t>1.产出指标完成情况分析。</w:t>
      </w:r>
    </w:p>
    <w:p w14:paraId="76D7A76D">
      <w:pPr>
        <w:pStyle w:val="2"/>
        <w:numPr>
          <w:ilvl w:val="0"/>
          <w:numId w:val="0"/>
        </w:numPr>
        <w:bidi w:val="0"/>
        <w:rPr>
          <w:rFonts w:hint="eastAsia"/>
          <w:spacing w:val="9"/>
          <w:sz w:val="32"/>
          <w:szCs w:val="32"/>
          <w:lang w:eastAsia="zh-CN"/>
        </w:rPr>
      </w:pPr>
      <w:r>
        <w:rPr>
          <w:rFonts w:hint="eastAsia"/>
          <w:spacing w:val="9"/>
          <w:sz w:val="32"/>
          <w:szCs w:val="32"/>
          <w:lang w:eastAsia="zh-CN"/>
        </w:rPr>
        <w:t>（1）数量指标</w:t>
      </w:r>
    </w:p>
    <w:p w14:paraId="79ABD5AC">
      <w:pPr>
        <w:pStyle w:val="2"/>
        <w:numPr>
          <w:ilvl w:val="0"/>
          <w:numId w:val="0"/>
        </w:numPr>
        <w:bidi w:val="0"/>
        <w:ind w:firstLine="338" w:firstLineChars="100"/>
        <w:rPr>
          <w:rFonts w:hint="eastAsia"/>
          <w:spacing w:val="9"/>
          <w:sz w:val="32"/>
          <w:szCs w:val="32"/>
          <w:lang w:eastAsia="zh-CN"/>
        </w:rPr>
      </w:pPr>
      <w:r>
        <w:rPr>
          <w:rFonts w:hint="eastAsia"/>
          <w:spacing w:val="9"/>
          <w:sz w:val="32"/>
          <w:szCs w:val="32"/>
          <w:lang w:eastAsia="zh-CN"/>
        </w:rPr>
        <w:t>城镇新增就业人数完成</w:t>
      </w:r>
      <w:r>
        <w:rPr>
          <w:rFonts w:hint="eastAsia"/>
          <w:spacing w:val="9"/>
          <w:sz w:val="32"/>
          <w:szCs w:val="32"/>
          <w:lang w:val="en-US" w:eastAsia="zh-CN"/>
        </w:rPr>
        <w:t>7561</w:t>
      </w:r>
      <w:r>
        <w:rPr>
          <w:rFonts w:hint="eastAsia"/>
          <w:spacing w:val="9"/>
          <w:sz w:val="32"/>
          <w:szCs w:val="32"/>
          <w:lang w:eastAsia="zh-CN"/>
        </w:rPr>
        <w:t>人；就业困难人员就业人数完成</w:t>
      </w:r>
      <w:r>
        <w:rPr>
          <w:rFonts w:hint="eastAsia"/>
          <w:spacing w:val="9"/>
          <w:sz w:val="32"/>
          <w:szCs w:val="32"/>
          <w:lang w:val="en-US" w:eastAsia="zh-CN"/>
        </w:rPr>
        <w:t>922</w:t>
      </w:r>
      <w:r>
        <w:rPr>
          <w:rFonts w:hint="eastAsia"/>
          <w:spacing w:val="9"/>
          <w:sz w:val="32"/>
          <w:szCs w:val="32"/>
          <w:lang w:eastAsia="zh-CN"/>
        </w:rPr>
        <w:t>；培训补贴人数完成</w:t>
      </w:r>
      <w:r>
        <w:rPr>
          <w:rFonts w:hint="eastAsia"/>
          <w:spacing w:val="9"/>
          <w:sz w:val="32"/>
          <w:szCs w:val="32"/>
          <w:lang w:val="en-US" w:eastAsia="zh-CN"/>
        </w:rPr>
        <w:t>4578</w:t>
      </w:r>
      <w:r>
        <w:rPr>
          <w:rFonts w:hint="eastAsia"/>
          <w:spacing w:val="9"/>
          <w:sz w:val="32"/>
          <w:szCs w:val="32"/>
          <w:lang w:eastAsia="zh-CN"/>
        </w:rPr>
        <w:t>人。</w:t>
      </w:r>
    </w:p>
    <w:p w14:paraId="1AD68644">
      <w:pPr>
        <w:pStyle w:val="2"/>
        <w:numPr>
          <w:ilvl w:val="0"/>
          <w:numId w:val="0"/>
        </w:numPr>
        <w:bidi w:val="0"/>
        <w:rPr>
          <w:rFonts w:hint="eastAsia"/>
          <w:spacing w:val="9"/>
          <w:sz w:val="32"/>
          <w:szCs w:val="32"/>
          <w:lang w:eastAsia="zh-CN"/>
        </w:rPr>
      </w:pPr>
      <w:r>
        <w:rPr>
          <w:rFonts w:hint="eastAsia"/>
          <w:spacing w:val="9"/>
          <w:sz w:val="32"/>
          <w:szCs w:val="32"/>
          <w:lang w:eastAsia="zh-CN"/>
        </w:rPr>
        <w:t>（2）质量指标</w:t>
      </w:r>
    </w:p>
    <w:p w14:paraId="4CDE6AEA">
      <w:pPr>
        <w:pStyle w:val="2"/>
        <w:numPr>
          <w:ilvl w:val="0"/>
          <w:numId w:val="0"/>
        </w:numPr>
        <w:bidi w:val="0"/>
        <w:ind w:firstLine="338" w:firstLineChars="100"/>
        <w:rPr>
          <w:rFonts w:hint="eastAsia"/>
          <w:spacing w:val="9"/>
          <w:sz w:val="32"/>
          <w:szCs w:val="32"/>
          <w:lang w:eastAsia="zh-CN"/>
        </w:rPr>
      </w:pPr>
      <w:r>
        <w:rPr>
          <w:rFonts w:hint="eastAsia"/>
          <w:spacing w:val="9"/>
          <w:sz w:val="32"/>
          <w:szCs w:val="32"/>
          <w:lang w:eastAsia="zh-CN"/>
        </w:rPr>
        <w:t>职业培训聘请专业培训讲师、联合和指导专业培训机构开展职业培训，申请对象接受职业培训后均能取得培训合格证。</w:t>
      </w:r>
    </w:p>
    <w:p w14:paraId="14A7A95B">
      <w:pPr>
        <w:pStyle w:val="2"/>
        <w:numPr>
          <w:ilvl w:val="0"/>
          <w:numId w:val="0"/>
        </w:numPr>
        <w:bidi w:val="0"/>
        <w:rPr>
          <w:rFonts w:hint="eastAsia"/>
          <w:spacing w:val="9"/>
          <w:sz w:val="32"/>
          <w:szCs w:val="32"/>
          <w:lang w:eastAsia="zh-CN"/>
        </w:rPr>
      </w:pPr>
      <w:r>
        <w:rPr>
          <w:rFonts w:hint="eastAsia"/>
          <w:spacing w:val="9"/>
          <w:sz w:val="32"/>
          <w:szCs w:val="32"/>
          <w:lang w:eastAsia="zh-CN"/>
        </w:rPr>
        <w:t>（3）时效指标</w:t>
      </w:r>
    </w:p>
    <w:p w14:paraId="257A053A">
      <w:pPr>
        <w:pStyle w:val="2"/>
        <w:numPr>
          <w:ilvl w:val="0"/>
          <w:numId w:val="0"/>
        </w:numPr>
        <w:bidi w:val="0"/>
        <w:rPr>
          <w:rFonts w:hint="eastAsia"/>
          <w:spacing w:val="9"/>
          <w:sz w:val="32"/>
          <w:szCs w:val="32"/>
          <w:lang w:eastAsia="zh-CN"/>
        </w:rPr>
      </w:pPr>
      <w:r>
        <w:rPr>
          <w:rFonts w:hint="eastAsia"/>
          <w:spacing w:val="9"/>
          <w:sz w:val="32"/>
          <w:szCs w:val="32"/>
          <w:lang w:eastAsia="zh-CN"/>
        </w:rPr>
        <w:t>培训合格证书都在培训合格结业时发放，发放到位率100%。</w:t>
      </w:r>
    </w:p>
    <w:p w14:paraId="5CF9B837">
      <w:pPr>
        <w:pStyle w:val="2"/>
        <w:numPr>
          <w:ilvl w:val="0"/>
          <w:numId w:val="0"/>
        </w:numPr>
        <w:bidi w:val="0"/>
        <w:rPr>
          <w:rFonts w:hint="eastAsia"/>
          <w:spacing w:val="9"/>
          <w:sz w:val="32"/>
          <w:szCs w:val="32"/>
          <w:lang w:eastAsia="zh-CN"/>
        </w:rPr>
      </w:pPr>
      <w:r>
        <w:rPr>
          <w:rFonts w:hint="eastAsia"/>
          <w:spacing w:val="9"/>
          <w:sz w:val="32"/>
          <w:szCs w:val="32"/>
          <w:lang w:eastAsia="zh-CN"/>
        </w:rPr>
        <w:t>（4）成本指标。</w:t>
      </w:r>
    </w:p>
    <w:p w14:paraId="7731F72F">
      <w:pPr>
        <w:pStyle w:val="2"/>
        <w:numPr>
          <w:ilvl w:val="0"/>
          <w:numId w:val="0"/>
        </w:numPr>
        <w:bidi w:val="0"/>
        <w:rPr>
          <w:rFonts w:hint="eastAsia"/>
          <w:spacing w:val="9"/>
          <w:sz w:val="32"/>
          <w:szCs w:val="32"/>
          <w:lang w:eastAsia="zh-CN"/>
        </w:rPr>
      </w:pPr>
      <w:r>
        <w:rPr>
          <w:rFonts w:hint="eastAsia"/>
          <w:spacing w:val="9"/>
          <w:sz w:val="32"/>
          <w:szCs w:val="32"/>
          <w:lang w:eastAsia="zh-CN"/>
        </w:rPr>
        <w:t>发放创业担保贷款</w:t>
      </w:r>
      <w:r>
        <w:rPr>
          <w:rFonts w:hint="eastAsia"/>
          <w:spacing w:val="9"/>
          <w:sz w:val="32"/>
          <w:szCs w:val="32"/>
          <w:lang w:val="en-US" w:eastAsia="zh-CN"/>
        </w:rPr>
        <w:t>650万元，财政贴息55万元。发放失业保险金382.64万元。</w:t>
      </w:r>
    </w:p>
    <w:p w14:paraId="665250B6">
      <w:pPr>
        <w:pStyle w:val="2"/>
        <w:numPr>
          <w:ilvl w:val="0"/>
          <w:numId w:val="0"/>
        </w:numPr>
        <w:bidi w:val="0"/>
        <w:rPr>
          <w:rFonts w:hint="eastAsia"/>
          <w:spacing w:val="9"/>
          <w:sz w:val="32"/>
          <w:szCs w:val="32"/>
          <w:lang w:eastAsia="zh-CN"/>
        </w:rPr>
      </w:pPr>
    </w:p>
    <w:p w14:paraId="4DEC0DCE">
      <w:pPr>
        <w:pStyle w:val="2"/>
        <w:numPr>
          <w:ilvl w:val="0"/>
          <w:numId w:val="0"/>
        </w:numPr>
        <w:bidi w:val="0"/>
        <w:rPr>
          <w:rFonts w:hint="eastAsia"/>
          <w:spacing w:val="9"/>
          <w:sz w:val="32"/>
          <w:szCs w:val="32"/>
          <w:lang w:eastAsia="zh-CN"/>
        </w:rPr>
      </w:pPr>
      <w:r>
        <w:rPr>
          <w:rFonts w:hint="eastAsia"/>
          <w:spacing w:val="9"/>
          <w:sz w:val="32"/>
          <w:szCs w:val="32"/>
          <w:lang w:eastAsia="zh-CN"/>
        </w:rPr>
        <w:t>2.效益指标完成情况分析。</w:t>
      </w:r>
    </w:p>
    <w:p w14:paraId="447441B2">
      <w:pPr>
        <w:pStyle w:val="2"/>
        <w:numPr>
          <w:ilvl w:val="0"/>
          <w:numId w:val="0"/>
        </w:numPr>
        <w:bidi w:val="0"/>
        <w:rPr>
          <w:rFonts w:hint="eastAsia"/>
          <w:spacing w:val="9"/>
          <w:sz w:val="32"/>
          <w:szCs w:val="32"/>
          <w:lang w:eastAsia="zh-CN"/>
        </w:rPr>
      </w:pPr>
      <w:r>
        <w:rPr>
          <w:rFonts w:hint="eastAsia"/>
          <w:spacing w:val="9"/>
          <w:sz w:val="32"/>
          <w:szCs w:val="32"/>
          <w:lang w:eastAsia="zh-CN"/>
        </w:rPr>
        <w:t>（1）经济效益</w:t>
      </w:r>
    </w:p>
    <w:p w14:paraId="5767D2EF">
      <w:pPr>
        <w:pStyle w:val="2"/>
        <w:numPr>
          <w:ilvl w:val="0"/>
          <w:numId w:val="0"/>
        </w:numPr>
        <w:bidi w:val="0"/>
        <w:ind w:firstLine="676" w:firstLineChars="200"/>
        <w:rPr>
          <w:rFonts w:hint="eastAsia"/>
          <w:spacing w:val="9"/>
          <w:sz w:val="32"/>
          <w:szCs w:val="32"/>
          <w:lang w:eastAsia="zh-CN"/>
        </w:rPr>
      </w:pPr>
      <w:r>
        <w:rPr>
          <w:rFonts w:hint="eastAsia"/>
          <w:spacing w:val="9"/>
          <w:sz w:val="32"/>
          <w:szCs w:val="32"/>
          <w:lang w:eastAsia="zh-CN"/>
        </w:rPr>
        <w:t>通过解决就业困难群体再就业、新增城镇就业人数、新增培训补贴人数等措施，提升就业率，提高人民收入水平。</w:t>
      </w:r>
    </w:p>
    <w:p w14:paraId="0F4CF58A">
      <w:pPr>
        <w:pStyle w:val="2"/>
        <w:numPr>
          <w:ilvl w:val="0"/>
          <w:numId w:val="0"/>
        </w:numPr>
        <w:bidi w:val="0"/>
        <w:rPr>
          <w:rFonts w:hint="eastAsia"/>
          <w:spacing w:val="9"/>
          <w:sz w:val="32"/>
          <w:szCs w:val="32"/>
          <w:lang w:eastAsia="zh-CN"/>
        </w:rPr>
      </w:pPr>
      <w:r>
        <w:rPr>
          <w:rFonts w:hint="eastAsia"/>
          <w:spacing w:val="9"/>
          <w:sz w:val="32"/>
          <w:szCs w:val="32"/>
          <w:lang w:eastAsia="zh-CN"/>
        </w:rPr>
        <w:t>（2）社会效益</w:t>
      </w:r>
    </w:p>
    <w:p w14:paraId="5259912F">
      <w:pPr>
        <w:pStyle w:val="2"/>
        <w:numPr>
          <w:ilvl w:val="0"/>
          <w:numId w:val="0"/>
        </w:numPr>
        <w:bidi w:val="0"/>
        <w:ind w:firstLine="676" w:firstLineChars="200"/>
        <w:rPr>
          <w:rFonts w:hint="eastAsia"/>
          <w:spacing w:val="9"/>
          <w:sz w:val="32"/>
          <w:szCs w:val="32"/>
          <w:lang w:eastAsia="zh-CN"/>
        </w:rPr>
      </w:pPr>
      <w:r>
        <w:rPr>
          <w:rFonts w:hint="eastAsia"/>
          <w:spacing w:val="9"/>
          <w:sz w:val="32"/>
          <w:szCs w:val="32"/>
          <w:lang w:eastAsia="zh-CN"/>
        </w:rPr>
        <w:t>本年通过推进“大众创业 万众创新”，以创新引领创业，以创业带动就业，开展职业技能提升行动等多项就业服务工作，无因就业问题发生重大群体性事件，推进社会和谐稳定发展。</w:t>
      </w:r>
    </w:p>
    <w:p w14:paraId="5B943EB1">
      <w:pPr>
        <w:pStyle w:val="2"/>
        <w:numPr>
          <w:ilvl w:val="0"/>
          <w:numId w:val="0"/>
        </w:numPr>
        <w:bidi w:val="0"/>
        <w:ind w:firstLine="676" w:firstLineChars="200"/>
        <w:rPr>
          <w:rFonts w:hint="eastAsia"/>
          <w:spacing w:val="9"/>
          <w:sz w:val="32"/>
          <w:szCs w:val="32"/>
          <w:lang w:eastAsia="zh-CN"/>
        </w:rPr>
      </w:pPr>
    </w:p>
    <w:p w14:paraId="7733F591">
      <w:pPr>
        <w:pStyle w:val="2"/>
        <w:numPr>
          <w:ilvl w:val="0"/>
          <w:numId w:val="0"/>
        </w:numPr>
        <w:bidi w:val="0"/>
        <w:rPr>
          <w:rFonts w:hint="eastAsia"/>
          <w:spacing w:val="9"/>
          <w:sz w:val="32"/>
          <w:szCs w:val="32"/>
          <w:lang w:eastAsia="zh-CN"/>
        </w:rPr>
      </w:pPr>
      <w:r>
        <w:rPr>
          <w:rFonts w:hint="eastAsia"/>
          <w:spacing w:val="9"/>
          <w:sz w:val="32"/>
          <w:szCs w:val="32"/>
          <w:lang w:eastAsia="zh-CN"/>
        </w:rPr>
        <w:t>3.满意度指标完成情况分析。</w:t>
      </w:r>
    </w:p>
    <w:p w14:paraId="0B7A7D8E">
      <w:pPr>
        <w:pStyle w:val="2"/>
        <w:numPr>
          <w:ilvl w:val="0"/>
          <w:numId w:val="0"/>
        </w:numPr>
        <w:bidi w:val="0"/>
        <w:ind w:firstLine="676" w:firstLineChars="200"/>
        <w:rPr>
          <w:spacing w:val="9"/>
          <w:sz w:val="32"/>
          <w:szCs w:val="32"/>
          <w:lang w:eastAsia="zh-CN"/>
        </w:rPr>
      </w:pPr>
      <w:r>
        <w:rPr>
          <w:rFonts w:hint="eastAsia"/>
          <w:spacing w:val="9"/>
          <w:sz w:val="32"/>
          <w:szCs w:val="32"/>
          <w:lang w:eastAsia="zh-CN"/>
        </w:rPr>
        <w:t>今年实施就业优先政策，坚持稳岗、减负、扩就业并举落实积极的就业政策，鼓励区域用工主体积极吸纳就业，鼓励劳动者转移就业。开展各类就业帮扶活动，建立领导联企服务机制，帮助企业打通购销堵点，化解劳资纠纷，解决用工和资金等问题。达到公共就业服务满意度100%，就业扶持政策经办满意度100%。</w:t>
      </w:r>
    </w:p>
    <w:p w14:paraId="14C0929C">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4A6D8909">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（一）预算执行存在偏差。由于年初预算安排经费不准确，本年度许多专项工作需要申请调整预算，导致预算编制与实际情况存在偏差。</w:t>
      </w:r>
    </w:p>
    <w:p w14:paraId="16775164">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（二）内部控制制度不够完善，部门的内控制度中业务层面的管理制度操作性不强，业务层面的风险点和防控措施针对性全面性也不强。</w:t>
      </w:r>
    </w:p>
    <w:p w14:paraId="1B4D8ADA">
      <w:pPr>
        <w:numPr>
          <w:ilvl w:val="0"/>
          <w:numId w:val="5"/>
        </w:num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财务管理方面存在不规范的问题。一是单据填写不够规范、不够明细；二是财务手续不够完善；三是费用支出管理不够严格，结账不够及时，累计结账现象时有发生。</w:t>
      </w:r>
    </w:p>
    <w:p w14:paraId="5666AF5A">
      <w:pPr>
        <w:numPr>
          <w:ilvl w:val="0"/>
          <w:numId w:val="0"/>
        </w:numPr>
        <w:spacing w:line="600" w:lineRule="exact"/>
        <w:ind w:firstLine="588" w:firstLineChars="200"/>
        <w:rPr>
          <w:sz w:val="32"/>
          <w:szCs w:val="32"/>
          <w:lang w:eastAsia="zh-CN"/>
        </w:rPr>
      </w:pPr>
      <w:r>
        <w:rPr>
          <w:rFonts w:ascii="黑体" w:hAnsi="黑体" w:eastAsia="黑体" w:cs="黑体"/>
          <w:spacing w:val="-13"/>
          <w:sz w:val="32"/>
          <w:szCs w:val="32"/>
          <w:lang w:eastAsia="zh-CN"/>
        </w:rPr>
        <w:t>八、下一步改进措施</w:t>
      </w:r>
    </w:p>
    <w:p w14:paraId="3C6FEC11">
      <w:pPr>
        <w:numPr>
          <w:ilvl w:val="0"/>
          <w:numId w:val="0"/>
        </w:num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1、强化预算管理，提高单位预算执行力度。进一步加强各单位的预算资金管理，减少预算资金使用的随意性，提高预算资金使用效率。</w:t>
      </w:r>
    </w:p>
    <w:p w14:paraId="16E44D06">
      <w:pPr>
        <w:numPr>
          <w:ilvl w:val="0"/>
          <w:numId w:val="0"/>
        </w:num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认真学习贯彻省委、市委、县委关于落实中央八项规定有关会议和文件精神，提高思想认识，提高政治站位，提高理解执行力，以“作风建设永远在路上”的执着，强力推进内审和整改工作落实，促进单位内部控制建设工作。</w:t>
      </w:r>
    </w:p>
    <w:p w14:paraId="685AE516">
      <w:pPr>
        <w:numPr>
          <w:ilvl w:val="0"/>
          <w:numId w:val="0"/>
        </w:num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3、加强新会计制度和新预算法的学习培训，规范账务处理。</w:t>
      </w:r>
    </w:p>
    <w:p w14:paraId="4BC9D9D7">
      <w:pPr>
        <w:numPr>
          <w:ilvl w:val="0"/>
          <w:numId w:val="0"/>
        </w:num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4、就业工作事关全县人民的利益，涉及面广，工作量大，影响广泛，希望财政加大财力支持。</w:t>
      </w:r>
    </w:p>
    <w:p w14:paraId="5FEF9BE1">
      <w:pPr>
        <w:numPr>
          <w:ilvl w:val="0"/>
          <w:numId w:val="0"/>
        </w:numPr>
        <w:spacing w:line="600" w:lineRule="exact"/>
        <w:ind w:firstLine="640" w:firstLineChars="200"/>
        <w:rPr>
          <w:rFonts w:hint="eastAsia" w:ascii="仿宋_GB2312" w:hAnsi="仿宋_GB2312" w:eastAsia="仿宋_GB2312" w:cs="仿宋_GB2312"/>
          <w:sz w:val="32"/>
          <w:szCs w:val="32"/>
          <w:lang w:eastAsia="zh-CN"/>
        </w:rPr>
      </w:pPr>
    </w:p>
    <w:p w14:paraId="7C724AFF">
      <w:pPr>
        <w:numPr>
          <w:ilvl w:val="0"/>
          <w:numId w:val="0"/>
        </w:numPr>
        <w:spacing w:line="600" w:lineRule="exact"/>
        <w:ind w:firstLine="640" w:firstLineChars="200"/>
        <w:rPr>
          <w:rFonts w:hint="eastAsia" w:ascii="仿宋_GB2312" w:hAnsi="仿宋_GB2312" w:eastAsia="仿宋_GB2312" w:cs="仿宋_GB2312"/>
          <w:sz w:val="32"/>
          <w:szCs w:val="32"/>
          <w:lang w:eastAsia="zh-CN"/>
        </w:rPr>
      </w:pPr>
    </w:p>
    <w:p w14:paraId="16130F64">
      <w:pPr>
        <w:numPr>
          <w:ilvl w:val="0"/>
          <w:numId w:val="0"/>
        </w:numPr>
        <w:spacing w:line="600" w:lineRule="exact"/>
        <w:ind w:firstLine="640" w:firstLineChars="200"/>
        <w:rPr>
          <w:rFonts w:hint="eastAsia" w:ascii="仿宋_GB2312" w:hAnsi="仿宋_GB2312" w:eastAsia="仿宋_GB2312" w:cs="仿宋_GB2312"/>
          <w:sz w:val="32"/>
          <w:szCs w:val="32"/>
          <w:lang w:eastAsia="zh-CN"/>
        </w:rPr>
      </w:pPr>
    </w:p>
    <w:p w14:paraId="64AC56F7">
      <w:pPr>
        <w:numPr>
          <w:ilvl w:val="0"/>
          <w:numId w:val="0"/>
        </w:numPr>
        <w:spacing w:line="600" w:lineRule="exact"/>
        <w:ind w:firstLine="640" w:firstLineChars="200"/>
        <w:rPr>
          <w:rFonts w:hint="eastAsia" w:ascii="仿宋_GB2312" w:hAnsi="仿宋_GB2312" w:eastAsia="仿宋_GB2312" w:cs="仿宋_GB2312"/>
          <w:sz w:val="32"/>
          <w:szCs w:val="32"/>
          <w:lang w:eastAsia="zh-CN"/>
        </w:rPr>
      </w:pPr>
    </w:p>
    <w:p w14:paraId="58FB451E">
      <w:pPr>
        <w:numPr>
          <w:ilvl w:val="0"/>
          <w:numId w:val="0"/>
        </w:numPr>
        <w:spacing w:line="600" w:lineRule="exact"/>
        <w:ind w:firstLine="640" w:firstLineChars="200"/>
        <w:rPr>
          <w:rFonts w:hint="eastAsia" w:ascii="仿宋_GB2312" w:hAnsi="仿宋_GB2312" w:eastAsia="仿宋_GB2312" w:cs="仿宋_GB2312"/>
          <w:sz w:val="32"/>
          <w:szCs w:val="32"/>
          <w:lang w:eastAsia="zh-CN"/>
        </w:rPr>
      </w:pPr>
    </w:p>
    <w:p w14:paraId="264E38DE">
      <w:pPr>
        <w:numPr>
          <w:ilvl w:val="0"/>
          <w:numId w:val="0"/>
        </w:numPr>
        <w:spacing w:line="600" w:lineRule="exact"/>
        <w:ind w:firstLine="640" w:firstLineChars="200"/>
        <w:rPr>
          <w:rFonts w:hint="eastAsia" w:ascii="仿宋_GB2312" w:hAnsi="仿宋_GB2312" w:eastAsia="仿宋_GB2312" w:cs="仿宋_GB2312"/>
          <w:sz w:val="32"/>
          <w:szCs w:val="32"/>
          <w:lang w:eastAsia="zh-CN"/>
        </w:rPr>
      </w:pPr>
    </w:p>
    <w:p w14:paraId="04649615">
      <w:pPr>
        <w:numPr>
          <w:ilvl w:val="0"/>
          <w:numId w:val="0"/>
        </w:numPr>
        <w:spacing w:line="600" w:lineRule="exact"/>
        <w:ind w:firstLine="640" w:firstLineChars="200"/>
        <w:rPr>
          <w:rFonts w:hint="eastAsia" w:ascii="仿宋_GB2312" w:hAnsi="仿宋_GB2312" w:eastAsia="仿宋_GB2312" w:cs="仿宋_GB2312"/>
          <w:sz w:val="32"/>
          <w:szCs w:val="32"/>
          <w:lang w:eastAsia="zh-CN"/>
        </w:rPr>
      </w:pPr>
    </w:p>
    <w:p w14:paraId="4F5067E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F5D5E"/>
    <w:multiLevelType w:val="singleLevel"/>
    <w:tmpl w:val="A20F5D5E"/>
    <w:lvl w:ilvl="0" w:tentative="0">
      <w:start w:val="2"/>
      <w:numFmt w:val="chineseCounting"/>
      <w:lvlText w:val="(%1)"/>
      <w:lvlJc w:val="left"/>
      <w:pPr>
        <w:tabs>
          <w:tab w:val="left" w:pos="312"/>
        </w:tabs>
      </w:pPr>
      <w:rPr>
        <w:rFonts w:hint="eastAsia"/>
      </w:rPr>
    </w:lvl>
  </w:abstractNum>
  <w:abstractNum w:abstractNumId="1">
    <w:nsid w:val="24B16F84"/>
    <w:multiLevelType w:val="singleLevel"/>
    <w:tmpl w:val="24B16F84"/>
    <w:lvl w:ilvl="0" w:tentative="0">
      <w:start w:val="3"/>
      <w:numFmt w:val="chineseCounting"/>
      <w:lvlText w:val="(%1)"/>
      <w:lvlJc w:val="left"/>
      <w:pPr>
        <w:tabs>
          <w:tab w:val="left" w:pos="312"/>
        </w:tabs>
      </w:pPr>
      <w:rPr>
        <w:rFonts w:hint="eastAsia"/>
      </w:rPr>
    </w:lvl>
  </w:abstractNum>
  <w:abstractNum w:abstractNumId="2">
    <w:nsid w:val="3812915A"/>
    <w:multiLevelType w:val="singleLevel"/>
    <w:tmpl w:val="3812915A"/>
    <w:lvl w:ilvl="0" w:tentative="0">
      <w:start w:val="2"/>
      <w:numFmt w:val="decimal"/>
      <w:lvlText w:val="%1."/>
      <w:lvlJc w:val="left"/>
      <w:pPr>
        <w:tabs>
          <w:tab w:val="left" w:pos="312"/>
        </w:tabs>
      </w:pPr>
    </w:lvl>
  </w:abstractNum>
  <w:abstractNum w:abstractNumId="3">
    <w:nsid w:val="548689AF"/>
    <w:multiLevelType w:val="singleLevel"/>
    <w:tmpl w:val="548689AF"/>
    <w:lvl w:ilvl="0" w:tentative="0">
      <w:start w:val="2"/>
      <w:numFmt w:val="chineseCounting"/>
      <w:lvlText w:val="(%1)"/>
      <w:lvlJc w:val="left"/>
      <w:pPr>
        <w:tabs>
          <w:tab w:val="left" w:pos="312"/>
        </w:tabs>
      </w:pPr>
      <w:rPr>
        <w:rFonts w:hint="eastAsia"/>
      </w:rPr>
    </w:lvl>
  </w:abstractNum>
  <w:abstractNum w:abstractNumId="4">
    <w:nsid w:val="79FF412D"/>
    <w:multiLevelType w:val="singleLevel"/>
    <w:tmpl w:val="79FF412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mNGYyOTVjYWQwNTdkMjMzOGE5YTUwMzU1NjEyYzEifQ=="/>
  </w:docVars>
  <w:rsids>
    <w:rsidRoot w:val="76DA3485"/>
    <w:rsid w:val="76DA3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仿宋" w:hAnsi="仿宋" w:eastAsia="仿宋" w:cs="仿宋"/>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2024-11-19T02:16:00Z</dcterms:created>
  <dc:creator>Administrator</dc:creator>
  <cp:lastModifiedBy>Administrator</cp:lastModifiedBy>
  <dcterms:modified xsi:type="dcterms:W3CDTF">2024-11-19T02:17:00Z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23127B3C163D441385609E67692EB084_11</vt:lpwstr>
  </property>
</Properties>
</file>