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7C274">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855" w:firstLineChars="200"/>
        <w:jc w:val="center"/>
        <w:textAlignment w:val="baseline"/>
        <w:rPr>
          <w:rFonts w:hint="eastAsia" w:ascii="宋体" w:hAnsi="宋体" w:eastAsia="宋体" w:cs="宋体"/>
          <w:b/>
          <w:bCs/>
          <w:spacing w:val="-7"/>
          <w:sz w:val="44"/>
          <w:szCs w:val="44"/>
          <w:lang w:eastAsia="zh-CN"/>
        </w:rPr>
      </w:pPr>
      <w:r>
        <w:rPr>
          <w:rFonts w:hint="eastAsia" w:ascii="宋体" w:hAnsi="宋体" w:eastAsia="宋体" w:cs="宋体"/>
          <w:b/>
          <w:bCs/>
          <w:spacing w:val="-7"/>
          <w:sz w:val="44"/>
          <w:szCs w:val="44"/>
          <w:lang w:eastAsia="zh-CN"/>
        </w:rPr>
        <w:t>202</w:t>
      </w:r>
      <w:r>
        <w:rPr>
          <w:rFonts w:hint="eastAsia" w:ascii="宋体" w:hAnsi="宋体" w:eastAsia="宋体" w:cs="宋体"/>
          <w:b/>
          <w:bCs/>
          <w:spacing w:val="-7"/>
          <w:sz w:val="44"/>
          <w:szCs w:val="44"/>
          <w:lang w:val="en-US" w:eastAsia="zh-CN"/>
        </w:rPr>
        <w:t>3</w:t>
      </w:r>
      <w:r>
        <w:rPr>
          <w:rFonts w:hint="eastAsia" w:ascii="宋体" w:hAnsi="宋体" w:eastAsia="宋体" w:cs="宋体"/>
          <w:b/>
          <w:bCs/>
          <w:spacing w:val="-7"/>
          <w:sz w:val="44"/>
          <w:szCs w:val="44"/>
          <w:lang w:eastAsia="zh-CN"/>
        </w:rPr>
        <w:t>年度怀化市鹤城区市场监督管理局</w:t>
      </w:r>
    </w:p>
    <w:p w14:paraId="39E3391D">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855" w:firstLineChars="200"/>
        <w:jc w:val="center"/>
        <w:textAlignment w:val="baseline"/>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2AE137E8">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40" w:firstLineChars="200"/>
        <w:textAlignment w:val="baseline"/>
        <w:rPr>
          <w:sz w:val="32"/>
          <w:szCs w:val="32"/>
          <w:lang w:eastAsia="zh-CN"/>
        </w:rPr>
      </w:pPr>
    </w:p>
    <w:p w14:paraId="62BA7EEC">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03" w:firstLineChars="200"/>
        <w:textAlignment w:val="baseline"/>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0BD1DDF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84" w:firstLineChars="200"/>
        <w:textAlignment w:val="baseline"/>
        <w:rPr>
          <w:rFonts w:ascii="楷体" w:hAnsi="楷体" w:eastAsia="楷体" w:cs="楷体"/>
          <w:sz w:val="32"/>
          <w:szCs w:val="32"/>
          <w:lang w:eastAsia="zh-CN"/>
        </w:rPr>
      </w:pPr>
      <w:r>
        <w:rPr>
          <w:rFonts w:ascii="楷体" w:hAnsi="楷体" w:eastAsia="楷体" w:cs="楷体"/>
          <w:spacing w:val="11"/>
          <w:sz w:val="32"/>
          <w:szCs w:val="32"/>
          <w:lang w:eastAsia="zh-CN"/>
        </w:rPr>
        <w:t>(一)机构设置情况</w:t>
      </w:r>
    </w:p>
    <w:p w14:paraId="1A23D445">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eastAsia" w:ascii="仿宋" w:hAnsi="仿宋" w:eastAsia="仿宋" w:cs="仿宋"/>
          <w:spacing w:val="8"/>
          <w:sz w:val="32"/>
          <w:szCs w:val="32"/>
          <w:lang w:eastAsia="zh-CN"/>
        </w:rPr>
      </w:pPr>
      <w:r>
        <w:rPr>
          <w:rFonts w:hint="eastAsia" w:ascii="仿宋" w:hAnsi="仿宋" w:eastAsia="仿宋" w:cs="仿宋"/>
          <w:spacing w:val="-2"/>
          <w:sz w:val="32"/>
          <w:szCs w:val="32"/>
        </w:rPr>
        <w:t>怀化市鹤城区市场监督管理局是区政府直属机构，加挂区知识产权局牌子。</w:t>
      </w:r>
    </w:p>
    <w:p w14:paraId="46F73D63">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spacing w:val="8"/>
          <w:sz w:val="32"/>
          <w:szCs w:val="32"/>
          <w:lang w:eastAsia="zh-CN"/>
        </w:rPr>
      </w:pPr>
      <w:r>
        <w:rPr>
          <w:rFonts w:hint="eastAsia" w:ascii="仿宋" w:hAnsi="仿宋" w:eastAsia="仿宋" w:cs="仿宋"/>
          <w:spacing w:val="8"/>
          <w:sz w:val="32"/>
          <w:szCs w:val="32"/>
          <w:lang w:eastAsia="zh-CN"/>
        </w:rPr>
        <w:t>区局设有十八个内设股室：办公室、政策法规股、信用监督管理股、价格监督检查和反不正当竞争股、网络交易监督管理股（市场专项治理办公室）、知识产权广告监督管理股、产品质量安全发展监督管理股、食品安全协调股、食品安全监督管理股、餐饮食品安全监督管理股、特种设备安全监察股、标准计量监督管理股、消费者权益保护股（投诉举报办公室）、药品医疗器械监督管理股、化妆品监督管理股、登记注册股（小微企业个体工商户专业市场党建工作办公室）、科技和财务股、人事股（离退休人员管理服务股）。</w:t>
      </w:r>
    </w:p>
    <w:p w14:paraId="5385CB10">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spacing w:val="8"/>
          <w:sz w:val="32"/>
          <w:szCs w:val="32"/>
          <w:lang w:eastAsia="zh-CN"/>
        </w:rPr>
      </w:pPr>
      <w:r>
        <w:rPr>
          <w:rFonts w:hint="eastAsia" w:ascii="仿宋" w:hAnsi="仿宋" w:eastAsia="仿宋" w:cs="仿宋"/>
          <w:spacing w:val="8"/>
          <w:sz w:val="32"/>
          <w:szCs w:val="32"/>
          <w:lang w:eastAsia="zh-CN"/>
        </w:rPr>
        <w:t>三个二级事业单位：信息中心、个体私营经济发展指导中心、消费者权益保护委员会秘书室。</w:t>
      </w:r>
    </w:p>
    <w:p w14:paraId="36BEC66B">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spacing w:val="8"/>
          <w:sz w:val="32"/>
          <w:szCs w:val="32"/>
          <w:lang w:eastAsia="zh-CN"/>
        </w:rPr>
      </w:pPr>
      <w:r>
        <w:rPr>
          <w:rFonts w:hint="eastAsia" w:ascii="仿宋" w:hAnsi="仿宋" w:eastAsia="仿宋" w:cs="仿宋"/>
          <w:spacing w:val="8"/>
          <w:sz w:val="32"/>
          <w:szCs w:val="32"/>
          <w:lang w:eastAsia="zh-CN"/>
        </w:rPr>
        <w:t>十个派出市场监督管理所：盈口乡市场监督管理所、凉亭坳乡市场监督管理所、黄金坳镇市场监督管理所、黄岩旅游度假区市场监督管理所、城中街道市场监督管理所、城北街道市场监督管理所、城南街道市场监督管理所、红星街道市场监督管理所、迎丰街道市场监督管理所、坨院街道市场监督管理所。</w:t>
      </w:r>
    </w:p>
    <w:p w14:paraId="056CEC52">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2" w:firstLineChars="200"/>
        <w:textAlignment w:val="baseline"/>
        <w:rPr>
          <w:rFonts w:ascii="楷体" w:hAnsi="楷体" w:eastAsia="楷体" w:cs="楷体"/>
          <w:sz w:val="32"/>
          <w:szCs w:val="32"/>
          <w:lang w:eastAsia="zh-CN"/>
        </w:rPr>
      </w:pPr>
      <w:r>
        <w:rPr>
          <w:rFonts w:ascii="楷体" w:hAnsi="楷体" w:eastAsia="楷体" w:cs="楷体"/>
          <w:spacing w:val="8"/>
          <w:sz w:val="32"/>
          <w:szCs w:val="32"/>
          <w:lang w:eastAsia="zh-CN"/>
        </w:rPr>
        <w:t>(二)人员编制情况</w:t>
      </w:r>
    </w:p>
    <w:p w14:paraId="747E1DBE">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2" w:firstLineChars="200"/>
        <w:textAlignment w:val="baseline"/>
        <w:rPr>
          <w:rFonts w:hint="eastAsia" w:ascii="仿宋" w:hAnsi="仿宋" w:eastAsia="仿宋" w:cs="仿宋"/>
          <w:spacing w:val="8"/>
          <w:sz w:val="32"/>
          <w:szCs w:val="32"/>
          <w:highlight w:val="none"/>
          <w:lang w:eastAsia="zh-CN"/>
        </w:rPr>
      </w:pPr>
      <w:r>
        <w:rPr>
          <w:rFonts w:hint="eastAsia" w:ascii="仿宋" w:hAnsi="仿宋" w:eastAsia="仿宋" w:cs="仿宋"/>
          <w:spacing w:val="8"/>
          <w:sz w:val="32"/>
          <w:szCs w:val="32"/>
          <w:highlight w:val="none"/>
          <w:lang w:val="en-US" w:eastAsia="zh-CN"/>
        </w:rPr>
        <w:t>2023年核定编制人数共176人，实际在职人数144人，其中：行政编制数99名，实有人员98人；非参公事业编制数77名，实有人员46人。</w:t>
      </w:r>
    </w:p>
    <w:p w14:paraId="3DEB65B4">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80" w:firstLineChars="200"/>
        <w:textAlignment w:val="baseline"/>
        <w:rPr>
          <w:rFonts w:ascii="楷体" w:hAnsi="楷体" w:eastAsia="楷体" w:cs="楷体"/>
          <w:sz w:val="32"/>
          <w:szCs w:val="32"/>
          <w:lang w:eastAsia="zh-CN"/>
        </w:rPr>
      </w:pPr>
      <w:r>
        <w:rPr>
          <w:rFonts w:ascii="楷体" w:hAnsi="楷体" w:eastAsia="楷体" w:cs="楷体"/>
          <w:spacing w:val="10"/>
          <w:sz w:val="32"/>
          <w:szCs w:val="32"/>
          <w:lang w:eastAsia="zh-CN"/>
        </w:rPr>
        <w:t>(三)主要职能职责</w:t>
      </w:r>
    </w:p>
    <w:p w14:paraId="2C7CF2B2">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1.负责市场综合监督管理。</w:t>
      </w:r>
    </w:p>
    <w:p w14:paraId="4077916F">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2.负责市场主体统一登记注册和行政许可。建立市场主体信息公示和共享机制。</w:t>
      </w:r>
    </w:p>
    <w:p w14:paraId="7B20EFE7">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3.负责组织和指导市场监管综合执法工作。</w:t>
      </w:r>
    </w:p>
    <w:p w14:paraId="39906C6D">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4.负责反垄断工作，统筹推进竞争政策实施，组织实施公平竞争审查制度。</w:t>
      </w:r>
    </w:p>
    <w:p w14:paraId="66A6460E">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5.负责监督管理市场秩序。</w:t>
      </w:r>
    </w:p>
    <w:p w14:paraId="697029E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6.负责宏观质量管理。</w:t>
      </w:r>
    </w:p>
    <w:p w14:paraId="7969A674">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7.负责产品质量安全监督管理。</w:t>
      </w:r>
    </w:p>
    <w:p w14:paraId="1620255F">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8.负责特种设备安全监督管理。综合管理特种设备安全监察、监督工作。</w:t>
      </w:r>
    </w:p>
    <w:p w14:paraId="7F0CBFD4">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9.负责食品安全监督管理综合协调。</w:t>
      </w:r>
    </w:p>
    <w:p w14:paraId="24F6E1F1">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10.负责食品安全监督管理。</w:t>
      </w:r>
    </w:p>
    <w:p w14:paraId="223DCB4A">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11.负责统一管理计量工作。</w:t>
      </w:r>
    </w:p>
    <w:p w14:paraId="4DFEA5F2">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12.负责统一管理标准化工作。</w:t>
      </w:r>
    </w:p>
    <w:p w14:paraId="04729C0B">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13.负责统一管理检验检测工作。</w:t>
      </w:r>
    </w:p>
    <w:p w14:paraId="0569F86F">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14.负责统一管理、监督和综合协调全区认证认可工作。</w:t>
      </w:r>
    </w:p>
    <w:p w14:paraId="3AECDAE8">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15.负责市场监督管理、知识产权领域科技和信息化建设、新闻宣传、对外交流与合作。</w:t>
      </w:r>
    </w:p>
    <w:p w14:paraId="18741EF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16.负责实施知识产权战略，配合推进知识产权强省建设。</w:t>
      </w:r>
    </w:p>
    <w:p w14:paraId="456D80C4">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17.负责保护知识产权。</w:t>
      </w:r>
    </w:p>
    <w:p w14:paraId="718CC938">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18.负责知识产权创造运用。</w:t>
      </w:r>
    </w:p>
    <w:p w14:paraId="0E768CCF">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19.负责组织开展有关服务领域消费维权工作，查处制售假冒伪劣等违法行为，指导消费者咨询、申诉、举报受理处理和网络体系建设等工作，保护经营者、消费者合法权益。拟定全区商品质量监测和抽检计划并组织实施。</w:t>
      </w:r>
    </w:p>
    <w:p w14:paraId="7A3CE426">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20.负责药品(含中药、民族药，下同)、医疗器械和化妆品安全监督管理。</w:t>
      </w:r>
    </w:p>
    <w:p w14:paraId="27A2267C">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21.监督实施药品、医疗器械、化妆品分类管理制度，配合有关部门实施国家基本药物制度。</w:t>
      </w:r>
    </w:p>
    <w:p w14:paraId="4C3760E5">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22.负责药品、医疗器械和化妆品质量管理。</w:t>
      </w:r>
    </w:p>
    <w:p w14:paraId="5E372CBC">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23.负责药品、医疗器械和化妆品上市后风险管理。</w:t>
      </w:r>
    </w:p>
    <w:p w14:paraId="1C217775">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24.负责组织实施药品、医疗器械和化妆品监督检查。</w:t>
      </w:r>
    </w:p>
    <w:p w14:paraId="42B7F04F">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25.负责职责范围内食品药品行业安全生产工作。</w:t>
      </w:r>
    </w:p>
    <w:p w14:paraId="4B8B3736">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eastAsia="zh-CN"/>
        </w:rPr>
      </w:pPr>
      <w:r>
        <w:rPr>
          <w:rFonts w:hint="eastAsia" w:ascii="仿宋" w:hAnsi="仿宋" w:eastAsia="仿宋" w:cs="仿宋"/>
          <w:b w:val="0"/>
          <w:bCs w:val="0"/>
          <w:spacing w:val="9"/>
          <w:sz w:val="32"/>
          <w:szCs w:val="32"/>
          <w:lang w:eastAsia="zh-CN"/>
        </w:rPr>
        <w:t>26.完成区委、区政府交办的其他任务。</w:t>
      </w:r>
    </w:p>
    <w:p w14:paraId="75790636">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ascii="楷体" w:hAnsi="楷体" w:eastAsia="楷体" w:cs="楷体"/>
          <w:sz w:val="32"/>
          <w:szCs w:val="32"/>
          <w:lang w:eastAsia="zh-CN"/>
        </w:rPr>
      </w:pPr>
      <w:r>
        <w:rPr>
          <w:rFonts w:ascii="楷体" w:hAnsi="楷体" w:eastAsia="楷体" w:cs="楷体"/>
          <w:spacing w:val="9"/>
          <w:sz w:val="32"/>
          <w:szCs w:val="32"/>
          <w:lang w:eastAsia="zh-CN"/>
        </w:rPr>
        <w:t>(四)绩效目标设定情况</w:t>
      </w:r>
    </w:p>
    <w:p w14:paraId="4176ABDA">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eastAsia" w:ascii="仿宋" w:hAnsi="仿宋" w:eastAsia="仿宋" w:cs="仿宋"/>
          <w:b w:val="0"/>
          <w:bCs w:val="0"/>
          <w:spacing w:val="9"/>
          <w:sz w:val="32"/>
          <w:szCs w:val="32"/>
          <w:lang w:val="en-US" w:eastAsia="zh-CN"/>
        </w:rPr>
      </w:pPr>
      <w:r>
        <w:rPr>
          <w:rFonts w:hint="eastAsia" w:ascii="仿宋" w:hAnsi="仿宋" w:eastAsia="仿宋" w:cs="仿宋"/>
          <w:b w:val="0"/>
          <w:bCs w:val="0"/>
          <w:spacing w:val="9"/>
          <w:sz w:val="32"/>
          <w:szCs w:val="32"/>
          <w:lang w:val="en-US" w:eastAsia="zh-CN"/>
        </w:rPr>
        <w:t>全面落实省局、市局和区委、区政府各项工作部署，坚持以深化改革为动力、以问题导向为统领、以法治建设为基础、以能力建设为保障，紧紧围绕“医药产业有发展、食药安全有保障”这一核心目标，全力打好“机构改革、专项治理、监管创新、队伍建设”四大战役，立足新起点、适应新常态、履行新职责、谋求新发展，统筹推进各项工作，切实保障公众饮食用药安全。以服务怀化鹤城区经济发展为目标，推进产业转型升级。建立“大质量”工作机制，创新监管方式，将职能下移、服务前移，变“监管”为“服务”。以市场监管职能为抓手，保障民生民利。大力推进商事制度改革。全面加强市场监管综合行政执法工作，建立健全综合行政执法队伍。</w:t>
      </w:r>
    </w:p>
    <w:p w14:paraId="0144FC0C">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583" w:firstLineChars="200"/>
        <w:textAlignment w:val="baseline"/>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1DE32BA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44" w:firstLineChars="200"/>
        <w:textAlignment w:val="baseline"/>
        <w:rPr>
          <w:rFonts w:ascii="楷体" w:hAnsi="楷体" w:eastAsia="楷体" w:cs="楷体"/>
          <w:sz w:val="32"/>
          <w:szCs w:val="32"/>
          <w:lang w:eastAsia="zh-CN"/>
        </w:rPr>
      </w:pPr>
      <w:r>
        <w:rPr>
          <w:rFonts w:ascii="楷体" w:hAnsi="楷体" w:eastAsia="楷体" w:cs="楷体"/>
          <w:spacing w:val="1"/>
          <w:sz w:val="32"/>
          <w:szCs w:val="32"/>
          <w:lang w:eastAsia="zh-CN"/>
        </w:rPr>
        <w:t>(一)预算执行、使用、管理总体情况。</w:t>
      </w:r>
    </w:p>
    <w:p w14:paraId="0F2F4CF2">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default" w:ascii="仿宋" w:hAnsi="仿宋" w:eastAsia="仿宋" w:cs="仿宋"/>
          <w:b w:val="0"/>
          <w:bCs w:val="0"/>
          <w:spacing w:val="9"/>
          <w:sz w:val="32"/>
          <w:szCs w:val="32"/>
          <w:lang w:val="en-US" w:eastAsia="zh-CN"/>
        </w:rPr>
      </w:pPr>
      <w:r>
        <w:rPr>
          <w:rFonts w:hint="default" w:ascii="仿宋" w:hAnsi="仿宋" w:eastAsia="仿宋" w:cs="仿宋"/>
          <w:b w:val="0"/>
          <w:bCs w:val="0"/>
          <w:spacing w:val="9"/>
          <w:sz w:val="32"/>
          <w:szCs w:val="32"/>
          <w:lang w:val="en-US" w:eastAsia="zh-CN"/>
        </w:rPr>
        <w:t>202</w:t>
      </w:r>
      <w:r>
        <w:rPr>
          <w:rFonts w:hint="eastAsia" w:ascii="仿宋" w:hAnsi="仿宋" w:eastAsia="仿宋" w:cs="仿宋"/>
          <w:b w:val="0"/>
          <w:bCs w:val="0"/>
          <w:spacing w:val="9"/>
          <w:sz w:val="32"/>
          <w:szCs w:val="32"/>
          <w:lang w:val="en-US" w:eastAsia="zh-CN"/>
        </w:rPr>
        <w:t>3</w:t>
      </w:r>
      <w:r>
        <w:rPr>
          <w:rFonts w:hint="default" w:ascii="仿宋" w:hAnsi="仿宋" w:eastAsia="仿宋" w:cs="仿宋"/>
          <w:b w:val="0"/>
          <w:bCs w:val="0"/>
          <w:spacing w:val="9"/>
          <w:sz w:val="32"/>
          <w:szCs w:val="32"/>
          <w:lang w:val="en-US" w:eastAsia="zh-CN"/>
        </w:rPr>
        <w:t>年度资金来源方面：</w:t>
      </w:r>
    </w:p>
    <w:p w14:paraId="667FDD6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default" w:ascii="仿宋" w:hAnsi="仿宋" w:eastAsia="仿宋" w:cs="仿宋"/>
          <w:b w:val="0"/>
          <w:bCs w:val="0"/>
          <w:spacing w:val="9"/>
          <w:sz w:val="32"/>
          <w:szCs w:val="32"/>
          <w:lang w:val="en-US" w:eastAsia="zh-CN"/>
        </w:rPr>
      </w:pPr>
      <w:r>
        <w:rPr>
          <w:rFonts w:hint="default" w:ascii="仿宋" w:hAnsi="仿宋" w:eastAsia="仿宋" w:cs="仿宋"/>
          <w:b w:val="0"/>
          <w:bCs w:val="0"/>
          <w:spacing w:val="9"/>
          <w:sz w:val="32"/>
          <w:szCs w:val="32"/>
          <w:lang w:val="en-US" w:eastAsia="zh-CN"/>
        </w:rPr>
        <w:t>全年预算数</w:t>
      </w:r>
      <w:r>
        <w:rPr>
          <w:rFonts w:hint="eastAsia" w:ascii="仿宋" w:hAnsi="仿宋" w:eastAsia="仿宋" w:cs="仿宋"/>
          <w:b w:val="0"/>
          <w:bCs w:val="0"/>
          <w:spacing w:val="9"/>
          <w:sz w:val="32"/>
          <w:szCs w:val="32"/>
          <w:lang w:val="en-US" w:eastAsia="zh-CN"/>
        </w:rPr>
        <w:t>2337.93</w:t>
      </w:r>
      <w:r>
        <w:rPr>
          <w:rFonts w:hint="default" w:ascii="仿宋" w:hAnsi="仿宋" w:eastAsia="仿宋" w:cs="仿宋"/>
          <w:b w:val="0"/>
          <w:bCs w:val="0"/>
          <w:spacing w:val="9"/>
          <w:sz w:val="32"/>
          <w:szCs w:val="32"/>
          <w:lang w:val="en-US" w:eastAsia="zh-CN"/>
        </w:rPr>
        <w:t>万元，其中财政拨款数</w:t>
      </w:r>
      <w:r>
        <w:rPr>
          <w:rFonts w:hint="eastAsia" w:ascii="仿宋" w:hAnsi="仿宋" w:eastAsia="仿宋" w:cs="仿宋"/>
          <w:b w:val="0"/>
          <w:bCs w:val="0"/>
          <w:spacing w:val="9"/>
          <w:sz w:val="32"/>
          <w:szCs w:val="32"/>
          <w:lang w:val="en-US" w:eastAsia="zh-CN"/>
        </w:rPr>
        <w:t>2332.53</w:t>
      </w:r>
      <w:r>
        <w:rPr>
          <w:rFonts w:hint="default" w:ascii="仿宋" w:hAnsi="仿宋" w:eastAsia="仿宋" w:cs="仿宋"/>
          <w:b w:val="0"/>
          <w:bCs w:val="0"/>
          <w:spacing w:val="9"/>
          <w:sz w:val="32"/>
          <w:szCs w:val="32"/>
          <w:lang w:val="en-US" w:eastAsia="zh-CN"/>
        </w:rPr>
        <w:t>万元，其他资金</w:t>
      </w:r>
      <w:r>
        <w:rPr>
          <w:rFonts w:hint="eastAsia" w:ascii="仿宋" w:hAnsi="仿宋" w:eastAsia="仿宋" w:cs="仿宋"/>
          <w:b w:val="0"/>
          <w:bCs w:val="0"/>
          <w:spacing w:val="9"/>
          <w:sz w:val="32"/>
          <w:szCs w:val="32"/>
          <w:lang w:val="en-US" w:eastAsia="zh-CN"/>
        </w:rPr>
        <w:t>5.4</w:t>
      </w:r>
      <w:r>
        <w:rPr>
          <w:rFonts w:hint="default" w:ascii="仿宋" w:hAnsi="仿宋" w:eastAsia="仿宋" w:cs="仿宋"/>
          <w:b w:val="0"/>
          <w:bCs w:val="0"/>
          <w:spacing w:val="9"/>
          <w:sz w:val="32"/>
          <w:szCs w:val="32"/>
          <w:lang w:val="en-US" w:eastAsia="zh-CN"/>
        </w:rPr>
        <w:t>万元；全年执行数</w:t>
      </w:r>
      <w:r>
        <w:rPr>
          <w:rFonts w:hint="eastAsia" w:ascii="仿宋" w:hAnsi="仿宋" w:eastAsia="仿宋" w:cs="仿宋"/>
          <w:b w:val="0"/>
          <w:bCs w:val="0"/>
          <w:spacing w:val="9"/>
          <w:sz w:val="32"/>
          <w:szCs w:val="32"/>
          <w:lang w:val="en-US" w:eastAsia="zh-CN"/>
        </w:rPr>
        <w:t>2337.93</w:t>
      </w:r>
      <w:r>
        <w:rPr>
          <w:rFonts w:hint="default" w:ascii="仿宋" w:hAnsi="仿宋" w:eastAsia="仿宋" w:cs="仿宋"/>
          <w:b w:val="0"/>
          <w:bCs w:val="0"/>
          <w:spacing w:val="9"/>
          <w:sz w:val="32"/>
          <w:szCs w:val="32"/>
          <w:lang w:val="en-US" w:eastAsia="zh-CN"/>
        </w:rPr>
        <w:t>万元，其中财政拨款</w:t>
      </w:r>
      <w:r>
        <w:rPr>
          <w:rFonts w:hint="eastAsia" w:ascii="仿宋" w:hAnsi="仿宋" w:eastAsia="仿宋" w:cs="仿宋"/>
          <w:b w:val="0"/>
          <w:bCs w:val="0"/>
          <w:spacing w:val="9"/>
          <w:sz w:val="32"/>
          <w:szCs w:val="32"/>
          <w:lang w:val="en-US" w:eastAsia="zh-CN"/>
        </w:rPr>
        <w:t>2332.53</w:t>
      </w:r>
      <w:r>
        <w:rPr>
          <w:rFonts w:hint="default" w:ascii="仿宋" w:hAnsi="仿宋" w:eastAsia="仿宋" w:cs="仿宋"/>
          <w:b w:val="0"/>
          <w:bCs w:val="0"/>
          <w:spacing w:val="9"/>
          <w:sz w:val="32"/>
          <w:szCs w:val="32"/>
          <w:lang w:val="en-US" w:eastAsia="zh-CN"/>
        </w:rPr>
        <w:t>万元，执行率100%，其他资金</w:t>
      </w:r>
      <w:r>
        <w:rPr>
          <w:rFonts w:hint="eastAsia" w:ascii="仿宋" w:hAnsi="仿宋" w:eastAsia="仿宋" w:cs="仿宋"/>
          <w:b w:val="0"/>
          <w:bCs w:val="0"/>
          <w:spacing w:val="9"/>
          <w:sz w:val="32"/>
          <w:szCs w:val="32"/>
          <w:lang w:val="en-US" w:eastAsia="zh-CN"/>
        </w:rPr>
        <w:t>5.4</w:t>
      </w:r>
      <w:r>
        <w:rPr>
          <w:rFonts w:hint="default" w:ascii="仿宋" w:hAnsi="仿宋" w:eastAsia="仿宋" w:cs="仿宋"/>
          <w:b w:val="0"/>
          <w:bCs w:val="0"/>
          <w:spacing w:val="9"/>
          <w:sz w:val="32"/>
          <w:szCs w:val="32"/>
          <w:lang w:val="en-US" w:eastAsia="zh-CN"/>
        </w:rPr>
        <w:t>万元，执行率100%。</w:t>
      </w:r>
    </w:p>
    <w:p w14:paraId="26B6F426">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default" w:ascii="仿宋" w:hAnsi="仿宋" w:eastAsia="仿宋" w:cs="仿宋"/>
          <w:b w:val="0"/>
          <w:bCs w:val="0"/>
          <w:spacing w:val="9"/>
          <w:sz w:val="32"/>
          <w:szCs w:val="32"/>
          <w:lang w:val="en-US" w:eastAsia="zh-CN"/>
        </w:rPr>
      </w:pPr>
      <w:r>
        <w:rPr>
          <w:rFonts w:hint="default" w:ascii="仿宋" w:hAnsi="仿宋" w:eastAsia="仿宋" w:cs="仿宋"/>
          <w:b w:val="0"/>
          <w:bCs w:val="0"/>
          <w:spacing w:val="9"/>
          <w:sz w:val="32"/>
          <w:szCs w:val="32"/>
          <w:lang w:val="en-US" w:eastAsia="zh-CN"/>
        </w:rPr>
        <w:t>202</w:t>
      </w:r>
      <w:r>
        <w:rPr>
          <w:rFonts w:hint="eastAsia" w:ascii="仿宋" w:hAnsi="仿宋" w:eastAsia="仿宋" w:cs="仿宋"/>
          <w:b w:val="0"/>
          <w:bCs w:val="0"/>
          <w:spacing w:val="9"/>
          <w:sz w:val="32"/>
          <w:szCs w:val="32"/>
          <w:lang w:val="en-US" w:eastAsia="zh-CN"/>
        </w:rPr>
        <w:t>3</w:t>
      </w:r>
      <w:r>
        <w:rPr>
          <w:rFonts w:hint="default" w:ascii="仿宋" w:hAnsi="仿宋" w:eastAsia="仿宋" w:cs="仿宋"/>
          <w:b w:val="0"/>
          <w:bCs w:val="0"/>
          <w:spacing w:val="9"/>
          <w:sz w:val="32"/>
          <w:szCs w:val="32"/>
          <w:lang w:val="en-US" w:eastAsia="zh-CN"/>
        </w:rPr>
        <w:t>年度资金结构方面：</w:t>
      </w:r>
    </w:p>
    <w:p w14:paraId="31519CD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default" w:ascii="仿宋" w:hAnsi="仿宋" w:eastAsia="仿宋" w:cs="仿宋"/>
          <w:b w:val="0"/>
          <w:bCs w:val="0"/>
          <w:spacing w:val="9"/>
          <w:sz w:val="32"/>
          <w:szCs w:val="32"/>
          <w:lang w:val="en-US" w:eastAsia="zh-CN"/>
        </w:rPr>
      </w:pPr>
      <w:r>
        <w:rPr>
          <w:rFonts w:hint="default" w:ascii="仿宋" w:hAnsi="仿宋" w:eastAsia="仿宋" w:cs="仿宋"/>
          <w:b w:val="0"/>
          <w:bCs w:val="0"/>
          <w:spacing w:val="9"/>
          <w:sz w:val="32"/>
          <w:szCs w:val="32"/>
          <w:lang w:val="en-US" w:eastAsia="zh-CN"/>
        </w:rPr>
        <w:t>全年预算数</w:t>
      </w:r>
      <w:r>
        <w:rPr>
          <w:rFonts w:hint="eastAsia" w:ascii="仿宋" w:hAnsi="仿宋" w:eastAsia="仿宋" w:cs="仿宋"/>
          <w:b w:val="0"/>
          <w:bCs w:val="0"/>
          <w:spacing w:val="9"/>
          <w:sz w:val="32"/>
          <w:szCs w:val="32"/>
          <w:lang w:val="en-US" w:eastAsia="zh-CN"/>
        </w:rPr>
        <w:t>2337.93</w:t>
      </w:r>
      <w:r>
        <w:rPr>
          <w:rFonts w:hint="default" w:ascii="仿宋" w:hAnsi="仿宋" w:eastAsia="仿宋" w:cs="仿宋"/>
          <w:b w:val="0"/>
          <w:bCs w:val="0"/>
          <w:spacing w:val="9"/>
          <w:sz w:val="32"/>
          <w:szCs w:val="32"/>
          <w:lang w:val="en-US" w:eastAsia="zh-CN"/>
        </w:rPr>
        <w:t>万元，其中基本支出</w:t>
      </w:r>
      <w:r>
        <w:rPr>
          <w:rFonts w:hint="eastAsia" w:ascii="仿宋" w:hAnsi="仿宋" w:eastAsia="仿宋" w:cs="仿宋"/>
          <w:b w:val="0"/>
          <w:bCs w:val="0"/>
          <w:spacing w:val="9"/>
          <w:sz w:val="32"/>
          <w:szCs w:val="32"/>
          <w:lang w:val="en-US" w:eastAsia="zh-CN"/>
        </w:rPr>
        <w:t>1866.36</w:t>
      </w:r>
      <w:r>
        <w:rPr>
          <w:rFonts w:hint="default" w:ascii="仿宋" w:hAnsi="仿宋" w:eastAsia="仿宋" w:cs="仿宋"/>
          <w:b w:val="0"/>
          <w:bCs w:val="0"/>
          <w:spacing w:val="9"/>
          <w:sz w:val="32"/>
          <w:szCs w:val="32"/>
          <w:lang w:val="en-US" w:eastAsia="zh-CN"/>
        </w:rPr>
        <w:t>万元，项目支出</w:t>
      </w:r>
      <w:r>
        <w:rPr>
          <w:rFonts w:hint="eastAsia" w:ascii="仿宋" w:hAnsi="仿宋" w:eastAsia="仿宋" w:cs="仿宋"/>
          <w:b w:val="0"/>
          <w:bCs w:val="0"/>
          <w:spacing w:val="9"/>
          <w:sz w:val="32"/>
          <w:szCs w:val="32"/>
          <w:lang w:val="en-US" w:eastAsia="zh-CN"/>
        </w:rPr>
        <w:t>471.57</w:t>
      </w:r>
      <w:r>
        <w:rPr>
          <w:rFonts w:hint="default" w:ascii="仿宋" w:hAnsi="仿宋" w:eastAsia="仿宋" w:cs="仿宋"/>
          <w:b w:val="0"/>
          <w:bCs w:val="0"/>
          <w:spacing w:val="9"/>
          <w:sz w:val="32"/>
          <w:szCs w:val="32"/>
          <w:lang w:val="en-US" w:eastAsia="zh-CN"/>
        </w:rPr>
        <w:t>万元；全年执行数</w:t>
      </w:r>
      <w:r>
        <w:rPr>
          <w:rFonts w:hint="eastAsia" w:ascii="仿宋" w:hAnsi="仿宋" w:eastAsia="仿宋" w:cs="仿宋"/>
          <w:b w:val="0"/>
          <w:bCs w:val="0"/>
          <w:spacing w:val="9"/>
          <w:sz w:val="32"/>
          <w:szCs w:val="32"/>
          <w:lang w:val="en-US" w:eastAsia="zh-CN"/>
        </w:rPr>
        <w:t>2337.93</w:t>
      </w:r>
      <w:r>
        <w:rPr>
          <w:rFonts w:hint="default" w:ascii="仿宋" w:hAnsi="仿宋" w:eastAsia="仿宋" w:cs="仿宋"/>
          <w:b w:val="0"/>
          <w:bCs w:val="0"/>
          <w:spacing w:val="9"/>
          <w:sz w:val="32"/>
          <w:szCs w:val="32"/>
          <w:lang w:val="en-US" w:eastAsia="zh-CN"/>
        </w:rPr>
        <w:t>万元，其中基本支出</w:t>
      </w:r>
      <w:r>
        <w:rPr>
          <w:rFonts w:hint="eastAsia" w:ascii="仿宋" w:hAnsi="仿宋" w:eastAsia="仿宋" w:cs="仿宋"/>
          <w:b w:val="0"/>
          <w:bCs w:val="0"/>
          <w:spacing w:val="9"/>
          <w:sz w:val="32"/>
          <w:szCs w:val="32"/>
          <w:lang w:val="en-US" w:eastAsia="zh-CN"/>
        </w:rPr>
        <w:t>1866.36</w:t>
      </w:r>
      <w:r>
        <w:rPr>
          <w:rFonts w:hint="default" w:ascii="仿宋" w:hAnsi="仿宋" w:eastAsia="仿宋" w:cs="仿宋"/>
          <w:b w:val="0"/>
          <w:bCs w:val="0"/>
          <w:spacing w:val="9"/>
          <w:sz w:val="32"/>
          <w:szCs w:val="32"/>
          <w:lang w:val="en-US" w:eastAsia="zh-CN"/>
        </w:rPr>
        <w:t>万元，执行率100%，项目支出</w:t>
      </w:r>
      <w:r>
        <w:rPr>
          <w:rFonts w:hint="eastAsia" w:ascii="仿宋" w:hAnsi="仿宋" w:eastAsia="仿宋" w:cs="仿宋"/>
          <w:b w:val="0"/>
          <w:bCs w:val="0"/>
          <w:spacing w:val="9"/>
          <w:sz w:val="32"/>
          <w:szCs w:val="32"/>
          <w:lang w:val="en-US" w:eastAsia="zh-CN"/>
        </w:rPr>
        <w:t>471.57</w:t>
      </w:r>
      <w:r>
        <w:rPr>
          <w:rFonts w:hint="default" w:ascii="仿宋" w:hAnsi="仿宋" w:eastAsia="仿宋" w:cs="仿宋"/>
          <w:b w:val="0"/>
          <w:bCs w:val="0"/>
          <w:spacing w:val="9"/>
          <w:sz w:val="32"/>
          <w:szCs w:val="32"/>
          <w:lang w:val="en-US" w:eastAsia="zh-CN"/>
        </w:rPr>
        <w:t>万元，执行率100%。</w:t>
      </w:r>
    </w:p>
    <w:p w14:paraId="788D96DA">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hint="default" w:ascii="仿宋" w:hAnsi="仿宋" w:eastAsia="仿宋" w:cs="仿宋"/>
          <w:b w:val="0"/>
          <w:bCs w:val="0"/>
          <w:spacing w:val="9"/>
          <w:sz w:val="32"/>
          <w:szCs w:val="32"/>
          <w:lang w:val="en-US" w:eastAsia="zh-CN"/>
        </w:rPr>
      </w:pPr>
      <w:r>
        <w:rPr>
          <w:rFonts w:hint="eastAsia" w:ascii="仿宋" w:hAnsi="仿宋" w:eastAsia="仿宋" w:cs="仿宋"/>
          <w:b w:val="0"/>
          <w:bCs w:val="0"/>
          <w:spacing w:val="9"/>
          <w:sz w:val="32"/>
          <w:szCs w:val="32"/>
          <w:lang w:val="en-US" w:eastAsia="zh-CN"/>
        </w:rPr>
        <w:t>基本支出用于保障机构正常运转、完成日常工作任务而发生的支出。项目支出是为完成特定的工作任务或事业发展目标，在基本的预算支出以外，财政预算专项安排的支出，主要包括业务工作专项、专项资金。</w:t>
      </w:r>
    </w:p>
    <w:p w14:paraId="44E6D8A6">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textAlignment w:val="baseline"/>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72E0F7EC">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20" w:firstLineChars="200"/>
        <w:textAlignment w:val="baseline"/>
        <w:rPr>
          <w:spacing w:val="-5"/>
          <w:sz w:val="32"/>
          <w:szCs w:val="32"/>
          <w:lang w:eastAsia="zh-CN"/>
        </w:rPr>
      </w:pPr>
      <w:r>
        <w:rPr>
          <w:spacing w:val="-5"/>
          <w:sz w:val="32"/>
          <w:szCs w:val="32"/>
          <w:lang w:eastAsia="zh-CN"/>
        </w:rPr>
        <w:t>1.基本支出情况</w:t>
      </w:r>
    </w:p>
    <w:p w14:paraId="20F553E6">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spacing w:val="-2"/>
          <w:sz w:val="32"/>
          <w:szCs w:val="32"/>
          <w:lang w:eastAsia="zh-CN"/>
        </w:rPr>
      </w:pPr>
      <w:r>
        <w:rPr>
          <w:rFonts w:hint="eastAsia"/>
          <w:spacing w:val="-2"/>
          <w:sz w:val="32"/>
          <w:szCs w:val="32"/>
          <w:lang w:eastAsia="zh-CN"/>
        </w:rPr>
        <w:t>基本支出用于保障机构正常运转、完成日常工作任务而发生的支出，包括用于在职人员基本工资、津贴补贴、奖金、社会保险</w:t>
      </w:r>
      <w:r>
        <w:rPr>
          <w:rFonts w:hint="eastAsia"/>
          <w:spacing w:val="-2"/>
          <w:sz w:val="32"/>
          <w:szCs w:val="32"/>
          <w:lang w:val="en-US" w:eastAsia="zh-CN"/>
        </w:rPr>
        <w:t>缴费</w:t>
      </w:r>
      <w:r>
        <w:rPr>
          <w:rFonts w:hint="eastAsia"/>
          <w:spacing w:val="-2"/>
          <w:sz w:val="32"/>
          <w:szCs w:val="32"/>
          <w:lang w:eastAsia="zh-CN"/>
        </w:rPr>
        <w:t>等人员经费以及办公费、印刷费、水电费、劳务费、物业服务、办公设备购置等日常公用经费。</w:t>
      </w:r>
    </w:p>
    <w:p w14:paraId="75A3FB2D">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spacing w:val="-2"/>
          <w:sz w:val="32"/>
          <w:szCs w:val="32"/>
          <w:lang w:eastAsia="zh-CN"/>
        </w:rPr>
      </w:pPr>
      <w:r>
        <w:rPr>
          <w:rFonts w:hint="eastAsia"/>
          <w:spacing w:val="-2"/>
          <w:sz w:val="32"/>
          <w:szCs w:val="32"/>
          <w:lang w:eastAsia="zh-CN"/>
        </w:rPr>
        <w:t>2023年基本支出为</w:t>
      </w:r>
      <w:r>
        <w:rPr>
          <w:rFonts w:hint="eastAsia"/>
          <w:spacing w:val="-2"/>
          <w:sz w:val="32"/>
          <w:szCs w:val="32"/>
          <w:lang w:val="en-US" w:eastAsia="zh-CN"/>
        </w:rPr>
        <w:t>1866.36万</w:t>
      </w:r>
      <w:r>
        <w:rPr>
          <w:rFonts w:hint="eastAsia"/>
          <w:spacing w:val="-2"/>
          <w:sz w:val="32"/>
          <w:szCs w:val="32"/>
          <w:lang w:eastAsia="zh-CN"/>
        </w:rPr>
        <w:t>元，按经济科目划分，各项支出金额分别为：工资福利支出</w:t>
      </w:r>
      <w:r>
        <w:rPr>
          <w:rFonts w:hint="eastAsia"/>
          <w:spacing w:val="-2"/>
          <w:sz w:val="32"/>
          <w:szCs w:val="32"/>
          <w:lang w:val="en-US" w:eastAsia="zh-CN"/>
        </w:rPr>
        <w:t>1663.62万</w:t>
      </w:r>
      <w:r>
        <w:rPr>
          <w:rFonts w:hint="eastAsia"/>
          <w:spacing w:val="-2"/>
          <w:sz w:val="32"/>
          <w:szCs w:val="32"/>
          <w:lang w:eastAsia="zh-CN"/>
        </w:rPr>
        <w:t>元，商品和服务支出</w:t>
      </w:r>
      <w:r>
        <w:rPr>
          <w:rFonts w:hint="eastAsia"/>
          <w:spacing w:val="-2"/>
          <w:sz w:val="32"/>
          <w:szCs w:val="32"/>
          <w:lang w:val="en-US" w:eastAsia="zh-CN"/>
        </w:rPr>
        <w:t>195.66万</w:t>
      </w:r>
      <w:r>
        <w:rPr>
          <w:rFonts w:hint="eastAsia"/>
          <w:spacing w:val="-2"/>
          <w:sz w:val="32"/>
          <w:szCs w:val="32"/>
          <w:lang w:eastAsia="zh-CN"/>
        </w:rPr>
        <w:t>元，对个人和家庭的补助</w:t>
      </w:r>
      <w:r>
        <w:rPr>
          <w:rFonts w:hint="eastAsia"/>
          <w:spacing w:val="-2"/>
          <w:sz w:val="32"/>
          <w:szCs w:val="32"/>
          <w:lang w:val="en-US" w:eastAsia="zh-CN"/>
        </w:rPr>
        <w:t>4.97万</w:t>
      </w:r>
      <w:r>
        <w:rPr>
          <w:rFonts w:hint="eastAsia"/>
          <w:spacing w:val="-2"/>
          <w:sz w:val="32"/>
          <w:szCs w:val="32"/>
          <w:lang w:eastAsia="zh-CN"/>
        </w:rPr>
        <w:t>元，资本性支出</w:t>
      </w:r>
      <w:r>
        <w:rPr>
          <w:rFonts w:hint="eastAsia"/>
          <w:spacing w:val="-2"/>
          <w:sz w:val="32"/>
          <w:szCs w:val="32"/>
          <w:lang w:val="en-US" w:eastAsia="zh-CN"/>
        </w:rPr>
        <w:t>2.11万</w:t>
      </w:r>
      <w:r>
        <w:rPr>
          <w:rFonts w:hint="eastAsia"/>
          <w:spacing w:val="-2"/>
          <w:sz w:val="32"/>
          <w:szCs w:val="32"/>
          <w:lang w:eastAsia="zh-CN"/>
        </w:rPr>
        <w:t>元。</w:t>
      </w:r>
    </w:p>
    <w:p w14:paraId="59ADEB14">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sz w:val="32"/>
          <w:szCs w:val="32"/>
          <w:lang w:eastAsia="zh-CN"/>
        </w:rPr>
      </w:pPr>
      <w:r>
        <w:rPr>
          <w:spacing w:val="-2"/>
          <w:sz w:val="32"/>
          <w:szCs w:val="32"/>
          <w:lang w:eastAsia="zh-CN"/>
        </w:rPr>
        <w:t>2.项目支出情况</w:t>
      </w:r>
    </w:p>
    <w:p w14:paraId="32FE78D2">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(1)2023年项目支出为471.57万元，按经济科目划分，各项支出金额分别为：商品和服务支出471.57万元。</w:t>
      </w:r>
    </w:p>
    <w:p w14:paraId="0DCB2376">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default"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(2)按资金类别分类，截止2023年底，项目支出471.57万元，其中包含中央资金40.44万元、省级资金57.48万元、区级资金325.26万元、非税执收成本48.39万元。</w:t>
      </w:r>
    </w:p>
    <w:p w14:paraId="2634F0D1">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60" w:firstLineChars="200"/>
        <w:textAlignment w:val="baseline"/>
        <w:rPr>
          <w:rFonts w:ascii="楷体" w:hAnsi="楷体" w:eastAsia="楷体" w:cs="楷体"/>
          <w:sz w:val="32"/>
          <w:szCs w:val="32"/>
          <w:lang w:eastAsia="zh-CN"/>
        </w:rPr>
      </w:pPr>
      <w:r>
        <w:rPr>
          <w:rFonts w:ascii="楷体" w:hAnsi="楷体" w:eastAsia="楷体" w:cs="楷体"/>
          <w:spacing w:val="5"/>
          <w:sz w:val="32"/>
          <w:szCs w:val="32"/>
          <w:lang w:eastAsia="zh-CN"/>
        </w:rPr>
        <w:t>(三)"三公"经费使用和管理情况</w:t>
      </w:r>
    </w:p>
    <w:p w14:paraId="172A4150">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2023年“三公经费”年初预算数为470000元，其中公务用车运行维护费350000元，公务接待费120000元。2023年决算“三公经费”支出为62750.33元，其中：公务用车运行维护费62750.33元，公务接待费0元。比年初预算节约了407249.67元，节支率86.65%。</w:t>
      </w:r>
    </w:p>
    <w:p w14:paraId="7AD45278">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2023年根据区市场监管局内部财务管理制度，严格执行接待公函及清单制度，控制接待人数和接待标准，车辆运行费由办公室进行统一管理，有效地控制了“三公”经费支出，没有挤占、摊派和转移“三公”经费支出的行为，所有“三公”经费支出合理、合规。</w:t>
      </w:r>
    </w:p>
    <w:p w14:paraId="7C11B12F">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599" w:firstLineChars="200"/>
        <w:textAlignment w:val="baseline"/>
        <w:rPr>
          <w:rFonts w:ascii="黑体" w:hAnsi="黑体" w:eastAsia="黑体" w:cs="黑体"/>
          <w:sz w:val="32"/>
          <w:szCs w:val="32"/>
          <w:lang w:eastAsia="zh-CN"/>
        </w:rPr>
      </w:pPr>
      <w:r>
        <w:rPr>
          <w:rFonts w:ascii="黑体" w:hAnsi="黑体" w:eastAsia="黑体" w:cs="黑体"/>
          <w:b/>
          <w:bCs/>
          <w:spacing w:val="-11"/>
          <w:sz w:val="32"/>
          <w:szCs w:val="32"/>
          <w:lang w:eastAsia="zh-CN"/>
        </w:rPr>
        <w:t>三、政府性基金预算支出情况</w:t>
      </w:r>
    </w:p>
    <w:p w14:paraId="0CF3AF8B">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default"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无。</w:t>
      </w:r>
    </w:p>
    <w:p w14:paraId="246DA61A">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07" w:firstLineChars="200"/>
        <w:textAlignment w:val="baseline"/>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四、国有资本经营预算支出情况</w:t>
      </w:r>
    </w:p>
    <w:p w14:paraId="27992693">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default"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无。</w:t>
      </w:r>
    </w:p>
    <w:p w14:paraId="150E895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567" w:firstLineChars="200"/>
        <w:textAlignment w:val="baseline"/>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五、社会保险基金预算支出情况</w:t>
      </w:r>
    </w:p>
    <w:p w14:paraId="605759B3">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default"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无。</w:t>
      </w:r>
    </w:p>
    <w:p w14:paraId="5FAFEB7F">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03" w:firstLineChars="200"/>
        <w:textAlignment w:val="baseline"/>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1B8BEFC6">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20" w:firstLineChars="200"/>
        <w:textAlignment w:val="baseline"/>
        <w:rPr>
          <w:rFonts w:ascii="楷体" w:hAnsi="楷体" w:eastAsia="楷体" w:cs="楷体"/>
          <w:spacing w:val="-5"/>
          <w:sz w:val="32"/>
          <w:szCs w:val="32"/>
          <w:lang w:eastAsia="zh-CN"/>
        </w:rPr>
      </w:pPr>
      <w:r>
        <w:rPr>
          <w:rFonts w:ascii="楷体" w:hAnsi="楷体" w:eastAsia="楷体" w:cs="楷体"/>
          <w:spacing w:val="-5"/>
          <w:sz w:val="32"/>
          <w:szCs w:val="32"/>
          <w:lang w:eastAsia="zh-CN"/>
        </w:rPr>
        <w:t>(一)综合评价结论。</w:t>
      </w:r>
    </w:p>
    <w:p w14:paraId="341519F3">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我单位2023年度自评得分</w:t>
      </w:r>
      <w:r>
        <w:rPr>
          <w:rFonts w:hint="eastAsia" w:cs="仿宋"/>
          <w:snapToGrid w:val="0"/>
          <w:color w:val="000000"/>
          <w:spacing w:val="-2"/>
          <w:sz w:val="32"/>
          <w:szCs w:val="32"/>
          <w:lang w:val="en-US" w:eastAsia="zh-CN" w:bidi="ar-SA"/>
        </w:rPr>
        <w:t>100</w:t>
      </w:r>
      <w:r>
        <w:rPr>
          <w:rFonts w:hint="eastAsia" w:ascii="仿宋" w:hAnsi="仿宋" w:eastAsia="仿宋" w:cs="仿宋"/>
          <w:snapToGrid w:val="0"/>
          <w:color w:val="000000"/>
          <w:spacing w:val="-2"/>
          <w:sz w:val="32"/>
          <w:szCs w:val="32"/>
          <w:lang w:val="en-US" w:eastAsia="zh-CN" w:bidi="ar-SA"/>
        </w:rPr>
        <w:t>分，评价等级为“优”。</w:t>
      </w:r>
    </w:p>
    <w:p w14:paraId="1A20A8F9">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76" w:firstLineChars="200"/>
        <w:jc w:val="both"/>
        <w:textAlignment w:val="baseline"/>
        <w:rPr>
          <w:spacing w:val="9"/>
          <w:sz w:val="32"/>
          <w:szCs w:val="32"/>
          <w:lang w:eastAsia="zh-CN"/>
        </w:rPr>
      </w:pPr>
      <w:r>
        <w:rPr>
          <w:rFonts w:ascii="楷体" w:hAnsi="楷体" w:eastAsia="楷体" w:cs="楷体"/>
          <w:spacing w:val="9"/>
          <w:sz w:val="32"/>
          <w:szCs w:val="32"/>
          <w:lang w:eastAsia="zh-CN"/>
        </w:rPr>
        <w:t>(二)评价指标分析</w:t>
      </w:r>
      <w:r>
        <w:rPr>
          <w:spacing w:val="9"/>
          <w:sz w:val="32"/>
          <w:szCs w:val="32"/>
          <w:lang w:eastAsia="zh-CN"/>
        </w:rPr>
        <w:t>。</w:t>
      </w:r>
    </w:p>
    <w:p w14:paraId="524C8BA1">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default"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1.部门整体支出的经济性分析</w:t>
      </w:r>
    </w:p>
    <w:p w14:paraId="1F779E08">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保质保量完成各专项工作的前提下，科学有效地控制了各项目支出的成本。</w:t>
      </w:r>
    </w:p>
    <w:p w14:paraId="7156DB1A">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2.部门整体支出的时效性分析</w:t>
      </w:r>
    </w:p>
    <w:p w14:paraId="23E646E4">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一是各项年度业务工作均在2023年底前完成。二是对于有明确规定时限的项目，均在规定时间内完成。保证项目的高完成率的同时也保证项目的高水平，高质量。食品抽检方面所有样品检验均严格按照现行有效的法定标准检验，确保了检测数据和结果准确可靠。</w:t>
      </w:r>
    </w:p>
    <w:p w14:paraId="281D3D30">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default"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3.部门整体支出的有效性分析</w:t>
      </w:r>
    </w:p>
    <w:p w14:paraId="03A816D0">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cs="仿宋"/>
          <w:snapToGrid w:val="0"/>
          <w:color w:val="000000"/>
          <w:spacing w:val="-2"/>
          <w:sz w:val="32"/>
          <w:szCs w:val="32"/>
          <w:lang w:val="en-US" w:eastAsia="zh-CN" w:bidi="ar-SA"/>
        </w:rPr>
        <w:t>(1)</w:t>
      </w:r>
      <w:r>
        <w:rPr>
          <w:rFonts w:hint="eastAsia" w:ascii="仿宋" w:hAnsi="仿宋" w:eastAsia="仿宋" w:cs="仿宋"/>
          <w:snapToGrid w:val="0"/>
          <w:color w:val="000000"/>
          <w:spacing w:val="-2"/>
          <w:sz w:val="32"/>
          <w:szCs w:val="32"/>
          <w:lang w:val="en-US" w:eastAsia="zh-CN" w:bidi="ar-SA"/>
        </w:rPr>
        <w:t>服务经济大局，市场主体高质量发展。一是培育经营主体成效明显。制订并积极实施《怀化市鹤城区优化营商环境促进市场主体高质量发展实施方案》，建立推进工作机制，促进经营主体提质扩量增效。截至2023年3季度，鹤城区登记实有各类经营主体66016户。其中，企业10045户、个体工商户55679户、农民专业合作社292户。从全市经营主体发展情况来看，我区当前经营主体总量位列全市第1。总体上看，企业、个体工商户发展较快，势头强劲，同比增长分别为22.22%和13.33%。二是商事制度改革持续深入。贯彻落实《怀化市鹤城区深化“证照分离”改革实施方案》要求，对于直接取消审批的事项，企业取得营业执照即可开展经营。对审批改为备案的事项，企业完成备案手续即可开展经营。对因企业承诺可以减省的审批材料，不再要求企业提供；对可在企业领证后补交的审批材料，实行容缺受理、限期补交。对直接取消审批、审批改为备案、实行告知承诺以外的其他涉企经营许可事项，要按照“一件事一次办”改革要求，综合运用各种方式，进一步优化审批服务，落实“照后减证”政策，提高审批效率。三是企业开办标准化、便利化，“一网通办”率全市居前。在辖区范围内全面推行企业登记全程电子化登记制度，实行涵盖设立、变更、备案、注销登记业务的无纸化“网上提交材料、网上受理核准、网上核发执照、网上自动存档、网上公示”的电子化登记。缩短办理时限，实现申请人办理企业登记“最多跑一次”或“零见面”，降低企业和群众成本。截止到12月20日，今年我局共办理企业全程电子化和“一网通办”业务 1871 件，网办率位居全市前列。</w:t>
      </w:r>
    </w:p>
    <w:p w14:paraId="22F11192">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cs="仿宋"/>
          <w:snapToGrid w:val="0"/>
          <w:color w:val="000000"/>
          <w:spacing w:val="-2"/>
          <w:sz w:val="32"/>
          <w:szCs w:val="32"/>
          <w:lang w:val="en-US" w:eastAsia="zh-CN" w:bidi="ar-SA"/>
        </w:rPr>
        <w:t>(2)</w:t>
      </w:r>
      <w:r>
        <w:rPr>
          <w:rFonts w:hint="eastAsia" w:ascii="仿宋" w:hAnsi="仿宋" w:eastAsia="仿宋" w:cs="仿宋"/>
          <w:snapToGrid w:val="0"/>
          <w:color w:val="000000"/>
          <w:spacing w:val="-2"/>
          <w:sz w:val="32"/>
          <w:szCs w:val="32"/>
          <w:lang w:val="en-US" w:eastAsia="zh-CN" w:bidi="ar-SA"/>
        </w:rPr>
        <w:t>坚持严格执法，市场秩序进一步规范。一是全面发力价费和竞争监管，规范公平竞争秩序。强化民生领域价格监管，持续开展教育、医疗领域、涉企、养老领域、中介服务价格等收费专项价格监督检查，全年共检查单位60家，立案3起，清退金额1176.5万元，罚没合计6万余元。全区开展反不正当竞争专项执法立案4起，罚没合计4万余元。二是聚焦重点领域专项整治，深入推进市场治理。统筹线上线下两大领域、生产流通两个环节，以专项整治作为重要抓手，持续推进“铁拳”、打传规直等专项行动，营造风清气正良好市场环境。今年来，“铁拳”行动共立案15起，罚没合计15万余元。交通问题顽瘴痼疾集中整治处罚生产、销售非法改加装电动车案件17起，罚没合计30万余元。提供虚假资料取得市场主体登记的汽车维修案件1起。严厉打击价格违法、虚假宣传、不正当竞争、发布虚假广告、非法行医、违规使用医疗器械、违规医疗美容培训等违法行为，查处各类相关案件18件，罚没26万余元。立案查处无照经营案件11起，罚没3.85万元。查办商标侵权案件8件，专利侵权纠纷行政裁决3件。狠抓网络监管，查办相关案件18件，办结18件、罚没合计11万余元。烟草整治方面共立案19起，目前结案18起，罚没合计5万余元。办理传销案件1起， 罚没合计16万余元。三是不断强化消费维权保障，营造放心消费环境。建立派单经办流程制、派单承办签批制、派单跟踪督办制、派单会商制，以及重大投诉、涉疫投诉快速反应机制，进一步畅通投诉举报渠道，提升工作效能，今年来，共受理消费者投诉、举报</w:t>
      </w:r>
      <w:r>
        <w:rPr>
          <w:rFonts w:hint="eastAsia" w:ascii="仿宋" w:hAnsi="仿宋" w:eastAsia="仿宋" w:cs="宋体"/>
          <w:sz w:val="32"/>
          <w:szCs w:val="32"/>
          <w:lang w:val="en-US" w:eastAsia="zh-CN"/>
        </w:rPr>
        <w:t>5461</w:t>
      </w:r>
      <w:r>
        <w:rPr>
          <w:rFonts w:hint="eastAsia" w:ascii="仿宋" w:hAnsi="仿宋" w:eastAsia="仿宋" w:cs="仿宋"/>
          <w:snapToGrid w:val="0"/>
          <w:color w:val="000000"/>
          <w:spacing w:val="-2"/>
          <w:sz w:val="32"/>
          <w:szCs w:val="32"/>
          <w:lang w:val="en-US" w:eastAsia="zh-CN" w:bidi="ar-SA"/>
        </w:rPr>
        <w:t>起，已办结</w:t>
      </w:r>
      <w:r>
        <w:rPr>
          <w:rFonts w:hint="eastAsia" w:ascii="仿宋" w:hAnsi="仿宋" w:eastAsia="仿宋" w:cs="宋体"/>
          <w:sz w:val="32"/>
          <w:szCs w:val="32"/>
          <w:lang w:val="en-US" w:eastAsia="zh-CN"/>
        </w:rPr>
        <w:t>5461</w:t>
      </w:r>
      <w:r>
        <w:rPr>
          <w:rFonts w:hint="eastAsia" w:ascii="仿宋" w:hAnsi="仿宋" w:eastAsia="仿宋" w:cs="仿宋"/>
          <w:snapToGrid w:val="0"/>
          <w:color w:val="000000"/>
          <w:spacing w:val="-2"/>
          <w:sz w:val="32"/>
          <w:szCs w:val="32"/>
          <w:lang w:val="en-US" w:eastAsia="zh-CN" w:bidi="ar-SA"/>
        </w:rPr>
        <w:t>起，为消费者挽回经济损失405万元。12345政务服务热线市本级转办签收率100%、办结率100%。四是大力推行包容审慎柔性执法，让执法既有力度又有温度。加强事中事后监管，出台了第一批《怀化市鹤城区市场监管部门初次轻微违法行为免于行政处罚清单》，转发使用第二批《怀化市市场监管部门初次轻微违法行为免于行</w:t>
      </w:r>
      <w:bookmarkStart w:id="0" w:name="_GoBack"/>
      <w:bookmarkEnd w:id="0"/>
      <w:r>
        <w:rPr>
          <w:rFonts w:hint="eastAsia" w:ascii="仿宋" w:hAnsi="仿宋" w:eastAsia="仿宋" w:cs="仿宋"/>
          <w:snapToGrid w:val="0"/>
          <w:color w:val="000000"/>
          <w:spacing w:val="-2"/>
          <w:sz w:val="32"/>
          <w:szCs w:val="32"/>
          <w:lang w:val="en-US" w:eastAsia="zh-CN" w:bidi="ar-SA"/>
        </w:rPr>
        <w:t>政处罚清单》，同时实行“容缺受理”机制，规范初次轻微违法行为的审批程序，以柔性执法的方式规范企业备案、引导督促企业诚信守法经营。通过提醒、警示和告诫，帮助企业及时纠错改正。</w:t>
      </w:r>
    </w:p>
    <w:p w14:paraId="798BFAF6">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w:t>
      </w:r>
      <w:r>
        <w:rPr>
          <w:rFonts w:hint="eastAsia" w:cs="仿宋"/>
          <w:snapToGrid w:val="0"/>
          <w:color w:val="000000"/>
          <w:spacing w:val="-2"/>
          <w:sz w:val="32"/>
          <w:szCs w:val="32"/>
          <w:lang w:val="en-US" w:eastAsia="zh-CN" w:bidi="ar-SA"/>
        </w:rPr>
        <w:t>3</w:t>
      </w:r>
      <w:r>
        <w:rPr>
          <w:rFonts w:hint="eastAsia" w:ascii="仿宋" w:hAnsi="仿宋" w:eastAsia="仿宋" w:cs="仿宋"/>
          <w:snapToGrid w:val="0"/>
          <w:color w:val="000000"/>
          <w:spacing w:val="-2"/>
          <w:sz w:val="32"/>
          <w:szCs w:val="32"/>
          <w:lang w:val="en-US" w:eastAsia="zh-CN" w:bidi="ar-SA"/>
        </w:rPr>
        <w:t>)坚持激励创新，品牌建设有力推进。一是积极开展专利挖掘、商标注册工作。2023年鹤城区授权专利324件；全区有效发明专利474件</w:t>
      </w:r>
      <w:r>
        <w:rPr>
          <w:rFonts w:hint="eastAsia" w:cs="仿宋"/>
          <w:snapToGrid w:val="0"/>
          <w:color w:val="000000"/>
          <w:spacing w:val="-2"/>
          <w:sz w:val="32"/>
          <w:szCs w:val="32"/>
          <w:lang w:val="en-US" w:eastAsia="zh-CN" w:bidi="ar-SA"/>
        </w:rPr>
        <w:t>，</w:t>
      </w:r>
      <w:r>
        <w:rPr>
          <w:rFonts w:hint="eastAsia" w:ascii="仿宋" w:hAnsi="仿宋" w:eastAsia="仿宋" w:cs="仿宋"/>
          <w:snapToGrid w:val="0"/>
          <w:color w:val="000000"/>
          <w:spacing w:val="-2"/>
          <w:sz w:val="32"/>
          <w:szCs w:val="32"/>
          <w:lang w:val="en-US" w:eastAsia="zh-CN" w:bidi="ar-SA"/>
        </w:rPr>
        <w:t>每万人口发明专利拥有量6.6件；依托怀化商标受理窗口，充分发挥服务作用，2023年（2022.12.16-2023.9.15）鹤城区商标申请数815件，注册件数533件</w:t>
      </w:r>
      <w:r>
        <w:rPr>
          <w:rFonts w:hint="eastAsia" w:cs="仿宋"/>
          <w:snapToGrid w:val="0"/>
          <w:color w:val="000000"/>
          <w:spacing w:val="-2"/>
          <w:sz w:val="32"/>
          <w:szCs w:val="32"/>
          <w:lang w:val="en-US" w:eastAsia="zh-CN" w:bidi="ar-SA"/>
        </w:rPr>
        <w:t>，</w:t>
      </w:r>
      <w:r>
        <w:rPr>
          <w:rFonts w:hint="eastAsia" w:ascii="仿宋" w:hAnsi="仿宋" w:eastAsia="仿宋" w:cs="仿宋"/>
          <w:snapToGrid w:val="0"/>
          <w:color w:val="000000"/>
          <w:spacing w:val="-2"/>
          <w:sz w:val="32"/>
          <w:szCs w:val="32"/>
          <w:lang w:val="en-US" w:eastAsia="zh-CN" w:bidi="ar-SA"/>
        </w:rPr>
        <w:t>全部持有商标有效注册量7563件；拥有中国驰名商标3件，国家地理标志产品1件。二是加大指导品牌创建力度。聚焦科技创新引领，扎实推进知识产权服务工作，协助市局举办怀化市首次专利转化、知识产权质押融资宣讲对接会暨“专利助企”专场活动，走访鹤城高新产业园区；深入走访拥有知识产权的科技型企业40余家，加大政策宣传和对企业知识产权情况摸底。三是创新驱动知识产权运用。帮助怀化市昌顺建筑工程有限公司成功向中国工商银行股份有限公司怀化鹤城支行申请质押融资500万；湖南省博世康中医药有限公司和湖南秦湘九州生物科技股份有限公司经认定为国家知识产权优势企业。四是不断提升信用监管水平。强化信用制度建设、信息归集共享、信用约束惩戒、市场主体信用修复，向信用中国（怀化）推送信用承诺4644条，列异失信企业299户，为34户补报年报的企业移出异常名录。“双随机、一公开”监管已完成任务数38项，抽取检查人员数223人，公示结果对象数1168个。我区企业年报率为97.68%%。</w:t>
      </w:r>
    </w:p>
    <w:p w14:paraId="2692675E">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w:t>
      </w:r>
      <w:r>
        <w:rPr>
          <w:rFonts w:hint="eastAsia" w:cs="仿宋"/>
          <w:snapToGrid w:val="0"/>
          <w:color w:val="000000"/>
          <w:spacing w:val="-2"/>
          <w:sz w:val="32"/>
          <w:szCs w:val="32"/>
          <w:lang w:val="en-US" w:eastAsia="zh-CN" w:bidi="ar-SA"/>
        </w:rPr>
        <w:t>4</w:t>
      </w:r>
      <w:r>
        <w:rPr>
          <w:rFonts w:hint="eastAsia" w:ascii="仿宋" w:hAnsi="仿宋" w:eastAsia="仿宋" w:cs="仿宋"/>
          <w:snapToGrid w:val="0"/>
          <w:color w:val="000000"/>
          <w:spacing w:val="-2"/>
          <w:sz w:val="32"/>
          <w:szCs w:val="32"/>
          <w:lang w:val="en-US" w:eastAsia="zh-CN" w:bidi="ar-SA"/>
        </w:rPr>
        <w:t>)坚守底线意识，市场安全形势稳定向好。一是守牢食品安全底线。坚持以发现问题为导向开展食品监督抽检工作，为食品执法提供技术保障，根据食用农畜产品销售和消费特点，结合既往发现的农兽药滥用和残留问题，确定了抽检品种和检验项目，全年涉及大宗食品、餐饮环节食品及区域内生产销售的食用农畜产品共抽检1340批次，不合格59批次。“两个责任”压紧压实，全区10个乡镇街道组建市场监管所，118个行政村（社区）配备食品安全协管员（信息员）118人，市、县、乡、村四级监管链条基本形成。完成全区9822家食品安全生产经营主体实行ABCD分级，实现区级领导包保B级主体52家。扎实推进食品安全专项行动，开展“年关守护”、“白板肉”治理、食品加工“黑作坊”等多项行动，共办理相关案件124起，其中获批食药省督办案件2起，罚没共计69万余元。全面提升餐饮食品安全管理水平。一方面，强化推进学校及幼儿园食堂“互联网＋明厨亮灶”。目前我局管辖的区属学校食堂有221家，“名厨亮灶”覆盖率到达100%。其中学校（包含幼儿园）食堂全部安装摄像头，对外公示，监控视频全部接入教育局安全监管平台，实现“互联网＋名厨亮灶”覆盖率达90%以上，食品安全责任险购买率达100%。另一方面，建立“互联网+明厨亮灶”智慧管理平台，全面推进餐饮服务提供者食品安全管理和服务升级。通过“互联网+市场监管”实现全程监管、远程监管、线上监管和智能监管，提高监管效率，降低监管成本，实现非现场监管，以人为本，同时，监督管理实时可视，执法检查流程清晰。截止目前，平台接入各类市场主体228家。二是强化药品安全监管。今年来，我局检查药品经营使用单位710家次，下达责令改正通知书23份，立案查处13起；检查医疗器械经营使用单位750家次，下达责令改正通知书10份，立案查处10起；检查化妆品经营使用单位500余家次，下达责令改正通知书3份，立案查处1起，极大程度消除了药械化安全风险隐患，未发生药品安全事故和负面舆情</w:t>
      </w:r>
      <w:r>
        <w:rPr>
          <w:rFonts w:hint="eastAsia" w:cs="仿宋"/>
          <w:snapToGrid w:val="0"/>
          <w:color w:val="000000"/>
          <w:spacing w:val="-2"/>
          <w:sz w:val="32"/>
          <w:szCs w:val="32"/>
          <w:lang w:val="en-US" w:eastAsia="zh-CN" w:bidi="ar-SA"/>
        </w:rPr>
        <w:t>，</w:t>
      </w:r>
      <w:r>
        <w:rPr>
          <w:rFonts w:hint="eastAsia" w:ascii="仿宋" w:hAnsi="仿宋" w:eastAsia="仿宋" w:cs="仿宋"/>
          <w:snapToGrid w:val="0"/>
          <w:color w:val="000000"/>
          <w:spacing w:val="-2"/>
          <w:sz w:val="32"/>
          <w:szCs w:val="32"/>
          <w:lang w:val="en-US" w:eastAsia="zh-CN" w:bidi="ar-SA"/>
        </w:rPr>
        <w:t>未造成不良影响或者损失。</w:t>
      </w:r>
    </w:p>
    <w:p w14:paraId="513DDADD">
      <w:pPr>
        <w:pStyle w:val="2"/>
        <w:keepNext w:val="0"/>
        <w:keepLines w:val="0"/>
        <w:pageBreakBefore w:val="0"/>
        <w:widowControl w:val="0"/>
        <w:kinsoku/>
        <w:wordWrap/>
        <w:overflowPunct w:val="0"/>
        <w:topLinePunct w:val="0"/>
        <w:autoSpaceDE w:val="0"/>
        <w:autoSpaceDN w:val="0"/>
        <w:bidi w:val="0"/>
        <w:adjustRightInd w:val="0"/>
        <w:snapToGrid w:val="0"/>
        <w:spacing w:line="560" w:lineRule="exact"/>
        <w:ind w:firstLine="632" w:firstLineChars="200"/>
        <w:jc w:val="both"/>
        <w:textAlignment w:val="baseline"/>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三是狠抓特种设备安全监察。认真开展“年关守护（2023）行动”、“重大事故隐患排查专项整治”、“医用氧舱隐患排查整治治理和卫生行业承压类特种设备安全专项排查整治”、“鹤城区市场监管系统城镇燃气安全集中排查整治”等专项行动，下达特种设备安全监察指令书80份，消除安全隐患80起，立案调查18起、对违法行为处罚共计30万元，查封非法特种设备10台。四是深入开展产品质量安全监管。持续推广产品质量合格证制度。组织开展重点工业产品质量安全排查治理专项行动。今年来我局全年计划抽检100批次，实际抽检110批次，3批次不合格，立案5起（含市局交办）结案3起，共计罚没款3万余元。</w:t>
      </w:r>
    </w:p>
    <w:p w14:paraId="74CE1A31">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15" w:firstLineChars="200"/>
        <w:textAlignment w:val="baseline"/>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33C18027">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基层监管力量与监管业务不相匹配，市场监管量大、线长、面广，涉及法律法规较多，基层监管在人员配备、执法装备、经费保障及业务培训等方面有待进一步提升。</w:t>
      </w:r>
    </w:p>
    <w:p w14:paraId="06A2220D">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15" w:firstLineChars="200"/>
        <w:textAlignment w:val="baseline"/>
        <w:outlineLvl w:val="6"/>
        <w:rPr>
          <w:rFonts w:ascii="黑体" w:hAnsi="黑体" w:eastAsia="黑体" w:cs="黑体"/>
          <w:b/>
          <w:bCs/>
          <w:spacing w:val="-7"/>
          <w:sz w:val="32"/>
          <w:szCs w:val="32"/>
          <w:lang w:eastAsia="zh-CN"/>
        </w:rPr>
      </w:pPr>
      <w:r>
        <w:rPr>
          <w:rFonts w:ascii="黑体" w:hAnsi="黑体" w:eastAsia="黑体" w:cs="黑体"/>
          <w:b/>
          <w:bCs/>
          <w:spacing w:val="-7"/>
          <w:sz w:val="32"/>
          <w:szCs w:val="32"/>
          <w:lang w:eastAsia="zh-CN"/>
        </w:rPr>
        <w:t>八、下一步改进措施</w:t>
      </w:r>
    </w:p>
    <w:p w14:paraId="203506A1">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hint="eastAsia"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一是建议加大基层监管力量，加强基层人员配置和培训，增强基层人员监管能力。二是应加大对业务工作人员的培训指导力度，让相关人员有更强的绩效管理意识。</w:t>
      </w:r>
    </w:p>
    <w:p w14:paraId="366BD1F8">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15" w:firstLineChars="200"/>
        <w:textAlignment w:val="baseline"/>
        <w:outlineLvl w:val="6"/>
        <w:rPr>
          <w:rFonts w:ascii="黑体" w:hAnsi="黑体" w:eastAsia="黑体" w:cs="黑体"/>
          <w:b/>
          <w:bCs/>
          <w:spacing w:val="-7"/>
          <w:sz w:val="32"/>
          <w:szCs w:val="32"/>
          <w:lang w:eastAsia="zh-CN"/>
        </w:rPr>
      </w:pPr>
      <w:r>
        <w:rPr>
          <w:rFonts w:ascii="黑体" w:hAnsi="黑体" w:eastAsia="黑体" w:cs="黑体"/>
          <w:b/>
          <w:bCs/>
          <w:spacing w:val="-7"/>
          <w:sz w:val="32"/>
          <w:szCs w:val="32"/>
          <w:lang w:eastAsia="zh-CN"/>
        </w:rPr>
        <w:t>九、其他需要说明的情况</w:t>
      </w:r>
    </w:p>
    <w:p w14:paraId="1D7A7136">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hint="default" w:ascii="仿宋" w:hAnsi="仿宋" w:eastAsia="仿宋" w:cs="仿宋"/>
          <w:snapToGrid w:val="0"/>
          <w:color w:val="000000"/>
          <w:spacing w:val="-2"/>
          <w:sz w:val="32"/>
          <w:szCs w:val="32"/>
          <w:lang w:val="en-US" w:eastAsia="zh-CN" w:bidi="ar-SA"/>
        </w:rPr>
      </w:pPr>
      <w:r>
        <w:rPr>
          <w:rFonts w:hint="eastAsia" w:ascii="仿宋" w:hAnsi="仿宋" w:eastAsia="仿宋" w:cs="仿宋"/>
          <w:snapToGrid w:val="0"/>
          <w:color w:val="000000"/>
          <w:spacing w:val="-2"/>
          <w:sz w:val="32"/>
          <w:szCs w:val="32"/>
          <w:lang w:val="en-US" w:eastAsia="zh-CN" w:bidi="ar-SA"/>
        </w:rPr>
        <w:t>无。</w:t>
      </w:r>
    </w:p>
    <w:p w14:paraId="42539789">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40" w:firstLineChars="200"/>
        <w:textAlignment w:val="baseline"/>
        <w:rPr>
          <w:sz w:val="32"/>
          <w:szCs w:val="32"/>
          <w:lang w:eastAsia="zh-CN"/>
        </w:rPr>
      </w:pPr>
    </w:p>
    <w:p w14:paraId="7C385BCB">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40" w:firstLineChars="200"/>
        <w:textAlignment w:val="baseline"/>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6F44096D">
      <w:pPr>
        <w:pStyle w:val="2"/>
        <w:spacing w:before="75" w:line="222" w:lineRule="auto"/>
        <w:rPr>
          <w:sz w:val="24"/>
          <w:szCs w:val="24"/>
          <w:lang w:eastAsia="zh-CN"/>
        </w:rPr>
      </w:pPr>
      <w:r>
        <w:rPr>
          <w:spacing w:val="15"/>
          <w:sz w:val="24"/>
          <w:szCs w:val="24"/>
          <w:lang w:eastAsia="zh-CN"/>
        </w:rPr>
        <w:t>附件1-1</w:t>
      </w:r>
    </w:p>
    <w:p w14:paraId="0BFA91E6">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6A3CEDE0">
      <w:pPr>
        <w:spacing w:line="219" w:lineRule="auto"/>
        <w:ind w:left="545"/>
        <w:rPr>
          <w:rFonts w:hint="eastAsia" w:ascii="宋体" w:hAnsi="宋体" w:eastAsia="宋体" w:cs="宋体"/>
          <w:spacing w:val="-1"/>
          <w:lang w:eastAsia="zh-CN"/>
        </w:rPr>
      </w:pPr>
    </w:p>
    <w:p w14:paraId="1E85BE9E">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val="en-US" w:eastAsia="zh-CN"/>
        </w:rPr>
        <w:t>鹤城区市场监督管理局</w:t>
      </w:r>
      <w:r>
        <w:rPr>
          <w:rFonts w:hint="eastAsia" w:ascii="宋体" w:hAnsi="宋体" w:eastAsia="宋体" w:cs="宋体"/>
          <w:spacing w:val="-1"/>
          <w:lang w:eastAsia="zh-CN"/>
        </w:rPr>
        <w:t xml:space="preserve">                                                                                                         </w:t>
      </w:r>
    </w:p>
    <w:p w14:paraId="502E49AD">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3BCF0677">
      <w:pPr>
        <w:spacing w:line="37" w:lineRule="exact"/>
      </w:pPr>
    </w:p>
    <w:tbl>
      <w:tblPr>
        <w:tblStyle w:val="7"/>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28D04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62CA38CC">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5FA7F322">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577447EC">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015C021E">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606E41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2A44BD6A">
            <w:pPr>
              <w:pStyle w:val="8"/>
            </w:pPr>
          </w:p>
        </w:tc>
        <w:tc>
          <w:tcPr>
            <w:tcW w:w="2018" w:type="dxa"/>
            <w:gridSpan w:val="2"/>
            <w:vAlign w:val="center"/>
          </w:tcPr>
          <w:p w14:paraId="321CA39A">
            <w:pPr>
              <w:pStyle w:val="8"/>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176</w:t>
            </w:r>
          </w:p>
        </w:tc>
        <w:tc>
          <w:tcPr>
            <w:tcW w:w="2197" w:type="dxa"/>
            <w:gridSpan w:val="2"/>
            <w:vAlign w:val="center"/>
          </w:tcPr>
          <w:p w14:paraId="3E4F381D">
            <w:pPr>
              <w:pStyle w:val="8"/>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144</w:t>
            </w:r>
          </w:p>
        </w:tc>
        <w:tc>
          <w:tcPr>
            <w:tcW w:w="1843" w:type="dxa"/>
            <w:gridSpan w:val="2"/>
            <w:vAlign w:val="center"/>
          </w:tcPr>
          <w:p w14:paraId="4D6E5131">
            <w:pPr>
              <w:pStyle w:val="8"/>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81.82%</w:t>
            </w:r>
          </w:p>
        </w:tc>
      </w:tr>
      <w:tr w14:paraId="4F2C9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38FFFCE">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5FFDFD9E">
            <w:pPr>
              <w:spacing w:before="99" w:line="219" w:lineRule="auto"/>
              <w:ind w:left="403"/>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74990AF0">
            <w:pPr>
              <w:spacing w:before="99" w:line="219" w:lineRule="auto"/>
              <w:ind w:left="496"/>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445500A0">
            <w:pPr>
              <w:spacing w:before="99" w:line="219" w:lineRule="auto"/>
              <w:ind w:left="318"/>
              <w:rPr>
                <w:rFonts w:ascii="宋体" w:hAnsi="宋体" w:eastAsia="宋体" w:cs="宋体"/>
                <w:sz w:val="20"/>
                <w:szCs w:val="20"/>
              </w:rPr>
            </w:pPr>
            <w:r>
              <w:rPr>
                <w:rFonts w:ascii="宋体" w:hAnsi="宋体" w:eastAsia="宋体" w:cs="宋体"/>
                <w:spacing w:val="-2"/>
                <w:sz w:val="20"/>
                <w:szCs w:val="20"/>
              </w:rPr>
              <w:t>2023年决算数</w:t>
            </w:r>
          </w:p>
        </w:tc>
      </w:tr>
      <w:tr w14:paraId="0CDE3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94ACF03">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vAlign w:val="center"/>
          </w:tcPr>
          <w:p w14:paraId="1452BB3B">
            <w:pPr>
              <w:widowControl/>
              <w:jc w:val="center"/>
            </w:pPr>
            <w:r>
              <w:rPr>
                <w:rFonts w:hint="eastAsia" w:ascii="Times New Roman" w:hAnsi="Times New Roman" w:eastAsia="仿宋_GB2312"/>
                <w:sz w:val="20"/>
                <w:szCs w:val="20"/>
              </w:rPr>
              <w:t>6</w:t>
            </w:r>
            <w:r>
              <w:rPr>
                <w:rFonts w:hint="eastAsia" w:ascii="Times New Roman" w:hAnsi="Times New Roman" w:eastAsia="仿宋_GB2312"/>
                <w:sz w:val="20"/>
                <w:szCs w:val="20"/>
                <w:lang w:val="en-US" w:eastAsia="zh-CN"/>
              </w:rPr>
              <w:t>.</w:t>
            </w:r>
            <w:r>
              <w:rPr>
                <w:rFonts w:hint="eastAsia" w:ascii="Times New Roman" w:hAnsi="Times New Roman" w:eastAsia="仿宋_GB2312"/>
                <w:sz w:val="20"/>
                <w:szCs w:val="20"/>
              </w:rPr>
              <w:t>11</w:t>
            </w:r>
          </w:p>
        </w:tc>
        <w:tc>
          <w:tcPr>
            <w:tcW w:w="2197" w:type="dxa"/>
            <w:gridSpan w:val="2"/>
            <w:vAlign w:val="center"/>
          </w:tcPr>
          <w:p w14:paraId="07673A97">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47</w:t>
            </w:r>
          </w:p>
        </w:tc>
        <w:tc>
          <w:tcPr>
            <w:tcW w:w="1843" w:type="dxa"/>
            <w:gridSpan w:val="2"/>
            <w:vAlign w:val="center"/>
          </w:tcPr>
          <w:p w14:paraId="2796BD76">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6.28</w:t>
            </w:r>
          </w:p>
        </w:tc>
      </w:tr>
      <w:tr w14:paraId="198DC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6B3271E2">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vAlign w:val="center"/>
          </w:tcPr>
          <w:p w14:paraId="224DA167">
            <w:pPr>
              <w:widowControl/>
              <w:jc w:val="center"/>
              <w:rPr>
                <w:rFonts w:hint="eastAsia" w:eastAsia="仿宋_GB2312"/>
                <w:lang w:val="en-US" w:eastAsia="zh-CN"/>
              </w:rPr>
            </w:pPr>
            <w:r>
              <w:rPr>
                <w:rFonts w:hint="eastAsia" w:ascii="Times New Roman" w:hAnsi="Times New Roman" w:eastAsia="仿宋_GB2312"/>
                <w:sz w:val="20"/>
                <w:szCs w:val="20"/>
              </w:rPr>
              <w:t>6</w:t>
            </w:r>
            <w:r>
              <w:rPr>
                <w:rFonts w:hint="eastAsia" w:ascii="Times New Roman" w:hAnsi="Times New Roman" w:eastAsia="仿宋_GB2312"/>
                <w:sz w:val="20"/>
                <w:szCs w:val="20"/>
                <w:lang w:val="en-US" w:eastAsia="zh-CN"/>
              </w:rPr>
              <w:t>.</w:t>
            </w:r>
            <w:r>
              <w:rPr>
                <w:rFonts w:hint="eastAsia" w:ascii="Times New Roman" w:hAnsi="Times New Roman" w:eastAsia="仿宋_GB2312"/>
                <w:sz w:val="20"/>
                <w:szCs w:val="20"/>
              </w:rPr>
              <w:t>0</w:t>
            </w:r>
            <w:r>
              <w:rPr>
                <w:rFonts w:hint="eastAsia" w:ascii="Times New Roman" w:hAnsi="Times New Roman" w:eastAsia="仿宋_GB2312"/>
                <w:sz w:val="20"/>
                <w:szCs w:val="20"/>
                <w:lang w:val="en-US" w:eastAsia="zh-CN"/>
              </w:rPr>
              <w:t>1</w:t>
            </w:r>
          </w:p>
        </w:tc>
        <w:tc>
          <w:tcPr>
            <w:tcW w:w="2197" w:type="dxa"/>
            <w:gridSpan w:val="2"/>
            <w:vAlign w:val="center"/>
          </w:tcPr>
          <w:p w14:paraId="474EE1CC">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35</w:t>
            </w:r>
          </w:p>
        </w:tc>
        <w:tc>
          <w:tcPr>
            <w:tcW w:w="1843" w:type="dxa"/>
            <w:gridSpan w:val="2"/>
            <w:vAlign w:val="center"/>
          </w:tcPr>
          <w:p w14:paraId="38FA8E02">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6.28</w:t>
            </w:r>
          </w:p>
        </w:tc>
      </w:tr>
      <w:tr w14:paraId="05221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A57D8EB">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vAlign w:val="center"/>
          </w:tcPr>
          <w:p w14:paraId="32871A50">
            <w:pPr>
              <w:widowControl/>
              <w:jc w:val="center"/>
            </w:pPr>
            <w:r>
              <w:rPr>
                <w:rFonts w:hint="eastAsia" w:ascii="Times New Roman" w:hAnsi="Times New Roman" w:eastAsia="仿宋_GB2312"/>
                <w:sz w:val="20"/>
                <w:szCs w:val="20"/>
                <w:lang w:val="en-US" w:eastAsia="zh-CN"/>
              </w:rPr>
              <w:t>0</w:t>
            </w:r>
          </w:p>
        </w:tc>
        <w:tc>
          <w:tcPr>
            <w:tcW w:w="2197" w:type="dxa"/>
            <w:gridSpan w:val="2"/>
            <w:vAlign w:val="center"/>
          </w:tcPr>
          <w:p w14:paraId="401D7CFE">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0</w:t>
            </w:r>
          </w:p>
        </w:tc>
        <w:tc>
          <w:tcPr>
            <w:tcW w:w="1843" w:type="dxa"/>
            <w:gridSpan w:val="2"/>
            <w:vAlign w:val="center"/>
          </w:tcPr>
          <w:p w14:paraId="462B4635">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0</w:t>
            </w:r>
          </w:p>
        </w:tc>
      </w:tr>
      <w:tr w14:paraId="22B9E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473FBC54">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vAlign w:val="center"/>
          </w:tcPr>
          <w:p w14:paraId="0F1655F3">
            <w:pPr>
              <w:widowControl/>
              <w:jc w:val="center"/>
            </w:pPr>
            <w:r>
              <w:rPr>
                <w:rFonts w:hint="eastAsia" w:ascii="Times New Roman" w:hAnsi="Times New Roman" w:eastAsia="仿宋_GB2312"/>
                <w:sz w:val="20"/>
                <w:szCs w:val="20"/>
              </w:rPr>
              <w:t>6</w:t>
            </w:r>
            <w:r>
              <w:rPr>
                <w:rFonts w:hint="eastAsia" w:ascii="Times New Roman" w:hAnsi="Times New Roman" w:eastAsia="仿宋_GB2312"/>
                <w:sz w:val="20"/>
                <w:szCs w:val="20"/>
                <w:lang w:val="en-US" w:eastAsia="zh-CN"/>
              </w:rPr>
              <w:t>.</w:t>
            </w:r>
            <w:r>
              <w:rPr>
                <w:rFonts w:hint="eastAsia" w:ascii="Times New Roman" w:hAnsi="Times New Roman" w:eastAsia="仿宋_GB2312"/>
                <w:sz w:val="20"/>
                <w:szCs w:val="20"/>
              </w:rPr>
              <w:t>0</w:t>
            </w:r>
            <w:r>
              <w:rPr>
                <w:rFonts w:hint="eastAsia" w:ascii="Times New Roman" w:hAnsi="Times New Roman" w:eastAsia="仿宋_GB2312"/>
                <w:sz w:val="20"/>
                <w:szCs w:val="20"/>
                <w:lang w:val="en-US" w:eastAsia="zh-CN"/>
              </w:rPr>
              <w:t>1</w:t>
            </w:r>
          </w:p>
        </w:tc>
        <w:tc>
          <w:tcPr>
            <w:tcW w:w="2197" w:type="dxa"/>
            <w:gridSpan w:val="2"/>
            <w:vAlign w:val="center"/>
          </w:tcPr>
          <w:p w14:paraId="551BEF70">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35</w:t>
            </w:r>
          </w:p>
        </w:tc>
        <w:tc>
          <w:tcPr>
            <w:tcW w:w="1843" w:type="dxa"/>
            <w:gridSpan w:val="2"/>
            <w:vAlign w:val="center"/>
          </w:tcPr>
          <w:p w14:paraId="6025F129">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s="Arial"/>
                <w:snapToGrid w:val="0"/>
                <w:color w:val="000000"/>
                <w:sz w:val="20"/>
                <w:szCs w:val="20"/>
                <w:lang w:val="en-US" w:eastAsia="zh-CN" w:bidi="ar-SA"/>
              </w:rPr>
              <w:t>6.28</w:t>
            </w:r>
          </w:p>
        </w:tc>
      </w:tr>
      <w:tr w14:paraId="5929B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249C6C7">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vAlign w:val="center"/>
          </w:tcPr>
          <w:p w14:paraId="49C28DC2">
            <w:pPr>
              <w:widowControl/>
              <w:jc w:val="center"/>
            </w:pPr>
            <w:r>
              <w:rPr>
                <w:rFonts w:hint="eastAsia" w:ascii="Times New Roman" w:hAnsi="Times New Roman" w:eastAsia="仿宋_GB2312"/>
                <w:sz w:val="20"/>
                <w:szCs w:val="20"/>
                <w:lang w:val="en-US" w:eastAsia="zh-CN"/>
              </w:rPr>
              <w:t>0</w:t>
            </w:r>
          </w:p>
        </w:tc>
        <w:tc>
          <w:tcPr>
            <w:tcW w:w="2197" w:type="dxa"/>
            <w:gridSpan w:val="2"/>
            <w:vAlign w:val="center"/>
          </w:tcPr>
          <w:p w14:paraId="0E5FC49E">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0</w:t>
            </w:r>
          </w:p>
        </w:tc>
        <w:tc>
          <w:tcPr>
            <w:tcW w:w="1843" w:type="dxa"/>
            <w:gridSpan w:val="2"/>
            <w:vAlign w:val="center"/>
          </w:tcPr>
          <w:p w14:paraId="1D5D6362">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0</w:t>
            </w:r>
          </w:p>
        </w:tc>
      </w:tr>
      <w:tr w14:paraId="509E0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3A8587F6">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vAlign w:val="center"/>
          </w:tcPr>
          <w:p w14:paraId="221D26DB">
            <w:pPr>
              <w:widowControl/>
              <w:jc w:val="center"/>
              <w:rPr>
                <w:rFonts w:hint="default" w:eastAsia="宋体"/>
                <w:lang w:val="en-US" w:eastAsia="zh-CN"/>
              </w:rPr>
            </w:pPr>
            <w:r>
              <w:rPr>
                <w:rFonts w:hint="eastAsia" w:ascii="Times New Roman" w:hAnsi="Times New Roman" w:eastAsia="仿宋_GB2312"/>
                <w:sz w:val="20"/>
                <w:szCs w:val="20"/>
                <w:lang w:val="en-US" w:eastAsia="zh-CN"/>
              </w:rPr>
              <w:t>0.1</w:t>
            </w:r>
          </w:p>
        </w:tc>
        <w:tc>
          <w:tcPr>
            <w:tcW w:w="2197" w:type="dxa"/>
            <w:gridSpan w:val="2"/>
            <w:vAlign w:val="center"/>
          </w:tcPr>
          <w:p w14:paraId="5565278F">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12</w:t>
            </w:r>
          </w:p>
        </w:tc>
        <w:tc>
          <w:tcPr>
            <w:tcW w:w="1843" w:type="dxa"/>
            <w:gridSpan w:val="2"/>
            <w:vAlign w:val="center"/>
          </w:tcPr>
          <w:p w14:paraId="145F2D5D">
            <w:pPr>
              <w:pStyle w:val="8"/>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0</w:t>
            </w:r>
          </w:p>
        </w:tc>
      </w:tr>
      <w:tr w14:paraId="52BFC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21B59A3">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14:paraId="0DBF9ABC">
            <w:pPr>
              <w:pStyle w:val="8"/>
            </w:pPr>
          </w:p>
        </w:tc>
        <w:tc>
          <w:tcPr>
            <w:tcW w:w="2197" w:type="dxa"/>
            <w:gridSpan w:val="2"/>
          </w:tcPr>
          <w:p w14:paraId="010E5608">
            <w:pPr>
              <w:pStyle w:val="8"/>
            </w:pPr>
          </w:p>
        </w:tc>
        <w:tc>
          <w:tcPr>
            <w:tcW w:w="1843" w:type="dxa"/>
            <w:gridSpan w:val="2"/>
          </w:tcPr>
          <w:p w14:paraId="700469E7">
            <w:pPr>
              <w:pStyle w:val="8"/>
            </w:pPr>
          </w:p>
        </w:tc>
      </w:tr>
      <w:tr w14:paraId="56CAA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0C068B3">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vAlign w:val="center"/>
          </w:tcPr>
          <w:p w14:paraId="62DF742B">
            <w:pPr>
              <w:widowControl/>
              <w:jc w:val="center"/>
              <w:rPr>
                <w:rFonts w:hint="default" w:ascii="Times New Roman" w:hAnsi="Times New Roman" w:eastAsia="仿宋_GB2312"/>
                <w:sz w:val="20"/>
                <w:szCs w:val="20"/>
                <w:lang w:val="en-US" w:eastAsia="zh-CN"/>
              </w:rPr>
            </w:pPr>
            <w:r>
              <w:rPr>
                <w:rFonts w:hint="eastAsia" w:ascii="Times New Roman" w:hAnsi="Times New Roman" w:eastAsia="仿宋_GB2312"/>
                <w:sz w:val="20"/>
                <w:szCs w:val="20"/>
                <w:lang w:val="en-US" w:eastAsia="zh-CN"/>
              </w:rPr>
              <w:t>422.94</w:t>
            </w:r>
          </w:p>
        </w:tc>
        <w:tc>
          <w:tcPr>
            <w:tcW w:w="2197" w:type="dxa"/>
            <w:gridSpan w:val="2"/>
            <w:vAlign w:val="center"/>
          </w:tcPr>
          <w:p w14:paraId="01ABBF3A">
            <w:pPr>
              <w:widowControl/>
              <w:jc w:val="center"/>
              <w:rPr>
                <w:rFonts w:hint="default" w:ascii="Times New Roman" w:hAnsi="Times New Roman" w:eastAsia="仿宋_GB2312"/>
                <w:sz w:val="20"/>
                <w:szCs w:val="20"/>
                <w:lang w:val="en-US" w:eastAsia="zh-CN"/>
              </w:rPr>
            </w:pPr>
            <w:r>
              <w:rPr>
                <w:rFonts w:hint="eastAsia" w:ascii="Times New Roman" w:hAnsi="Times New Roman" w:eastAsia="仿宋_GB2312"/>
                <w:sz w:val="20"/>
                <w:szCs w:val="20"/>
                <w:lang w:val="en-US" w:eastAsia="zh-CN"/>
              </w:rPr>
              <w:t>471.57</w:t>
            </w:r>
          </w:p>
        </w:tc>
        <w:tc>
          <w:tcPr>
            <w:tcW w:w="1843" w:type="dxa"/>
            <w:gridSpan w:val="2"/>
            <w:vAlign w:val="center"/>
          </w:tcPr>
          <w:p w14:paraId="05E1E4B3">
            <w:pPr>
              <w:widowControl/>
              <w:jc w:val="center"/>
              <w:rPr>
                <w:rFonts w:hint="eastAsia" w:ascii="Times New Roman" w:hAnsi="Times New Roman" w:eastAsia="仿宋_GB2312"/>
                <w:sz w:val="20"/>
                <w:szCs w:val="20"/>
                <w:lang w:val="en-US" w:eastAsia="zh-CN"/>
              </w:rPr>
            </w:pPr>
            <w:r>
              <w:rPr>
                <w:rFonts w:hint="eastAsia" w:ascii="Times New Roman" w:hAnsi="Times New Roman" w:eastAsia="仿宋_GB2312"/>
                <w:sz w:val="20"/>
                <w:szCs w:val="20"/>
                <w:lang w:val="en-US" w:eastAsia="zh-CN"/>
              </w:rPr>
              <w:t>471.57</w:t>
            </w:r>
          </w:p>
        </w:tc>
      </w:tr>
      <w:tr w14:paraId="6786DB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9ABCCF3">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14:paraId="0436F041">
            <w:pPr>
              <w:pStyle w:val="8"/>
            </w:pPr>
          </w:p>
        </w:tc>
        <w:tc>
          <w:tcPr>
            <w:tcW w:w="2197" w:type="dxa"/>
            <w:gridSpan w:val="2"/>
          </w:tcPr>
          <w:p w14:paraId="6BD5925E">
            <w:pPr>
              <w:pStyle w:val="8"/>
            </w:pPr>
          </w:p>
        </w:tc>
        <w:tc>
          <w:tcPr>
            <w:tcW w:w="1843" w:type="dxa"/>
            <w:gridSpan w:val="2"/>
          </w:tcPr>
          <w:p w14:paraId="690ACC63">
            <w:pPr>
              <w:pStyle w:val="8"/>
            </w:pPr>
          </w:p>
        </w:tc>
      </w:tr>
      <w:tr w14:paraId="19432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331" w:type="dxa"/>
            <w:tcBorders>
              <w:bottom w:val="nil"/>
            </w:tcBorders>
          </w:tcPr>
          <w:p w14:paraId="3798E42E">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4B814364">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tcPr>
          <w:p w14:paraId="3B8E54F9">
            <w:pPr>
              <w:pStyle w:val="8"/>
              <w:rPr>
                <w:lang w:eastAsia="zh-CN"/>
              </w:rPr>
            </w:pPr>
          </w:p>
        </w:tc>
        <w:tc>
          <w:tcPr>
            <w:tcW w:w="2197" w:type="dxa"/>
            <w:gridSpan w:val="2"/>
          </w:tcPr>
          <w:p w14:paraId="42B1BF06">
            <w:pPr>
              <w:pStyle w:val="8"/>
              <w:rPr>
                <w:lang w:eastAsia="zh-CN"/>
              </w:rPr>
            </w:pPr>
          </w:p>
        </w:tc>
        <w:tc>
          <w:tcPr>
            <w:tcW w:w="1843" w:type="dxa"/>
            <w:gridSpan w:val="2"/>
            <w:tcBorders>
              <w:bottom w:val="nil"/>
            </w:tcBorders>
          </w:tcPr>
          <w:p w14:paraId="61E700C4">
            <w:pPr>
              <w:pStyle w:val="8"/>
              <w:rPr>
                <w:lang w:eastAsia="zh-CN"/>
              </w:rPr>
            </w:pPr>
          </w:p>
        </w:tc>
      </w:tr>
      <w:tr w14:paraId="3482C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52025EE">
            <w:pPr>
              <w:spacing w:before="103" w:line="219" w:lineRule="auto"/>
              <w:ind w:left="495"/>
              <w:rPr>
                <w:rFonts w:ascii="宋体" w:hAnsi="宋体" w:eastAsia="宋体" w:cs="宋体"/>
                <w:sz w:val="20"/>
                <w:szCs w:val="20"/>
                <w:lang w:eastAsia="zh-CN"/>
              </w:rPr>
            </w:pPr>
            <w:r>
              <w:rPr>
                <w:rFonts w:hint="eastAsia" w:ascii="宋体" w:hAnsi="宋体" w:eastAsia="宋体" w:cs="宋体"/>
                <w:spacing w:val="-1"/>
                <w:sz w:val="20"/>
                <w:szCs w:val="20"/>
                <w:lang w:val="en-US" w:eastAsia="zh-CN"/>
              </w:rPr>
              <w:t>5</w:t>
            </w:r>
            <w:r>
              <w:rPr>
                <w:rFonts w:ascii="宋体" w:hAnsi="宋体" w:eastAsia="宋体" w:cs="宋体"/>
                <w:spacing w:val="-1"/>
                <w:sz w:val="20"/>
                <w:szCs w:val="20"/>
                <w:lang w:eastAsia="zh-CN"/>
              </w:rPr>
              <w:t>、其他事业类发展资金</w:t>
            </w:r>
          </w:p>
        </w:tc>
        <w:tc>
          <w:tcPr>
            <w:tcW w:w="2018" w:type="dxa"/>
            <w:gridSpan w:val="2"/>
          </w:tcPr>
          <w:p w14:paraId="2C0A7480">
            <w:pPr>
              <w:pStyle w:val="8"/>
              <w:rPr>
                <w:lang w:eastAsia="zh-CN"/>
              </w:rPr>
            </w:pPr>
          </w:p>
        </w:tc>
        <w:tc>
          <w:tcPr>
            <w:tcW w:w="2197" w:type="dxa"/>
            <w:gridSpan w:val="2"/>
          </w:tcPr>
          <w:p w14:paraId="5BA1EEE2">
            <w:pPr>
              <w:pStyle w:val="8"/>
              <w:rPr>
                <w:lang w:eastAsia="zh-CN"/>
              </w:rPr>
            </w:pPr>
          </w:p>
        </w:tc>
        <w:tc>
          <w:tcPr>
            <w:tcW w:w="1843" w:type="dxa"/>
            <w:gridSpan w:val="2"/>
          </w:tcPr>
          <w:p w14:paraId="488737BE">
            <w:pPr>
              <w:pStyle w:val="8"/>
              <w:rPr>
                <w:lang w:eastAsia="zh-CN"/>
              </w:rPr>
            </w:pPr>
          </w:p>
        </w:tc>
      </w:tr>
      <w:tr w14:paraId="1254D8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E8E1DD3">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vAlign w:val="center"/>
          </w:tcPr>
          <w:p w14:paraId="35B05F9E">
            <w:pPr>
              <w:widowControl/>
              <w:jc w:val="center"/>
            </w:pPr>
            <w:r>
              <w:rPr>
                <w:rFonts w:hint="eastAsia" w:ascii="Times New Roman" w:hAnsi="Times New Roman" w:eastAsia="仿宋_GB2312"/>
                <w:sz w:val="20"/>
                <w:szCs w:val="20"/>
                <w:highlight w:val="none"/>
                <w:lang w:val="en-US" w:eastAsia="zh-CN"/>
              </w:rPr>
              <w:t>240.89</w:t>
            </w:r>
          </w:p>
        </w:tc>
        <w:tc>
          <w:tcPr>
            <w:tcW w:w="2197" w:type="dxa"/>
            <w:gridSpan w:val="2"/>
            <w:vAlign w:val="center"/>
          </w:tcPr>
          <w:p w14:paraId="55EC9A3D">
            <w:pPr>
              <w:pStyle w:val="8"/>
              <w:jc w:val="center"/>
              <w:rPr>
                <w:rFonts w:hint="default"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195.66</w:t>
            </w:r>
          </w:p>
        </w:tc>
        <w:tc>
          <w:tcPr>
            <w:tcW w:w="1843" w:type="dxa"/>
            <w:gridSpan w:val="2"/>
            <w:vAlign w:val="center"/>
          </w:tcPr>
          <w:p w14:paraId="3A0C12A1">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195.66</w:t>
            </w:r>
          </w:p>
        </w:tc>
      </w:tr>
      <w:tr w14:paraId="3566F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19FE5396">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vAlign w:val="center"/>
          </w:tcPr>
          <w:p w14:paraId="08616CD1">
            <w:pPr>
              <w:widowControl/>
              <w:jc w:val="center"/>
              <w:rPr>
                <w:rFonts w:hint="default" w:eastAsia="仿宋_GB2312"/>
                <w:color w:val="auto"/>
                <w:lang w:val="en-US" w:eastAsia="zh-CN"/>
              </w:rPr>
            </w:pPr>
            <w:r>
              <w:rPr>
                <w:rFonts w:hint="eastAsia" w:ascii="Times New Roman" w:hAnsi="Times New Roman" w:eastAsia="仿宋_GB2312"/>
                <w:color w:val="auto"/>
                <w:sz w:val="20"/>
                <w:szCs w:val="20"/>
                <w:highlight w:val="none"/>
                <w:lang w:val="en-US" w:eastAsia="zh-CN"/>
              </w:rPr>
              <w:t>5.89</w:t>
            </w:r>
          </w:p>
        </w:tc>
        <w:tc>
          <w:tcPr>
            <w:tcW w:w="2197" w:type="dxa"/>
            <w:gridSpan w:val="2"/>
            <w:vAlign w:val="center"/>
          </w:tcPr>
          <w:p w14:paraId="2C78D42A">
            <w:pPr>
              <w:pStyle w:val="8"/>
              <w:jc w:val="center"/>
              <w:rPr>
                <w:rFonts w:hint="default"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1.48</w:t>
            </w:r>
          </w:p>
        </w:tc>
        <w:tc>
          <w:tcPr>
            <w:tcW w:w="1843" w:type="dxa"/>
            <w:gridSpan w:val="2"/>
            <w:vAlign w:val="center"/>
          </w:tcPr>
          <w:p w14:paraId="4BAC8EA8">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1.48</w:t>
            </w:r>
          </w:p>
        </w:tc>
      </w:tr>
      <w:tr w14:paraId="296F5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791D9F1">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vAlign w:val="center"/>
          </w:tcPr>
          <w:p w14:paraId="3537FAEB">
            <w:pPr>
              <w:widowControl/>
              <w:jc w:val="center"/>
              <w:rPr>
                <w:color w:val="auto"/>
              </w:rPr>
            </w:pPr>
            <w:r>
              <w:rPr>
                <w:rFonts w:hint="eastAsia" w:ascii="Times New Roman" w:hAnsi="Times New Roman" w:eastAsia="仿宋_GB2312"/>
                <w:color w:val="auto"/>
                <w:sz w:val="20"/>
                <w:szCs w:val="20"/>
                <w:highlight w:val="none"/>
              </w:rPr>
              <w:t>16</w:t>
            </w:r>
            <w:r>
              <w:rPr>
                <w:rFonts w:hint="eastAsia" w:ascii="Times New Roman" w:hAnsi="Times New Roman" w:eastAsia="仿宋_GB2312"/>
                <w:color w:val="auto"/>
                <w:sz w:val="20"/>
                <w:szCs w:val="20"/>
                <w:highlight w:val="none"/>
                <w:lang w:val="en-US" w:eastAsia="zh-CN"/>
              </w:rPr>
              <w:t>.</w:t>
            </w:r>
            <w:r>
              <w:rPr>
                <w:rFonts w:hint="eastAsia" w:ascii="Times New Roman" w:hAnsi="Times New Roman" w:eastAsia="仿宋_GB2312"/>
                <w:color w:val="auto"/>
                <w:sz w:val="20"/>
                <w:szCs w:val="20"/>
                <w:highlight w:val="none"/>
              </w:rPr>
              <w:t>94</w:t>
            </w:r>
          </w:p>
        </w:tc>
        <w:tc>
          <w:tcPr>
            <w:tcW w:w="2197" w:type="dxa"/>
            <w:gridSpan w:val="2"/>
            <w:vAlign w:val="center"/>
          </w:tcPr>
          <w:p w14:paraId="7789F765">
            <w:pPr>
              <w:pStyle w:val="8"/>
              <w:jc w:val="center"/>
              <w:rPr>
                <w:rFonts w:hint="default"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14.44</w:t>
            </w:r>
          </w:p>
        </w:tc>
        <w:tc>
          <w:tcPr>
            <w:tcW w:w="1843" w:type="dxa"/>
            <w:gridSpan w:val="2"/>
            <w:vAlign w:val="center"/>
          </w:tcPr>
          <w:p w14:paraId="77596950">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14.44</w:t>
            </w:r>
          </w:p>
        </w:tc>
      </w:tr>
      <w:tr w14:paraId="21DE7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493709DB">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vAlign w:val="center"/>
          </w:tcPr>
          <w:p w14:paraId="1548E816">
            <w:pPr>
              <w:keepNext w:val="0"/>
              <w:keepLines w:val="0"/>
              <w:widowControl/>
              <w:suppressLineNumbers w:val="0"/>
              <w:jc w:val="center"/>
              <w:textAlignment w:val="center"/>
              <w:rPr>
                <w:color w:val="auto"/>
              </w:rPr>
            </w:pPr>
            <w:r>
              <w:rPr>
                <w:rFonts w:hint="eastAsia" w:ascii="Times New Roman" w:hAnsi="Times New Roman" w:eastAsia="仿宋_GB2312"/>
                <w:color w:val="auto"/>
                <w:sz w:val="20"/>
                <w:szCs w:val="20"/>
                <w:highlight w:val="none"/>
                <w:lang w:val="en-US" w:eastAsia="zh-CN"/>
              </w:rPr>
              <w:t>2.04</w:t>
            </w:r>
          </w:p>
        </w:tc>
        <w:tc>
          <w:tcPr>
            <w:tcW w:w="2197" w:type="dxa"/>
            <w:gridSpan w:val="2"/>
            <w:vAlign w:val="center"/>
          </w:tcPr>
          <w:p w14:paraId="01125D17">
            <w:pPr>
              <w:pStyle w:val="8"/>
              <w:jc w:val="center"/>
              <w:rPr>
                <w:rFonts w:hint="default"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0.75</w:t>
            </w:r>
          </w:p>
        </w:tc>
        <w:tc>
          <w:tcPr>
            <w:tcW w:w="1843" w:type="dxa"/>
            <w:gridSpan w:val="2"/>
            <w:vAlign w:val="center"/>
          </w:tcPr>
          <w:p w14:paraId="242E8419">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cs="Arial"/>
                <w:snapToGrid w:val="0"/>
                <w:color w:val="000000"/>
                <w:sz w:val="20"/>
                <w:szCs w:val="20"/>
                <w:highlight w:val="none"/>
                <w:lang w:val="en-US" w:eastAsia="zh-CN" w:bidi="ar-SA"/>
              </w:rPr>
              <w:t>0.75</w:t>
            </w:r>
          </w:p>
        </w:tc>
      </w:tr>
      <w:tr w14:paraId="13ED5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B88C0DC">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vAlign w:val="center"/>
          </w:tcPr>
          <w:p w14:paraId="208DE04A">
            <w:pPr>
              <w:widowControl/>
              <w:jc w:val="center"/>
              <w:rPr>
                <w:rFonts w:hint="default"/>
                <w:lang w:val="en-US"/>
              </w:rPr>
            </w:pPr>
            <w:r>
              <w:rPr>
                <w:rFonts w:hint="eastAsia" w:ascii="Times New Roman" w:hAnsi="Times New Roman" w:eastAsia="仿宋_GB2312"/>
                <w:sz w:val="20"/>
                <w:szCs w:val="20"/>
                <w:lang w:val="en-US" w:eastAsia="zh-CN"/>
              </w:rPr>
              <w:t>0</w:t>
            </w:r>
          </w:p>
        </w:tc>
        <w:tc>
          <w:tcPr>
            <w:tcW w:w="2197" w:type="dxa"/>
            <w:gridSpan w:val="2"/>
            <w:vAlign w:val="center"/>
          </w:tcPr>
          <w:p w14:paraId="0A65C678">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sz w:val="20"/>
                <w:szCs w:val="20"/>
                <w:lang w:val="en-US" w:eastAsia="zh-CN"/>
              </w:rPr>
              <w:t>105.8</w:t>
            </w:r>
          </w:p>
        </w:tc>
        <w:tc>
          <w:tcPr>
            <w:tcW w:w="1843" w:type="dxa"/>
            <w:gridSpan w:val="2"/>
            <w:vAlign w:val="center"/>
          </w:tcPr>
          <w:p w14:paraId="1D7C91FE">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sz w:val="20"/>
                <w:szCs w:val="20"/>
                <w:lang w:val="en-US" w:eastAsia="zh-CN"/>
              </w:rPr>
              <w:t>105.8</w:t>
            </w:r>
          </w:p>
        </w:tc>
      </w:tr>
      <w:tr w14:paraId="5DDD4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673EE03E">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vAlign w:val="center"/>
          </w:tcPr>
          <w:p w14:paraId="6145258A">
            <w:pPr>
              <w:widowControl/>
              <w:jc w:val="center"/>
              <w:rPr>
                <w:lang w:eastAsia="zh-CN"/>
              </w:rPr>
            </w:pPr>
            <w:r>
              <w:rPr>
                <w:rFonts w:hint="eastAsia" w:ascii="Times New Roman" w:hAnsi="Times New Roman" w:eastAsia="仿宋_GB2312"/>
                <w:sz w:val="20"/>
                <w:szCs w:val="20"/>
                <w:lang w:val="en-US" w:eastAsia="zh-CN"/>
              </w:rPr>
              <w:t>0</w:t>
            </w:r>
          </w:p>
        </w:tc>
        <w:tc>
          <w:tcPr>
            <w:tcW w:w="2197" w:type="dxa"/>
            <w:gridSpan w:val="2"/>
            <w:vAlign w:val="center"/>
          </w:tcPr>
          <w:p w14:paraId="0BDF07C0">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sz w:val="20"/>
                <w:szCs w:val="20"/>
                <w:lang w:val="en-US" w:eastAsia="zh-CN"/>
              </w:rPr>
              <w:t>0</w:t>
            </w:r>
          </w:p>
        </w:tc>
        <w:tc>
          <w:tcPr>
            <w:tcW w:w="1843" w:type="dxa"/>
            <w:gridSpan w:val="2"/>
            <w:vAlign w:val="center"/>
          </w:tcPr>
          <w:p w14:paraId="4862F2AD">
            <w:pPr>
              <w:pStyle w:val="8"/>
              <w:jc w:val="center"/>
              <w:rPr>
                <w:rFonts w:hint="eastAsia" w:ascii="Times New Roman" w:hAnsi="Times New Roman" w:eastAsia="仿宋_GB2312" w:cs="Arial"/>
                <w:snapToGrid w:val="0"/>
                <w:color w:val="000000"/>
                <w:sz w:val="20"/>
                <w:szCs w:val="20"/>
                <w:highlight w:val="none"/>
                <w:lang w:val="en-US" w:eastAsia="zh-CN" w:bidi="ar-SA"/>
              </w:rPr>
            </w:pPr>
            <w:r>
              <w:rPr>
                <w:rFonts w:hint="eastAsia" w:ascii="Times New Roman" w:hAnsi="Times New Roman" w:eastAsia="仿宋_GB2312"/>
                <w:sz w:val="20"/>
                <w:szCs w:val="20"/>
                <w:lang w:val="en-US" w:eastAsia="zh-CN"/>
              </w:rPr>
              <w:t>0</w:t>
            </w:r>
          </w:p>
        </w:tc>
      </w:tr>
      <w:tr w14:paraId="1D0FB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23D53613">
            <w:pPr>
              <w:pStyle w:val="8"/>
              <w:spacing w:line="269" w:lineRule="auto"/>
              <w:rPr>
                <w:lang w:eastAsia="zh-CN"/>
              </w:rPr>
            </w:pPr>
          </w:p>
          <w:p w14:paraId="3CEB3F42">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242D6A6D">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4E9AB7E8">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2EB72245">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405D560F">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18970660">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60CCED0D">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590D00C2">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0AD59143">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239D8E28">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6D4AF767">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1EFE77A6">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2021C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288A0CEE">
            <w:pPr>
              <w:pStyle w:val="8"/>
            </w:pPr>
          </w:p>
        </w:tc>
        <w:tc>
          <w:tcPr>
            <w:tcW w:w="1169" w:type="dxa"/>
            <w:vAlign w:val="center"/>
          </w:tcPr>
          <w:p w14:paraId="02C9C146">
            <w:pPr>
              <w:widowControl/>
              <w:jc w:val="center"/>
            </w:pPr>
            <w:r>
              <w:rPr>
                <w:rFonts w:hint="eastAsia" w:ascii="Times New Roman" w:hAnsi="Times New Roman" w:eastAsia="仿宋_GB2312" w:cs="Times New Roman"/>
                <w:sz w:val="20"/>
                <w:szCs w:val="20"/>
                <w:lang w:val="en-US" w:eastAsia="zh-CN"/>
              </w:rPr>
              <w:t>0</w:t>
            </w:r>
          </w:p>
        </w:tc>
        <w:tc>
          <w:tcPr>
            <w:tcW w:w="849" w:type="dxa"/>
            <w:vAlign w:val="center"/>
          </w:tcPr>
          <w:p w14:paraId="273C96EE">
            <w:pPr>
              <w:widowControl/>
              <w:jc w:val="center"/>
            </w:pPr>
            <w:r>
              <w:rPr>
                <w:rFonts w:hint="eastAsia" w:ascii="Times New Roman" w:hAnsi="Times New Roman" w:eastAsia="仿宋_GB2312" w:cs="Times New Roman"/>
                <w:sz w:val="20"/>
                <w:szCs w:val="20"/>
                <w:lang w:val="en-US" w:eastAsia="zh-CN"/>
              </w:rPr>
              <w:t>0</w:t>
            </w:r>
          </w:p>
        </w:tc>
        <w:tc>
          <w:tcPr>
            <w:tcW w:w="1109" w:type="dxa"/>
            <w:vAlign w:val="center"/>
          </w:tcPr>
          <w:p w14:paraId="25AAAB83">
            <w:pPr>
              <w:widowControl/>
              <w:jc w:val="center"/>
            </w:pPr>
            <w:r>
              <w:rPr>
                <w:rFonts w:hint="eastAsia" w:ascii="Times New Roman" w:hAnsi="Times New Roman" w:eastAsia="仿宋_GB2312" w:cs="Times New Roman"/>
                <w:sz w:val="20"/>
                <w:szCs w:val="20"/>
                <w:lang w:val="en-US" w:eastAsia="zh-CN"/>
              </w:rPr>
              <w:t>0</w:t>
            </w:r>
          </w:p>
        </w:tc>
        <w:tc>
          <w:tcPr>
            <w:tcW w:w="1088" w:type="dxa"/>
            <w:vAlign w:val="center"/>
          </w:tcPr>
          <w:p w14:paraId="2337078C">
            <w:pPr>
              <w:widowControl/>
              <w:jc w:val="center"/>
            </w:pPr>
            <w:r>
              <w:rPr>
                <w:rFonts w:hint="eastAsia" w:ascii="Times New Roman" w:hAnsi="Times New Roman" w:eastAsia="仿宋_GB2312" w:cs="Times New Roman"/>
                <w:sz w:val="20"/>
                <w:szCs w:val="20"/>
                <w:lang w:val="en-US" w:eastAsia="zh-CN"/>
              </w:rPr>
              <w:t>0</w:t>
            </w:r>
          </w:p>
        </w:tc>
        <w:tc>
          <w:tcPr>
            <w:tcW w:w="969" w:type="dxa"/>
            <w:vAlign w:val="center"/>
          </w:tcPr>
          <w:p w14:paraId="0BB8A337">
            <w:pPr>
              <w:widowControl/>
              <w:jc w:val="center"/>
            </w:pPr>
            <w:r>
              <w:rPr>
                <w:rFonts w:hint="eastAsia" w:ascii="Times New Roman" w:hAnsi="Times New Roman" w:eastAsia="仿宋_GB2312" w:cs="Times New Roman"/>
                <w:sz w:val="20"/>
                <w:szCs w:val="20"/>
                <w:lang w:val="en-US" w:eastAsia="zh-CN"/>
              </w:rPr>
              <w:t>0</w:t>
            </w:r>
          </w:p>
        </w:tc>
        <w:tc>
          <w:tcPr>
            <w:tcW w:w="874" w:type="dxa"/>
            <w:vAlign w:val="center"/>
          </w:tcPr>
          <w:p w14:paraId="3BC4F83A">
            <w:pPr>
              <w:widowControl/>
              <w:jc w:val="center"/>
            </w:pPr>
            <w:r>
              <w:rPr>
                <w:rFonts w:hint="eastAsia" w:ascii="Times New Roman" w:hAnsi="Times New Roman" w:eastAsia="仿宋_GB2312" w:cs="Times New Roman"/>
                <w:sz w:val="20"/>
                <w:szCs w:val="20"/>
                <w:lang w:val="en-US" w:eastAsia="zh-CN"/>
              </w:rPr>
              <w:t>0</w:t>
            </w:r>
          </w:p>
        </w:tc>
      </w:tr>
      <w:tr w14:paraId="4B309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34A8E617">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758F24E0">
            <w:pPr>
              <w:pStyle w:val="8"/>
              <w:jc w:val="center"/>
              <w:rPr>
                <w:rFonts w:hint="default" w:eastAsia="宋体"/>
                <w:lang w:val="en-US" w:eastAsia="zh-CN"/>
              </w:rPr>
            </w:pPr>
            <w:r>
              <w:rPr>
                <w:rFonts w:hint="eastAsia" w:ascii="Times New Roman" w:hAnsi="Times New Roman" w:eastAsia="仿宋_GB2312"/>
                <w:sz w:val="20"/>
                <w:szCs w:val="20"/>
                <w:lang w:eastAsia="zh-CN"/>
              </w:rPr>
              <w:t>中共怀化市委办公室、怀化市人民政府办公室印发《关于牢固树立过“紧日子”思想大力压减一般性支出的十条措施》</w:t>
            </w:r>
          </w:p>
        </w:tc>
      </w:tr>
    </w:tbl>
    <w:p w14:paraId="36532BD5">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5DEAC175">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刘碧媛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2024.10.17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2267007</w:t>
      </w:r>
    </w:p>
    <w:p w14:paraId="381171A1">
      <w:pPr>
        <w:spacing w:line="242" w:lineRule="auto"/>
        <w:rPr>
          <w:lang w:eastAsia="zh-CN"/>
        </w:rPr>
      </w:pPr>
    </w:p>
    <w:p w14:paraId="0B75CC61">
      <w:pPr>
        <w:spacing w:line="242" w:lineRule="auto"/>
        <w:rPr>
          <w:lang w:eastAsia="zh-CN"/>
        </w:rPr>
      </w:pPr>
    </w:p>
    <w:p w14:paraId="2E54FA83">
      <w:pPr>
        <w:spacing w:line="242" w:lineRule="auto"/>
        <w:rPr>
          <w:lang w:eastAsia="zh-CN"/>
        </w:rPr>
      </w:pPr>
    </w:p>
    <w:p w14:paraId="5137BC0C">
      <w:pPr>
        <w:spacing w:line="242" w:lineRule="auto"/>
        <w:rPr>
          <w:lang w:eastAsia="zh-CN"/>
        </w:rPr>
      </w:pPr>
    </w:p>
    <w:p w14:paraId="69FBDBCB">
      <w:pPr>
        <w:spacing w:line="242" w:lineRule="auto"/>
        <w:rPr>
          <w:lang w:eastAsia="zh-CN"/>
        </w:rPr>
      </w:pPr>
    </w:p>
    <w:p w14:paraId="2366DA04">
      <w:pPr>
        <w:pStyle w:val="2"/>
        <w:spacing w:before="100" w:line="222" w:lineRule="auto"/>
        <w:ind w:left="414"/>
        <w:rPr>
          <w:sz w:val="24"/>
          <w:szCs w:val="24"/>
          <w:lang w:eastAsia="zh-CN"/>
        </w:rPr>
      </w:pPr>
      <w:r>
        <w:rPr>
          <w:spacing w:val="15"/>
          <w:sz w:val="24"/>
          <w:szCs w:val="24"/>
          <w:lang w:eastAsia="zh-CN"/>
        </w:rPr>
        <w:t>附件1-2</w:t>
      </w:r>
    </w:p>
    <w:p w14:paraId="6CB212B7">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7"/>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1129"/>
        <w:gridCol w:w="699"/>
        <w:gridCol w:w="449"/>
        <w:gridCol w:w="1194"/>
      </w:tblGrid>
      <w:tr w14:paraId="10D387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75789A82">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076" w:type="dxa"/>
            <w:gridSpan w:val="8"/>
            <w:vAlign w:val="center"/>
          </w:tcPr>
          <w:p w14:paraId="77E3F730">
            <w:pPr>
              <w:pStyle w:val="8"/>
              <w:jc w:val="center"/>
            </w:pPr>
            <w:r>
              <w:rPr>
                <w:rFonts w:hint="eastAsia"/>
              </w:rPr>
              <w:t>怀化市鹤城区市场监督管理局</w:t>
            </w:r>
          </w:p>
        </w:tc>
      </w:tr>
      <w:tr w14:paraId="7D91F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vAlign w:val="center"/>
          </w:tcPr>
          <w:p w14:paraId="77FBBEF5">
            <w:pPr>
              <w:spacing w:line="240" w:lineRule="auto"/>
              <w:ind w:left="0" w:right="0"/>
              <w:jc w:val="center"/>
              <w:rPr>
                <w:rFonts w:ascii="宋体" w:hAnsi="宋体" w:eastAsia="宋体" w:cs="宋体"/>
                <w:spacing w:val="-3"/>
                <w:sz w:val="20"/>
                <w:szCs w:val="20"/>
              </w:rPr>
            </w:pPr>
            <w:r>
              <w:rPr>
                <w:rFonts w:ascii="宋体" w:hAnsi="宋体" w:eastAsia="宋体" w:cs="宋体"/>
                <w:spacing w:val="-3"/>
                <w:sz w:val="20"/>
                <w:szCs w:val="20"/>
              </w:rPr>
              <w:t>年度预</w:t>
            </w:r>
          </w:p>
          <w:p w14:paraId="1BC7B694">
            <w:pPr>
              <w:spacing w:line="240" w:lineRule="auto"/>
              <w:ind w:left="0" w:right="0"/>
              <w:jc w:val="center"/>
              <w:rPr>
                <w:rFonts w:ascii="宋体" w:hAnsi="宋体" w:eastAsia="宋体" w:cs="宋体"/>
                <w:spacing w:val="-4"/>
                <w:sz w:val="20"/>
                <w:szCs w:val="20"/>
              </w:rPr>
            </w:pPr>
            <w:r>
              <w:rPr>
                <w:rFonts w:ascii="宋体" w:hAnsi="宋体" w:eastAsia="宋体" w:cs="宋体"/>
                <w:spacing w:val="-4"/>
                <w:sz w:val="20"/>
                <w:szCs w:val="20"/>
              </w:rPr>
              <w:t>算申请</w:t>
            </w:r>
          </w:p>
          <w:p w14:paraId="06B77459">
            <w:pPr>
              <w:spacing w:line="240" w:lineRule="auto"/>
              <w:ind w:left="0" w:right="0"/>
              <w:jc w:val="center"/>
              <w:rPr>
                <w:rFonts w:ascii="宋体" w:hAnsi="宋体" w:eastAsia="宋体" w:cs="宋体"/>
                <w:sz w:val="20"/>
                <w:szCs w:val="20"/>
              </w:rPr>
            </w:pPr>
            <w:r>
              <w:rPr>
                <w:rFonts w:ascii="宋体" w:hAnsi="宋体" w:eastAsia="宋体" w:cs="宋体"/>
                <w:spacing w:val="10"/>
                <w:sz w:val="20"/>
                <w:szCs w:val="20"/>
              </w:rPr>
              <w:t>(万元)</w:t>
            </w:r>
          </w:p>
        </w:tc>
        <w:tc>
          <w:tcPr>
            <w:tcW w:w="2278" w:type="dxa"/>
            <w:gridSpan w:val="2"/>
          </w:tcPr>
          <w:p w14:paraId="4C5E4E11">
            <w:pPr>
              <w:pStyle w:val="8"/>
            </w:pPr>
          </w:p>
        </w:tc>
        <w:tc>
          <w:tcPr>
            <w:tcW w:w="1039" w:type="dxa"/>
          </w:tcPr>
          <w:p w14:paraId="10AFD4DA">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tcPr>
          <w:p w14:paraId="50ECE08B">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129" w:type="dxa"/>
          </w:tcPr>
          <w:p w14:paraId="1E3F1355">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99" w:type="dxa"/>
          </w:tcPr>
          <w:p w14:paraId="598225C0">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400FDBE0">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194" w:type="dxa"/>
          </w:tcPr>
          <w:p w14:paraId="3CF4BE3B">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14:paraId="6CE24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7B3EB4E5">
            <w:pPr>
              <w:pStyle w:val="8"/>
            </w:pPr>
          </w:p>
        </w:tc>
        <w:tc>
          <w:tcPr>
            <w:tcW w:w="2278" w:type="dxa"/>
            <w:gridSpan w:val="2"/>
          </w:tcPr>
          <w:p w14:paraId="1E2D45D4">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vAlign w:val="center"/>
          </w:tcPr>
          <w:p w14:paraId="055AC7B9">
            <w:pPr>
              <w:pStyle w:val="8"/>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2436.41</w:t>
            </w:r>
          </w:p>
        </w:tc>
        <w:tc>
          <w:tcPr>
            <w:tcW w:w="1288" w:type="dxa"/>
            <w:vAlign w:val="center"/>
          </w:tcPr>
          <w:p w14:paraId="346B4251">
            <w:pPr>
              <w:pStyle w:val="8"/>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2337.93</w:t>
            </w:r>
          </w:p>
        </w:tc>
        <w:tc>
          <w:tcPr>
            <w:tcW w:w="1129" w:type="dxa"/>
            <w:vAlign w:val="center"/>
          </w:tcPr>
          <w:p w14:paraId="35842CE1">
            <w:pPr>
              <w:pStyle w:val="8"/>
              <w:jc w:val="center"/>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2337.93</w:t>
            </w:r>
          </w:p>
        </w:tc>
        <w:tc>
          <w:tcPr>
            <w:tcW w:w="699" w:type="dxa"/>
            <w:vAlign w:val="center"/>
          </w:tcPr>
          <w:p w14:paraId="1891435C">
            <w:pPr>
              <w:spacing w:before="120" w:line="184" w:lineRule="auto"/>
              <w:ind w:left="247"/>
              <w:jc w:val="center"/>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10</w:t>
            </w:r>
          </w:p>
        </w:tc>
        <w:tc>
          <w:tcPr>
            <w:tcW w:w="449" w:type="dxa"/>
            <w:vAlign w:val="center"/>
          </w:tcPr>
          <w:p w14:paraId="6509D8EE">
            <w:pPr>
              <w:pStyle w:val="8"/>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100%</w:t>
            </w:r>
          </w:p>
        </w:tc>
        <w:tc>
          <w:tcPr>
            <w:tcW w:w="1194" w:type="dxa"/>
            <w:vAlign w:val="center"/>
          </w:tcPr>
          <w:p w14:paraId="2F863155">
            <w:pPr>
              <w:pStyle w:val="8"/>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s="Arial"/>
                <w:snapToGrid w:val="0"/>
                <w:color w:val="000000"/>
                <w:sz w:val="20"/>
                <w:szCs w:val="20"/>
                <w:lang w:val="en-US" w:eastAsia="zh-CN" w:bidi="ar-SA"/>
              </w:rPr>
              <w:t>10</w:t>
            </w:r>
          </w:p>
        </w:tc>
      </w:tr>
      <w:tr w14:paraId="2D3EB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0CF077E2">
            <w:pPr>
              <w:pStyle w:val="8"/>
            </w:pPr>
          </w:p>
        </w:tc>
        <w:tc>
          <w:tcPr>
            <w:tcW w:w="4605" w:type="dxa"/>
            <w:gridSpan w:val="4"/>
          </w:tcPr>
          <w:p w14:paraId="29C2FF71">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471" w:type="dxa"/>
            <w:gridSpan w:val="4"/>
          </w:tcPr>
          <w:p w14:paraId="6B895AED">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0DAEF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0C9713D7">
            <w:pPr>
              <w:pStyle w:val="8"/>
            </w:pPr>
          </w:p>
        </w:tc>
        <w:tc>
          <w:tcPr>
            <w:tcW w:w="4605" w:type="dxa"/>
            <w:gridSpan w:val="4"/>
          </w:tcPr>
          <w:p w14:paraId="58C852B5">
            <w:pPr>
              <w:spacing w:before="70" w:line="219" w:lineRule="auto"/>
              <w:ind w:left="331"/>
              <w:rPr>
                <w:rFonts w:hint="default" w:ascii="宋体" w:hAnsi="宋体" w:eastAsia="宋体" w:cs="宋体"/>
                <w:sz w:val="20"/>
                <w:szCs w:val="20"/>
                <w:lang w:val="en-US"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3"/>
                <w:sz w:val="20"/>
                <w:szCs w:val="20"/>
                <w:lang w:val="en-US" w:eastAsia="zh-CN"/>
              </w:rPr>
              <w:t>2332.53</w:t>
            </w:r>
          </w:p>
        </w:tc>
        <w:tc>
          <w:tcPr>
            <w:tcW w:w="3471" w:type="dxa"/>
            <w:gridSpan w:val="4"/>
          </w:tcPr>
          <w:p w14:paraId="4CE9DE77">
            <w:pPr>
              <w:spacing w:before="68" w:line="219" w:lineRule="auto"/>
              <w:ind w:left="95"/>
              <w:rPr>
                <w:rFonts w:hint="default" w:ascii="宋体" w:hAnsi="宋体" w:eastAsia="宋体" w:cs="宋体"/>
                <w:sz w:val="20"/>
                <w:szCs w:val="20"/>
                <w:lang w:val="en-US" w:eastAsia="zh-CN"/>
              </w:rPr>
            </w:pPr>
            <w:r>
              <w:rPr>
                <w:rFonts w:ascii="宋体" w:hAnsi="宋体" w:eastAsia="宋体" w:cs="宋体"/>
                <w:sz w:val="20"/>
                <w:szCs w:val="20"/>
              </w:rPr>
              <w:t>其中：基本支出：</w:t>
            </w:r>
            <w:r>
              <w:rPr>
                <w:rFonts w:hint="eastAsia" w:ascii="宋体" w:hAnsi="宋体" w:eastAsia="宋体" w:cs="宋体"/>
                <w:sz w:val="20"/>
                <w:szCs w:val="20"/>
                <w:lang w:val="en-US" w:eastAsia="zh-CN"/>
              </w:rPr>
              <w:t>1866.36</w:t>
            </w:r>
          </w:p>
        </w:tc>
      </w:tr>
      <w:tr w14:paraId="1A80D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38ACC58C">
            <w:pPr>
              <w:pStyle w:val="8"/>
            </w:pPr>
          </w:p>
        </w:tc>
        <w:tc>
          <w:tcPr>
            <w:tcW w:w="4605" w:type="dxa"/>
            <w:gridSpan w:val="4"/>
          </w:tcPr>
          <w:p w14:paraId="3159E3F6">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471" w:type="dxa"/>
            <w:gridSpan w:val="4"/>
          </w:tcPr>
          <w:p w14:paraId="40E632B6">
            <w:pPr>
              <w:spacing w:before="70" w:line="220" w:lineRule="auto"/>
              <w:ind w:left="715"/>
              <w:rPr>
                <w:rFonts w:hint="default"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pacing w:val="-1"/>
                <w:sz w:val="20"/>
                <w:szCs w:val="20"/>
                <w:lang w:val="en-US" w:eastAsia="zh-CN"/>
              </w:rPr>
              <w:t>471.57</w:t>
            </w:r>
          </w:p>
        </w:tc>
      </w:tr>
      <w:tr w14:paraId="4ADB2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19D42C97">
            <w:pPr>
              <w:pStyle w:val="8"/>
            </w:pPr>
          </w:p>
        </w:tc>
        <w:tc>
          <w:tcPr>
            <w:tcW w:w="4605" w:type="dxa"/>
            <w:gridSpan w:val="4"/>
          </w:tcPr>
          <w:p w14:paraId="347CB871">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471" w:type="dxa"/>
            <w:gridSpan w:val="4"/>
          </w:tcPr>
          <w:p w14:paraId="5892960E">
            <w:pPr>
              <w:pStyle w:val="8"/>
              <w:rPr>
                <w:lang w:eastAsia="zh-CN"/>
              </w:rPr>
            </w:pPr>
          </w:p>
        </w:tc>
      </w:tr>
      <w:tr w14:paraId="1B977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43DE3871">
            <w:pPr>
              <w:pStyle w:val="8"/>
              <w:rPr>
                <w:lang w:eastAsia="zh-CN"/>
              </w:rPr>
            </w:pPr>
          </w:p>
        </w:tc>
        <w:tc>
          <w:tcPr>
            <w:tcW w:w="4605" w:type="dxa"/>
            <w:gridSpan w:val="4"/>
          </w:tcPr>
          <w:p w14:paraId="7ACE1EC3">
            <w:pPr>
              <w:spacing w:before="41" w:line="202" w:lineRule="auto"/>
              <w:ind w:left="1521"/>
              <w:rPr>
                <w:rFonts w:hint="default" w:ascii="宋体" w:hAnsi="宋体" w:eastAsia="宋体" w:cs="宋体"/>
                <w:sz w:val="20"/>
                <w:szCs w:val="20"/>
                <w:lang w:val="en-US" w:eastAsia="zh-CN"/>
              </w:rPr>
            </w:pPr>
            <w:r>
              <w:rPr>
                <w:rFonts w:ascii="宋体" w:hAnsi="宋体" w:eastAsia="宋体" w:cs="宋体"/>
                <w:spacing w:val="-1"/>
                <w:sz w:val="20"/>
                <w:szCs w:val="20"/>
              </w:rPr>
              <w:t>其他资金：</w:t>
            </w:r>
            <w:r>
              <w:rPr>
                <w:rFonts w:hint="eastAsia" w:ascii="宋体" w:hAnsi="宋体" w:eastAsia="宋体" w:cs="宋体"/>
                <w:spacing w:val="-1"/>
                <w:sz w:val="20"/>
                <w:szCs w:val="20"/>
                <w:lang w:val="en-US" w:eastAsia="zh-CN"/>
              </w:rPr>
              <w:t>5.4</w:t>
            </w:r>
          </w:p>
        </w:tc>
        <w:tc>
          <w:tcPr>
            <w:tcW w:w="3471" w:type="dxa"/>
            <w:gridSpan w:val="4"/>
          </w:tcPr>
          <w:p w14:paraId="3254135A">
            <w:pPr>
              <w:pStyle w:val="8"/>
            </w:pPr>
          </w:p>
        </w:tc>
      </w:tr>
      <w:tr w14:paraId="2507B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vAlign w:val="center"/>
          </w:tcPr>
          <w:p w14:paraId="13425621">
            <w:pPr>
              <w:spacing w:before="89" w:line="226" w:lineRule="auto"/>
              <w:ind w:left="364" w:right="177" w:hanging="200"/>
              <w:jc w:val="center"/>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7BA338A4">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471" w:type="dxa"/>
            <w:gridSpan w:val="4"/>
          </w:tcPr>
          <w:p w14:paraId="232AA7CE">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57CAA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nil"/>
            </w:tcBorders>
          </w:tcPr>
          <w:p w14:paraId="45CBE52F">
            <w:pPr>
              <w:pStyle w:val="8"/>
            </w:pPr>
          </w:p>
        </w:tc>
        <w:tc>
          <w:tcPr>
            <w:tcW w:w="4605" w:type="dxa"/>
            <w:gridSpan w:val="4"/>
          </w:tcPr>
          <w:p w14:paraId="5C4C57A6">
            <w:pPr>
              <w:pStyle w:val="8"/>
              <w:spacing w:line="230" w:lineRule="exact"/>
              <w:rPr>
                <w:sz w:val="20"/>
              </w:rPr>
            </w:pPr>
            <w:r>
              <w:rPr>
                <w:rFonts w:hint="eastAsia"/>
                <w:sz w:val="20"/>
              </w:rPr>
              <w:t>全面落实省局、市局和区委、区政府各项工作部署，坚持以深化改革为动力、以问题导向为统领、以法治建设为基础、以能力建设为保障，紧紧围绕“医药产业有发展、食药安全有保障”这一核心目标，全力打好“机构改革、专项治理、监管创新、队伍建设”四大战役，立足新起点、适应新常态、履行新职责、谋求新发展，统筹推进各项工作，切实保障公众饮食用药安全。以服务怀化鹤城区经济发展为目标，推进产业转型升级。建立“大质量”工作机制，创新监管方式，将职能下移、服务前移，变“监管”为“服务”。以市场监管职能为抓手，保障民生民利。大力推进商事制度改革。全面加强市场监管综合行政执法工作，建立健全综合行政执法队伍。</w:t>
            </w:r>
          </w:p>
        </w:tc>
        <w:tc>
          <w:tcPr>
            <w:tcW w:w="3471" w:type="dxa"/>
            <w:gridSpan w:val="4"/>
          </w:tcPr>
          <w:p w14:paraId="2EEB0F18">
            <w:pPr>
              <w:pStyle w:val="8"/>
              <w:spacing w:line="230" w:lineRule="exact"/>
              <w:rPr>
                <w:sz w:val="20"/>
              </w:rPr>
            </w:pPr>
            <w:r>
              <w:rPr>
                <w:rFonts w:hint="eastAsia"/>
                <w:sz w:val="20"/>
              </w:rPr>
              <w:t>全面落实省局、市局和区委、区政府各项工作部署，坚持以深化改革为动力、以问题导向为统领、以法治建设为基础、以能力建设为保障，紧紧围绕“医药产业有发展、食药安全有保障”这一核心目标，全力打好“机构改革、专项治理、监管创新、队伍建设”四大战役，立足新起点、适应新常态、履行新职责、谋求新发展，统筹推进各项工作，切实保障公众饮食用药安全。以服务怀化鹤城区经济发展为目标，推进产业转型升级。建立“大质量”工作机制，创新监管方式，将职能下移、服务前移，变“监管”为“服务”。以市场监管职能为抓手，保障民生民利。大力推进商事制度改革。全面加强市场监管综合行政执法工作，建立健全综合行政执法队伍。</w:t>
            </w:r>
          </w:p>
        </w:tc>
      </w:tr>
      <w:tr w14:paraId="51086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vAlign w:val="center"/>
          </w:tcPr>
          <w:p w14:paraId="49B282F4">
            <w:pPr>
              <w:spacing w:line="240" w:lineRule="auto"/>
              <w:ind w:left="0"/>
              <w:jc w:val="center"/>
              <w:rPr>
                <w:rFonts w:ascii="宋体" w:hAnsi="宋体" w:eastAsia="宋体" w:cs="宋体"/>
                <w:sz w:val="20"/>
                <w:szCs w:val="20"/>
              </w:rPr>
            </w:pPr>
            <w:r>
              <w:rPr>
                <w:rFonts w:ascii="宋体" w:hAnsi="宋体" w:eastAsia="宋体" w:cs="宋体"/>
                <w:sz w:val="20"/>
                <w:szCs w:val="20"/>
              </w:rPr>
              <w:t>绩效指标</w:t>
            </w:r>
          </w:p>
        </w:tc>
        <w:tc>
          <w:tcPr>
            <w:tcW w:w="1169" w:type="dxa"/>
          </w:tcPr>
          <w:p w14:paraId="0A8E5CA7">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Pr>
          <w:p w14:paraId="095A6CF7">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7D828E55">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tcPr>
          <w:p w14:paraId="2017E361">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29" w:type="dxa"/>
          </w:tcPr>
          <w:p w14:paraId="1A8FFAC9">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99" w:type="dxa"/>
          </w:tcPr>
          <w:p w14:paraId="4755ABEA">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639D0806">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194" w:type="dxa"/>
          </w:tcPr>
          <w:p w14:paraId="51D64FBC">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7C8959DF">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70E388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extDirection w:val="tbRlV"/>
          </w:tcPr>
          <w:p w14:paraId="28D02A90">
            <w:pPr>
              <w:pStyle w:val="8"/>
              <w:rPr>
                <w:lang w:eastAsia="zh-CN"/>
              </w:rPr>
            </w:pPr>
          </w:p>
        </w:tc>
        <w:tc>
          <w:tcPr>
            <w:tcW w:w="1169" w:type="dxa"/>
            <w:vMerge w:val="restart"/>
            <w:tcBorders>
              <w:bottom w:val="nil"/>
            </w:tcBorders>
            <w:vAlign w:val="center"/>
          </w:tcPr>
          <w:p w14:paraId="60FF9757">
            <w:pPr>
              <w:spacing w:before="65" w:line="219" w:lineRule="auto"/>
              <w:ind w:left="0" w:leftChars="0" w:hanging="8" w:firstLineChars="0"/>
              <w:jc w:val="center"/>
              <w:rPr>
                <w:rFonts w:ascii="宋体" w:hAnsi="宋体" w:eastAsia="宋体" w:cs="宋体"/>
                <w:sz w:val="20"/>
                <w:szCs w:val="20"/>
              </w:rPr>
            </w:pPr>
            <w:r>
              <w:rPr>
                <w:rFonts w:ascii="宋体" w:hAnsi="宋体" w:eastAsia="宋体" w:cs="宋体"/>
                <w:spacing w:val="-2"/>
                <w:sz w:val="20"/>
                <w:szCs w:val="20"/>
              </w:rPr>
              <w:t>产出指标</w:t>
            </w:r>
          </w:p>
          <w:p w14:paraId="625866AA">
            <w:pPr>
              <w:spacing w:before="33" w:line="220" w:lineRule="auto"/>
              <w:ind w:left="0" w:leftChars="0" w:hanging="8" w:firstLineChars="0"/>
              <w:jc w:val="center"/>
              <w:rPr>
                <w:rFonts w:ascii="宋体" w:hAnsi="宋体" w:eastAsia="宋体" w:cs="宋体"/>
                <w:sz w:val="20"/>
                <w:szCs w:val="20"/>
              </w:rPr>
            </w:pPr>
            <w:r>
              <w:rPr>
                <w:rFonts w:ascii="宋体" w:hAnsi="宋体" w:eastAsia="宋体" w:cs="宋体"/>
                <w:spacing w:val="8"/>
                <w:sz w:val="20"/>
                <w:szCs w:val="20"/>
              </w:rPr>
              <w:t>(50分)</w:t>
            </w:r>
          </w:p>
        </w:tc>
        <w:tc>
          <w:tcPr>
            <w:tcW w:w="1109" w:type="dxa"/>
            <w:vMerge w:val="restart"/>
            <w:tcBorders>
              <w:bottom w:val="nil"/>
            </w:tcBorders>
            <w:vAlign w:val="center"/>
          </w:tcPr>
          <w:p w14:paraId="39AEF39E">
            <w:pPr>
              <w:keepNext w:val="0"/>
              <w:keepLines w:val="0"/>
              <w:pageBreakBefore w:val="0"/>
              <w:widowControl/>
              <w:kinsoku w:val="0"/>
              <w:wordWrap/>
              <w:overflowPunct/>
              <w:topLinePunct w:val="0"/>
              <w:autoSpaceDE w:val="0"/>
              <w:autoSpaceDN w:val="0"/>
              <w:bidi w:val="0"/>
              <w:adjustRightInd w:val="0"/>
              <w:snapToGrid w:val="0"/>
              <w:spacing w:line="212" w:lineRule="auto"/>
              <w:ind w:left="0" w:leftChars="0" w:right="38" w:rightChars="18" w:firstLine="0" w:firstLineChars="0"/>
              <w:jc w:val="center"/>
              <w:textAlignment w:val="baseline"/>
              <w:rPr>
                <w:rFonts w:ascii="宋体" w:hAnsi="宋体" w:eastAsia="宋体" w:cs="宋体"/>
                <w:spacing w:val="-5"/>
                <w:sz w:val="20"/>
                <w:szCs w:val="20"/>
              </w:rPr>
            </w:pPr>
            <w:r>
              <w:rPr>
                <w:rFonts w:ascii="宋体" w:hAnsi="宋体" w:eastAsia="宋体" w:cs="宋体"/>
                <w:spacing w:val="-5"/>
                <w:sz w:val="20"/>
                <w:szCs w:val="20"/>
              </w:rPr>
              <w:t>数量</w:t>
            </w:r>
          </w:p>
          <w:p w14:paraId="1DFDFDA5">
            <w:pPr>
              <w:keepNext w:val="0"/>
              <w:keepLines w:val="0"/>
              <w:pageBreakBefore w:val="0"/>
              <w:widowControl/>
              <w:kinsoku w:val="0"/>
              <w:wordWrap/>
              <w:overflowPunct/>
              <w:topLinePunct w:val="0"/>
              <w:autoSpaceDE w:val="0"/>
              <w:autoSpaceDN w:val="0"/>
              <w:bidi w:val="0"/>
              <w:adjustRightInd w:val="0"/>
              <w:snapToGrid w:val="0"/>
              <w:spacing w:line="212"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6"/>
                <w:sz w:val="20"/>
                <w:szCs w:val="20"/>
              </w:rPr>
              <w:t>指标</w:t>
            </w:r>
          </w:p>
        </w:tc>
        <w:tc>
          <w:tcPr>
            <w:tcW w:w="1039" w:type="dxa"/>
            <w:vAlign w:val="center"/>
          </w:tcPr>
          <w:p w14:paraId="595CC5FA">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农产品和食品抽检</w:t>
            </w:r>
          </w:p>
        </w:tc>
        <w:tc>
          <w:tcPr>
            <w:tcW w:w="1288" w:type="dxa"/>
            <w:vAlign w:val="center"/>
          </w:tcPr>
          <w:p w14:paraId="45DC5AE9">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完成2023年农产品和食品抽检量目标任务</w:t>
            </w:r>
          </w:p>
        </w:tc>
        <w:tc>
          <w:tcPr>
            <w:tcW w:w="1129" w:type="dxa"/>
            <w:vAlign w:val="center"/>
          </w:tcPr>
          <w:p w14:paraId="0535F297">
            <w:pPr>
              <w:pStyle w:val="8"/>
              <w:jc w:val="center"/>
              <w:rPr>
                <w:rFonts w:hint="default"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完成2023年农产品和食品抽检量目标任务1340批次</w:t>
            </w:r>
          </w:p>
        </w:tc>
        <w:tc>
          <w:tcPr>
            <w:tcW w:w="699" w:type="dxa"/>
            <w:vMerge w:val="restart"/>
            <w:vAlign w:val="center"/>
          </w:tcPr>
          <w:p w14:paraId="1076E245">
            <w:pPr>
              <w:pStyle w:val="8"/>
              <w:jc w:val="center"/>
              <w:rPr>
                <w:rFonts w:hint="default" w:eastAsia="宋体"/>
                <w:lang w:val="en-US" w:eastAsia="zh-CN"/>
              </w:rPr>
            </w:pPr>
            <w:r>
              <w:rPr>
                <w:rFonts w:hint="eastAsia" w:eastAsia="宋体"/>
                <w:lang w:val="en-US" w:eastAsia="zh-CN"/>
              </w:rPr>
              <w:t>50</w:t>
            </w:r>
          </w:p>
        </w:tc>
        <w:tc>
          <w:tcPr>
            <w:tcW w:w="449" w:type="dxa"/>
            <w:vMerge w:val="restart"/>
            <w:vAlign w:val="center"/>
          </w:tcPr>
          <w:p w14:paraId="74A58FB7">
            <w:pPr>
              <w:pStyle w:val="8"/>
              <w:jc w:val="center"/>
              <w:rPr>
                <w:rFonts w:hint="default" w:eastAsia="宋体"/>
                <w:lang w:val="en-US" w:eastAsia="zh-CN"/>
              </w:rPr>
            </w:pPr>
            <w:r>
              <w:rPr>
                <w:rFonts w:hint="eastAsia" w:eastAsia="宋体"/>
                <w:lang w:val="en-US" w:eastAsia="zh-CN"/>
              </w:rPr>
              <w:t>50</w:t>
            </w:r>
          </w:p>
        </w:tc>
        <w:tc>
          <w:tcPr>
            <w:tcW w:w="1194" w:type="dxa"/>
          </w:tcPr>
          <w:p w14:paraId="51B92B3E">
            <w:pPr>
              <w:pStyle w:val="8"/>
            </w:pPr>
          </w:p>
        </w:tc>
      </w:tr>
      <w:tr w14:paraId="70D02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47EEC25B">
            <w:pPr>
              <w:pStyle w:val="8"/>
            </w:pPr>
          </w:p>
        </w:tc>
        <w:tc>
          <w:tcPr>
            <w:tcW w:w="1169" w:type="dxa"/>
            <w:vMerge w:val="continue"/>
            <w:tcBorders>
              <w:top w:val="nil"/>
              <w:bottom w:val="nil"/>
            </w:tcBorders>
          </w:tcPr>
          <w:p w14:paraId="6DBBB5F5">
            <w:pPr>
              <w:pStyle w:val="8"/>
              <w:ind w:left="0" w:leftChars="0" w:hanging="8" w:firstLineChars="0"/>
            </w:pPr>
          </w:p>
        </w:tc>
        <w:tc>
          <w:tcPr>
            <w:tcW w:w="1109" w:type="dxa"/>
            <w:vMerge w:val="continue"/>
            <w:tcBorders>
              <w:top w:val="nil"/>
            </w:tcBorders>
            <w:vAlign w:val="center"/>
          </w:tcPr>
          <w:p w14:paraId="67732034">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16C10C60">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消费者投诉受理时间</w:t>
            </w:r>
          </w:p>
        </w:tc>
        <w:tc>
          <w:tcPr>
            <w:tcW w:w="1288" w:type="dxa"/>
            <w:vAlign w:val="center"/>
          </w:tcPr>
          <w:p w14:paraId="19AA04DC">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≦7个工作日</w:t>
            </w:r>
          </w:p>
        </w:tc>
        <w:tc>
          <w:tcPr>
            <w:tcW w:w="1129" w:type="dxa"/>
            <w:vAlign w:val="center"/>
          </w:tcPr>
          <w:p w14:paraId="6DCACA05">
            <w:pPr>
              <w:pStyle w:val="8"/>
              <w:jc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≦7个工作日</w:t>
            </w:r>
          </w:p>
        </w:tc>
        <w:tc>
          <w:tcPr>
            <w:tcW w:w="699" w:type="dxa"/>
            <w:vMerge w:val="continue"/>
          </w:tcPr>
          <w:p w14:paraId="2D1A1525">
            <w:pPr>
              <w:pStyle w:val="8"/>
            </w:pPr>
          </w:p>
        </w:tc>
        <w:tc>
          <w:tcPr>
            <w:tcW w:w="449" w:type="dxa"/>
            <w:vMerge w:val="continue"/>
          </w:tcPr>
          <w:p w14:paraId="62BA8993">
            <w:pPr>
              <w:pStyle w:val="8"/>
            </w:pPr>
          </w:p>
        </w:tc>
        <w:tc>
          <w:tcPr>
            <w:tcW w:w="1194" w:type="dxa"/>
          </w:tcPr>
          <w:p w14:paraId="481735ED">
            <w:pPr>
              <w:pStyle w:val="8"/>
            </w:pPr>
          </w:p>
        </w:tc>
      </w:tr>
      <w:tr w14:paraId="0AF6B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D49D9AE">
            <w:pPr>
              <w:pStyle w:val="8"/>
            </w:pPr>
          </w:p>
        </w:tc>
        <w:tc>
          <w:tcPr>
            <w:tcW w:w="1169" w:type="dxa"/>
            <w:vMerge w:val="continue"/>
            <w:tcBorders>
              <w:top w:val="nil"/>
              <w:bottom w:val="nil"/>
            </w:tcBorders>
          </w:tcPr>
          <w:p w14:paraId="28B28AF0">
            <w:pPr>
              <w:pStyle w:val="8"/>
              <w:ind w:left="0" w:leftChars="0" w:hanging="8" w:firstLineChars="0"/>
            </w:pPr>
          </w:p>
        </w:tc>
        <w:tc>
          <w:tcPr>
            <w:tcW w:w="1109" w:type="dxa"/>
            <w:vMerge w:val="continue"/>
            <w:tcBorders>
              <w:top w:val="nil"/>
            </w:tcBorders>
            <w:vAlign w:val="center"/>
          </w:tcPr>
          <w:p w14:paraId="06C1FC06">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227823DF">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3.15消费者权益日宣传</w:t>
            </w:r>
          </w:p>
        </w:tc>
        <w:tc>
          <w:tcPr>
            <w:tcW w:w="1288" w:type="dxa"/>
            <w:vAlign w:val="center"/>
          </w:tcPr>
          <w:p w14:paraId="2ADADFDD">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1次</w:t>
            </w:r>
          </w:p>
        </w:tc>
        <w:tc>
          <w:tcPr>
            <w:tcW w:w="1129" w:type="dxa"/>
            <w:vAlign w:val="center"/>
          </w:tcPr>
          <w:p w14:paraId="751E4842">
            <w:pPr>
              <w:pStyle w:val="8"/>
              <w:jc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1次</w:t>
            </w:r>
          </w:p>
        </w:tc>
        <w:tc>
          <w:tcPr>
            <w:tcW w:w="699" w:type="dxa"/>
            <w:vMerge w:val="continue"/>
          </w:tcPr>
          <w:p w14:paraId="78C39A42">
            <w:pPr>
              <w:pStyle w:val="8"/>
            </w:pPr>
          </w:p>
        </w:tc>
        <w:tc>
          <w:tcPr>
            <w:tcW w:w="449" w:type="dxa"/>
            <w:vMerge w:val="continue"/>
          </w:tcPr>
          <w:p w14:paraId="319C751C">
            <w:pPr>
              <w:pStyle w:val="8"/>
            </w:pPr>
          </w:p>
        </w:tc>
        <w:tc>
          <w:tcPr>
            <w:tcW w:w="1194" w:type="dxa"/>
          </w:tcPr>
          <w:p w14:paraId="20BBD392">
            <w:pPr>
              <w:pStyle w:val="8"/>
            </w:pPr>
          </w:p>
        </w:tc>
      </w:tr>
      <w:tr w14:paraId="331E3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D819BA5">
            <w:pPr>
              <w:pStyle w:val="8"/>
            </w:pPr>
          </w:p>
        </w:tc>
        <w:tc>
          <w:tcPr>
            <w:tcW w:w="1169" w:type="dxa"/>
            <w:vMerge w:val="continue"/>
            <w:tcBorders>
              <w:top w:val="nil"/>
              <w:bottom w:val="nil"/>
            </w:tcBorders>
          </w:tcPr>
          <w:p w14:paraId="4D7180BB">
            <w:pPr>
              <w:pStyle w:val="8"/>
              <w:ind w:left="0" w:leftChars="0" w:hanging="8" w:firstLineChars="0"/>
            </w:pPr>
          </w:p>
        </w:tc>
        <w:tc>
          <w:tcPr>
            <w:tcW w:w="1109" w:type="dxa"/>
            <w:vMerge w:val="continue"/>
            <w:tcBorders>
              <w:top w:val="nil"/>
            </w:tcBorders>
            <w:vAlign w:val="center"/>
          </w:tcPr>
          <w:p w14:paraId="1D97DFE5">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11499DE1">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开展打击传销专项执法行动次数</w:t>
            </w:r>
          </w:p>
        </w:tc>
        <w:tc>
          <w:tcPr>
            <w:tcW w:w="1288" w:type="dxa"/>
            <w:vAlign w:val="center"/>
          </w:tcPr>
          <w:p w14:paraId="297DF425">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≧1次</w:t>
            </w:r>
          </w:p>
        </w:tc>
        <w:tc>
          <w:tcPr>
            <w:tcW w:w="1129" w:type="dxa"/>
            <w:vAlign w:val="center"/>
          </w:tcPr>
          <w:p w14:paraId="58A3FE64">
            <w:pPr>
              <w:pStyle w:val="8"/>
              <w:jc w:val="center"/>
              <w:rPr>
                <w:rFonts w:hint="default" w:ascii="Arial" w:hAnsi="Arial" w:eastAsia="宋体" w:cs="Arial"/>
                <w:snapToGrid w:val="0"/>
                <w:color w:val="000000"/>
                <w:sz w:val="21"/>
                <w:szCs w:val="21"/>
                <w:lang w:val="en-US" w:eastAsia="zh-CN" w:bidi="ar-SA"/>
              </w:rPr>
            </w:pPr>
            <w:r>
              <w:rPr>
                <w:rFonts w:hint="eastAsia" w:eastAsia="宋体" w:cs="Arial"/>
                <w:snapToGrid w:val="0"/>
                <w:color w:val="000000"/>
                <w:sz w:val="21"/>
                <w:szCs w:val="21"/>
                <w:lang w:val="en-US" w:eastAsia="zh-CN" w:bidi="ar-SA"/>
              </w:rPr>
              <w:t>1</w:t>
            </w:r>
            <w:r>
              <w:rPr>
                <w:rFonts w:hint="eastAsia" w:ascii="Arial" w:hAnsi="Arial" w:eastAsia="宋体" w:cs="Arial"/>
                <w:snapToGrid w:val="0"/>
                <w:color w:val="000000"/>
                <w:sz w:val="21"/>
                <w:szCs w:val="21"/>
                <w:lang w:val="en-US" w:eastAsia="zh-CN" w:bidi="ar-SA"/>
              </w:rPr>
              <w:t>次</w:t>
            </w:r>
          </w:p>
        </w:tc>
        <w:tc>
          <w:tcPr>
            <w:tcW w:w="699" w:type="dxa"/>
            <w:vMerge w:val="continue"/>
          </w:tcPr>
          <w:p w14:paraId="136DA052">
            <w:pPr>
              <w:pStyle w:val="8"/>
            </w:pPr>
          </w:p>
        </w:tc>
        <w:tc>
          <w:tcPr>
            <w:tcW w:w="449" w:type="dxa"/>
            <w:vMerge w:val="continue"/>
          </w:tcPr>
          <w:p w14:paraId="52D1062A">
            <w:pPr>
              <w:pStyle w:val="8"/>
            </w:pPr>
          </w:p>
        </w:tc>
        <w:tc>
          <w:tcPr>
            <w:tcW w:w="1194" w:type="dxa"/>
          </w:tcPr>
          <w:p w14:paraId="39297E18">
            <w:pPr>
              <w:pStyle w:val="8"/>
            </w:pPr>
          </w:p>
        </w:tc>
      </w:tr>
      <w:tr w14:paraId="2F243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6B0680A4">
            <w:pPr>
              <w:pStyle w:val="8"/>
            </w:pPr>
          </w:p>
        </w:tc>
        <w:tc>
          <w:tcPr>
            <w:tcW w:w="1169" w:type="dxa"/>
            <w:vMerge w:val="continue"/>
            <w:tcBorders>
              <w:top w:val="nil"/>
              <w:bottom w:val="nil"/>
            </w:tcBorders>
          </w:tcPr>
          <w:p w14:paraId="32073D66">
            <w:pPr>
              <w:pStyle w:val="8"/>
              <w:ind w:left="0" w:leftChars="0" w:hanging="8" w:firstLineChars="0"/>
            </w:pPr>
          </w:p>
        </w:tc>
        <w:tc>
          <w:tcPr>
            <w:tcW w:w="1109" w:type="dxa"/>
            <w:vMerge w:val="restart"/>
            <w:vAlign w:val="center"/>
          </w:tcPr>
          <w:p w14:paraId="58BF1724">
            <w:pPr>
              <w:keepNext w:val="0"/>
              <w:keepLines w:val="0"/>
              <w:pageBreakBefore w:val="0"/>
              <w:widowControl/>
              <w:kinsoku w:val="0"/>
              <w:wordWrap/>
              <w:overflowPunct/>
              <w:topLinePunct w:val="0"/>
              <w:autoSpaceDE w:val="0"/>
              <w:autoSpaceDN w:val="0"/>
              <w:bidi w:val="0"/>
              <w:adjustRightInd w:val="0"/>
              <w:snapToGrid w:val="0"/>
              <w:spacing w:line="221" w:lineRule="auto"/>
              <w:ind w:left="0" w:leftChars="0" w:right="38" w:rightChars="18" w:firstLine="0" w:firstLineChars="0"/>
              <w:jc w:val="center"/>
              <w:textAlignment w:val="baseline"/>
              <w:rPr>
                <w:rFonts w:ascii="宋体" w:hAnsi="宋体" w:eastAsia="宋体" w:cs="宋体"/>
                <w:spacing w:val="-5"/>
                <w:sz w:val="20"/>
                <w:szCs w:val="20"/>
              </w:rPr>
            </w:pPr>
            <w:r>
              <w:rPr>
                <w:rFonts w:ascii="宋体" w:hAnsi="宋体" w:eastAsia="宋体" w:cs="宋体"/>
                <w:spacing w:val="-5"/>
                <w:sz w:val="20"/>
                <w:szCs w:val="20"/>
              </w:rPr>
              <w:t>质量</w:t>
            </w:r>
          </w:p>
          <w:p w14:paraId="6E734EE3">
            <w:pPr>
              <w:keepNext w:val="0"/>
              <w:keepLines w:val="0"/>
              <w:pageBreakBefore w:val="0"/>
              <w:widowControl/>
              <w:kinsoku w:val="0"/>
              <w:wordWrap/>
              <w:overflowPunct/>
              <w:topLinePunct w:val="0"/>
              <w:autoSpaceDE w:val="0"/>
              <w:autoSpaceDN w:val="0"/>
              <w:bidi w:val="0"/>
              <w:adjustRightInd w:val="0"/>
              <w:snapToGrid w:val="0"/>
              <w:spacing w:line="221"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6"/>
                <w:sz w:val="20"/>
                <w:szCs w:val="20"/>
              </w:rPr>
              <w:t>指标</w:t>
            </w:r>
          </w:p>
        </w:tc>
        <w:tc>
          <w:tcPr>
            <w:tcW w:w="1039" w:type="dxa"/>
            <w:vAlign w:val="center"/>
          </w:tcPr>
          <w:p w14:paraId="2A48E71C">
            <w:pPr>
              <w:keepNext w:val="0"/>
              <w:keepLines w:val="0"/>
              <w:widowControl/>
              <w:suppressLineNumbers w:val="0"/>
              <w:jc w:val="center"/>
              <w:textAlignment w:val="center"/>
              <w:rPr>
                <w:rFonts w:hint="default"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较大食品安全事故、重大及以上食品安全事故</w:t>
            </w:r>
          </w:p>
        </w:tc>
        <w:tc>
          <w:tcPr>
            <w:tcW w:w="1288" w:type="dxa"/>
            <w:vAlign w:val="center"/>
          </w:tcPr>
          <w:p w14:paraId="68987096">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无</w:t>
            </w:r>
          </w:p>
        </w:tc>
        <w:tc>
          <w:tcPr>
            <w:tcW w:w="1129" w:type="dxa"/>
            <w:vAlign w:val="center"/>
          </w:tcPr>
          <w:p w14:paraId="6E0C7668">
            <w:pPr>
              <w:pStyle w:val="8"/>
              <w:jc w:val="center"/>
            </w:pPr>
            <w:r>
              <w:rPr>
                <w:rFonts w:hint="eastAsia" w:ascii="Arial" w:hAnsi="Arial" w:eastAsia="宋体" w:cs="Arial"/>
                <w:snapToGrid w:val="0"/>
                <w:color w:val="000000"/>
                <w:sz w:val="21"/>
                <w:szCs w:val="21"/>
                <w:lang w:val="en-US" w:eastAsia="zh-CN" w:bidi="ar-SA"/>
              </w:rPr>
              <w:t>无</w:t>
            </w:r>
          </w:p>
        </w:tc>
        <w:tc>
          <w:tcPr>
            <w:tcW w:w="699" w:type="dxa"/>
            <w:vMerge w:val="continue"/>
          </w:tcPr>
          <w:p w14:paraId="3FBF417A">
            <w:pPr>
              <w:pStyle w:val="8"/>
            </w:pPr>
          </w:p>
        </w:tc>
        <w:tc>
          <w:tcPr>
            <w:tcW w:w="449" w:type="dxa"/>
            <w:vMerge w:val="continue"/>
          </w:tcPr>
          <w:p w14:paraId="2452B2E6">
            <w:pPr>
              <w:pStyle w:val="8"/>
            </w:pPr>
          </w:p>
        </w:tc>
        <w:tc>
          <w:tcPr>
            <w:tcW w:w="1194" w:type="dxa"/>
          </w:tcPr>
          <w:p w14:paraId="131651AE">
            <w:pPr>
              <w:pStyle w:val="8"/>
            </w:pPr>
          </w:p>
        </w:tc>
      </w:tr>
      <w:tr w14:paraId="4A9CB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637E05CB">
            <w:pPr>
              <w:pStyle w:val="8"/>
            </w:pPr>
          </w:p>
        </w:tc>
        <w:tc>
          <w:tcPr>
            <w:tcW w:w="1169" w:type="dxa"/>
            <w:vMerge w:val="continue"/>
            <w:tcBorders>
              <w:top w:val="nil"/>
              <w:bottom w:val="nil"/>
            </w:tcBorders>
          </w:tcPr>
          <w:p w14:paraId="794A11C2">
            <w:pPr>
              <w:pStyle w:val="8"/>
              <w:ind w:left="0" w:leftChars="0" w:hanging="8" w:firstLineChars="0"/>
            </w:pPr>
          </w:p>
        </w:tc>
        <w:tc>
          <w:tcPr>
            <w:tcW w:w="1109" w:type="dxa"/>
            <w:vMerge w:val="continue"/>
            <w:vAlign w:val="center"/>
          </w:tcPr>
          <w:p w14:paraId="4C2B3E34">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095D60D1">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食品安全抽检任务完成率</w:t>
            </w:r>
          </w:p>
        </w:tc>
        <w:tc>
          <w:tcPr>
            <w:tcW w:w="1288" w:type="dxa"/>
            <w:vAlign w:val="center"/>
          </w:tcPr>
          <w:p w14:paraId="53C3D588">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100%</w:t>
            </w:r>
          </w:p>
        </w:tc>
        <w:tc>
          <w:tcPr>
            <w:tcW w:w="1129" w:type="dxa"/>
            <w:vAlign w:val="center"/>
          </w:tcPr>
          <w:p w14:paraId="506C267B">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100%</w:t>
            </w:r>
          </w:p>
        </w:tc>
        <w:tc>
          <w:tcPr>
            <w:tcW w:w="699" w:type="dxa"/>
            <w:vMerge w:val="continue"/>
          </w:tcPr>
          <w:p w14:paraId="36109413">
            <w:pPr>
              <w:pStyle w:val="8"/>
            </w:pPr>
          </w:p>
        </w:tc>
        <w:tc>
          <w:tcPr>
            <w:tcW w:w="449" w:type="dxa"/>
            <w:vMerge w:val="continue"/>
          </w:tcPr>
          <w:p w14:paraId="7A5AC876">
            <w:pPr>
              <w:pStyle w:val="8"/>
            </w:pPr>
          </w:p>
        </w:tc>
        <w:tc>
          <w:tcPr>
            <w:tcW w:w="1194" w:type="dxa"/>
          </w:tcPr>
          <w:p w14:paraId="5F561A21">
            <w:pPr>
              <w:pStyle w:val="8"/>
            </w:pPr>
          </w:p>
        </w:tc>
      </w:tr>
      <w:tr w14:paraId="062E3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3FCE13D4">
            <w:pPr>
              <w:pStyle w:val="8"/>
            </w:pPr>
          </w:p>
        </w:tc>
        <w:tc>
          <w:tcPr>
            <w:tcW w:w="1169" w:type="dxa"/>
            <w:vMerge w:val="continue"/>
            <w:tcBorders>
              <w:top w:val="nil"/>
              <w:bottom w:val="nil"/>
            </w:tcBorders>
          </w:tcPr>
          <w:p w14:paraId="422CB8F7">
            <w:pPr>
              <w:pStyle w:val="8"/>
              <w:ind w:left="0" w:leftChars="0" w:hanging="8" w:firstLineChars="0"/>
            </w:pPr>
          </w:p>
        </w:tc>
        <w:tc>
          <w:tcPr>
            <w:tcW w:w="1109" w:type="dxa"/>
            <w:vMerge w:val="continue"/>
            <w:vAlign w:val="center"/>
          </w:tcPr>
          <w:p w14:paraId="4E587269">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3A306D83">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较大、重大及以上产品质量安全事件发生率</w:t>
            </w:r>
          </w:p>
        </w:tc>
        <w:tc>
          <w:tcPr>
            <w:tcW w:w="1288" w:type="dxa"/>
            <w:vAlign w:val="center"/>
          </w:tcPr>
          <w:p w14:paraId="1399214C">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0%</w:t>
            </w:r>
          </w:p>
        </w:tc>
        <w:tc>
          <w:tcPr>
            <w:tcW w:w="1129" w:type="dxa"/>
            <w:vAlign w:val="center"/>
          </w:tcPr>
          <w:p w14:paraId="6F785BAD">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0%</w:t>
            </w:r>
          </w:p>
        </w:tc>
        <w:tc>
          <w:tcPr>
            <w:tcW w:w="699" w:type="dxa"/>
            <w:vMerge w:val="continue"/>
          </w:tcPr>
          <w:p w14:paraId="32E6B29C">
            <w:pPr>
              <w:pStyle w:val="8"/>
            </w:pPr>
          </w:p>
        </w:tc>
        <w:tc>
          <w:tcPr>
            <w:tcW w:w="449" w:type="dxa"/>
            <w:vMerge w:val="continue"/>
          </w:tcPr>
          <w:p w14:paraId="46D82B83">
            <w:pPr>
              <w:pStyle w:val="8"/>
            </w:pPr>
          </w:p>
        </w:tc>
        <w:tc>
          <w:tcPr>
            <w:tcW w:w="1194" w:type="dxa"/>
          </w:tcPr>
          <w:p w14:paraId="445C8B60">
            <w:pPr>
              <w:pStyle w:val="8"/>
            </w:pPr>
          </w:p>
        </w:tc>
      </w:tr>
      <w:tr w14:paraId="40B18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592CF3EC">
            <w:pPr>
              <w:pStyle w:val="8"/>
            </w:pPr>
          </w:p>
        </w:tc>
        <w:tc>
          <w:tcPr>
            <w:tcW w:w="1169" w:type="dxa"/>
            <w:vMerge w:val="continue"/>
            <w:tcBorders>
              <w:top w:val="nil"/>
              <w:bottom w:val="nil"/>
            </w:tcBorders>
          </w:tcPr>
          <w:p w14:paraId="5A407950">
            <w:pPr>
              <w:pStyle w:val="8"/>
              <w:ind w:left="0" w:leftChars="0" w:hanging="8" w:firstLineChars="0"/>
            </w:pPr>
          </w:p>
        </w:tc>
        <w:tc>
          <w:tcPr>
            <w:tcW w:w="1109" w:type="dxa"/>
            <w:vMerge w:val="continue"/>
            <w:vAlign w:val="center"/>
          </w:tcPr>
          <w:p w14:paraId="6DF478FA">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5A75905B">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较大、重大及以上药品安全事件发生率</w:t>
            </w:r>
          </w:p>
        </w:tc>
        <w:tc>
          <w:tcPr>
            <w:tcW w:w="1288" w:type="dxa"/>
            <w:vAlign w:val="center"/>
          </w:tcPr>
          <w:p w14:paraId="396946B9">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0%</w:t>
            </w:r>
          </w:p>
        </w:tc>
        <w:tc>
          <w:tcPr>
            <w:tcW w:w="1129" w:type="dxa"/>
            <w:vAlign w:val="center"/>
          </w:tcPr>
          <w:p w14:paraId="1CF1EE62">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0%</w:t>
            </w:r>
          </w:p>
        </w:tc>
        <w:tc>
          <w:tcPr>
            <w:tcW w:w="699" w:type="dxa"/>
            <w:vMerge w:val="continue"/>
          </w:tcPr>
          <w:p w14:paraId="4E5ED674">
            <w:pPr>
              <w:pStyle w:val="8"/>
            </w:pPr>
          </w:p>
        </w:tc>
        <w:tc>
          <w:tcPr>
            <w:tcW w:w="449" w:type="dxa"/>
            <w:vMerge w:val="continue"/>
          </w:tcPr>
          <w:p w14:paraId="4203AE87">
            <w:pPr>
              <w:pStyle w:val="8"/>
            </w:pPr>
          </w:p>
        </w:tc>
        <w:tc>
          <w:tcPr>
            <w:tcW w:w="1194" w:type="dxa"/>
          </w:tcPr>
          <w:p w14:paraId="2167A510">
            <w:pPr>
              <w:pStyle w:val="8"/>
            </w:pPr>
          </w:p>
        </w:tc>
      </w:tr>
      <w:tr w14:paraId="19F4E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4FFAA02B">
            <w:pPr>
              <w:pStyle w:val="8"/>
            </w:pPr>
          </w:p>
        </w:tc>
        <w:tc>
          <w:tcPr>
            <w:tcW w:w="1169" w:type="dxa"/>
            <w:vMerge w:val="continue"/>
            <w:tcBorders>
              <w:top w:val="nil"/>
              <w:bottom w:val="nil"/>
            </w:tcBorders>
          </w:tcPr>
          <w:p w14:paraId="288D6F22">
            <w:pPr>
              <w:pStyle w:val="8"/>
              <w:ind w:left="0" w:leftChars="0" w:hanging="8" w:firstLineChars="0"/>
            </w:pPr>
          </w:p>
        </w:tc>
        <w:tc>
          <w:tcPr>
            <w:tcW w:w="1109" w:type="dxa"/>
            <w:vMerge w:val="continue"/>
            <w:vAlign w:val="center"/>
          </w:tcPr>
          <w:p w14:paraId="763E1421">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Merge w:val="restart"/>
            <w:vAlign w:val="center"/>
          </w:tcPr>
          <w:p w14:paraId="46D5B4CC">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年报率</w:t>
            </w:r>
          </w:p>
        </w:tc>
        <w:tc>
          <w:tcPr>
            <w:tcW w:w="1288" w:type="dxa"/>
            <w:vAlign w:val="center"/>
          </w:tcPr>
          <w:p w14:paraId="40F77AFE">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企业≧70%</w:t>
            </w:r>
          </w:p>
        </w:tc>
        <w:tc>
          <w:tcPr>
            <w:tcW w:w="1129" w:type="dxa"/>
            <w:vAlign w:val="center"/>
          </w:tcPr>
          <w:p w14:paraId="618812E3">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97.78%</w:t>
            </w:r>
          </w:p>
        </w:tc>
        <w:tc>
          <w:tcPr>
            <w:tcW w:w="699" w:type="dxa"/>
            <w:vMerge w:val="continue"/>
          </w:tcPr>
          <w:p w14:paraId="43AE04B5">
            <w:pPr>
              <w:pStyle w:val="8"/>
            </w:pPr>
          </w:p>
        </w:tc>
        <w:tc>
          <w:tcPr>
            <w:tcW w:w="449" w:type="dxa"/>
            <w:vMerge w:val="continue"/>
          </w:tcPr>
          <w:p w14:paraId="35C54152">
            <w:pPr>
              <w:pStyle w:val="8"/>
            </w:pPr>
          </w:p>
        </w:tc>
        <w:tc>
          <w:tcPr>
            <w:tcW w:w="1194" w:type="dxa"/>
          </w:tcPr>
          <w:p w14:paraId="121B2122">
            <w:pPr>
              <w:pStyle w:val="8"/>
            </w:pPr>
          </w:p>
        </w:tc>
      </w:tr>
      <w:tr w14:paraId="095EE3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5963862B">
            <w:pPr>
              <w:pStyle w:val="8"/>
            </w:pPr>
          </w:p>
        </w:tc>
        <w:tc>
          <w:tcPr>
            <w:tcW w:w="1169" w:type="dxa"/>
            <w:vMerge w:val="continue"/>
            <w:tcBorders>
              <w:top w:val="nil"/>
              <w:bottom w:val="nil"/>
            </w:tcBorders>
          </w:tcPr>
          <w:p w14:paraId="6479A3C3">
            <w:pPr>
              <w:pStyle w:val="8"/>
              <w:ind w:left="0" w:leftChars="0" w:hanging="8" w:firstLineChars="0"/>
            </w:pPr>
          </w:p>
        </w:tc>
        <w:tc>
          <w:tcPr>
            <w:tcW w:w="1109" w:type="dxa"/>
            <w:vMerge w:val="continue"/>
            <w:vAlign w:val="center"/>
          </w:tcPr>
          <w:p w14:paraId="02FF858E">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Merge w:val="continue"/>
          </w:tcPr>
          <w:p w14:paraId="79881594">
            <w:pPr>
              <w:pStyle w:val="8"/>
            </w:pPr>
          </w:p>
        </w:tc>
        <w:tc>
          <w:tcPr>
            <w:tcW w:w="1288" w:type="dxa"/>
            <w:vAlign w:val="center"/>
          </w:tcPr>
          <w:p w14:paraId="3CBA3CFD">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农专≧70%</w:t>
            </w:r>
          </w:p>
        </w:tc>
        <w:tc>
          <w:tcPr>
            <w:tcW w:w="1129" w:type="dxa"/>
            <w:vAlign w:val="center"/>
          </w:tcPr>
          <w:p w14:paraId="14010813">
            <w:pPr>
              <w:pStyle w:val="8"/>
              <w:jc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93.24%</w:t>
            </w:r>
          </w:p>
        </w:tc>
        <w:tc>
          <w:tcPr>
            <w:tcW w:w="699" w:type="dxa"/>
            <w:vMerge w:val="continue"/>
          </w:tcPr>
          <w:p w14:paraId="571E654C">
            <w:pPr>
              <w:pStyle w:val="8"/>
            </w:pPr>
          </w:p>
        </w:tc>
        <w:tc>
          <w:tcPr>
            <w:tcW w:w="449" w:type="dxa"/>
            <w:vMerge w:val="continue"/>
          </w:tcPr>
          <w:p w14:paraId="69500478">
            <w:pPr>
              <w:pStyle w:val="8"/>
            </w:pPr>
          </w:p>
        </w:tc>
        <w:tc>
          <w:tcPr>
            <w:tcW w:w="1194" w:type="dxa"/>
          </w:tcPr>
          <w:p w14:paraId="683FE39A">
            <w:pPr>
              <w:pStyle w:val="8"/>
            </w:pPr>
          </w:p>
        </w:tc>
      </w:tr>
      <w:tr w14:paraId="11AB5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51734B8">
            <w:pPr>
              <w:pStyle w:val="8"/>
            </w:pPr>
          </w:p>
        </w:tc>
        <w:tc>
          <w:tcPr>
            <w:tcW w:w="1169" w:type="dxa"/>
            <w:vMerge w:val="continue"/>
            <w:tcBorders>
              <w:top w:val="nil"/>
              <w:bottom w:val="nil"/>
            </w:tcBorders>
          </w:tcPr>
          <w:p w14:paraId="3C4FBCF0">
            <w:pPr>
              <w:pStyle w:val="8"/>
              <w:ind w:left="0" w:leftChars="0" w:hanging="8" w:firstLineChars="0"/>
            </w:pPr>
          </w:p>
        </w:tc>
        <w:tc>
          <w:tcPr>
            <w:tcW w:w="1109" w:type="dxa"/>
            <w:vMerge w:val="continue"/>
            <w:tcBorders>
              <w:bottom w:val="nil"/>
            </w:tcBorders>
            <w:vAlign w:val="center"/>
          </w:tcPr>
          <w:p w14:paraId="3610C655">
            <w:pPr>
              <w:keepNext w:val="0"/>
              <w:keepLines w:val="0"/>
              <w:pageBreakBefore w:val="0"/>
              <w:widowControl/>
              <w:kinsoku w:val="0"/>
              <w:wordWrap/>
              <w:overflowPunct/>
              <w:topLinePunct w:val="0"/>
              <w:autoSpaceDE w:val="0"/>
              <w:autoSpaceDN w:val="0"/>
              <w:bidi w:val="0"/>
              <w:adjustRightInd w:val="0"/>
              <w:snapToGrid w:val="0"/>
              <w:spacing w:line="221" w:lineRule="auto"/>
              <w:ind w:left="0" w:leftChars="0" w:right="38" w:rightChars="18" w:firstLine="0" w:firstLineChars="0"/>
              <w:jc w:val="center"/>
              <w:textAlignment w:val="baseline"/>
              <w:rPr>
                <w:rFonts w:ascii="宋体" w:hAnsi="宋体" w:eastAsia="宋体" w:cs="宋体"/>
                <w:spacing w:val="-5"/>
                <w:sz w:val="20"/>
                <w:szCs w:val="20"/>
              </w:rPr>
            </w:pPr>
          </w:p>
        </w:tc>
        <w:tc>
          <w:tcPr>
            <w:tcW w:w="1039" w:type="dxa"/>
            <w:shd w:val="clear" w:color="auto" w:fill="auto"/>
            <w:vAlign w:val="center"/>
          </w:tcPr>
          <w:p w14:paraId="5B4B4FC4">
            <w:pPr>
              <w:keepNext w:val="0"/>
              <w:keepLines w:val="0"/>
              <w:widowControl/>
              <w:suppressLineNumbers w:val="0"/>
              <w:jc w:val="center"/>
              <w:textAlignment w:val="center"/>
              <w:rPr>
                <w:rFonts w:ascii="宋体" w:hAnsi="宋体" w:eastAsia="宋体" w:cs="宋体"/>
                <w:i w:val="0"/>
                <w:iCs w:val="0"/>
                <w:snapToGrid w:val="0"/>
                <w:color w:val="000000"/>
                <w:sz w:val="14"/>
                <w:szCs w:val="14"/>
                <w:u w:val="none"/>
                <w:lang w:val="en-US" w:eastAsia="en-US" w:bidi="ar-SA"/>
              </w:rPr>
            </w:pPr>
            <w:r>
              <w:rPr>
                <w:rFonts w:hint="eastAsia" w:ascii="Arial" w:hAnsi="Arial" w:eastAsia="宋体" w:cs="Arial"/>
                <w:snapToGrid w:val="0"/>
                <w:color w:val="000000"/>
                <w:sz w:val="21"/>
                <w:szCs w:val="21"/>
                <w:lang w:val="en-US" w:eastAsia="zh-CN" w:bidi="ar-SA"/>
              </w:rPr>
              <w:t>受理消费者投诉举报案件到期办结率</w:t>
            </w:r>
          </w:p>
        </w:tc>
        <w:tc>
          <w:tcPr>
            <w:tcW w:w="1288" w:type="dxa"/>
            <w:shd w:val="clear" w:color="auto" w:fill="auto"/>
            <w:vAlign w:val="center"/>
          </w:tcPr>
          <w:p w14:paraId="55FEF0EE">
            <w:pPr>
              <w:keepNext w:val="0"/>
              <w:keepLines w:val="0"/>
              <w:widowControl/>
              <w:suppressLineNumbers w:val="0"/>
              <w:jc w:val="center"/>
              <w:textAlignment w:val="center"/>
              <w:rPr>
                <w:rFonts w:ascii="宋体" w:hAnsi="宋体" w:eastAsia="宋体" w:cs="宋体"/>
                <w:i w:val="0"/>
                <w:iCs w:val="0"/>
                <w:snapToGrid w:val="0"/>
                <w:color w:val="000000"/>
                <w:sz w:val="14"/>
                <w:szCs w:val="14"/>
                <w:u w:val="none"/>
                <w:lang w:val="en-US" w:eastAsia="en-US" w:bidi="ar-SA"/>
              </w:rPr>
            </w:pPr>
            <w:r>
              <w:rPr>
                <w:rFonts w:hint="eastAsia" w:ascii="Arial" w:hAnsi="Arial" w:eastAsia="宋体" w:cs="Arial"/>
                <w:snapToGrid w:val="0"/>
                <w:color w:val="000000"/>
                <w:sz w:val="21"/>
                <w:szCs w:val="21"/>
                <w:lang w:val="en-US" w:eastAsia="zh-CN" w:bidi="ar-SA"/>
              </w:rPr>
              <w:t>100%</w:t>
            </w:r>
          </w:p>
        </w:tc>
        <w:tc>
          <w:tcPr>
            <w:tcW w:w="1129" w:type="dxa"/>
            <w:vAlign w:val="center"/>
          </w:tcPr>
          <w:p w14:paraId="2297E076">
            <w:pPr>
              <w:pStyle w:val="8"/>
              <w:jc w:val="center"/>
            </w:pPr>
            <w:r>
              <w:rPr>
                <w:rFonts w:hint="eastAsia" w:ascii="Arial" w:hAnsi="Arial" w:eastAsia="宋体" w:cs="Arial"/>
                <w:snapToGrid w:val="0"/>
                <w:color w:val="000000"/>
                <w:sz w:val="21"/>
                <w:szCs w:val="21"/>
                <w:lang w:val="en-US" w:eastAsia="zh-CN" w:bidi="ar-SA"/>
              </w:rPr>
              <w:t>100%</w:t>
            </w:r>
          </w:p>
        </w:tc>
        <w:tc>
          <w:tcPr>
            <w:tcW w:w="699" w:type="dxa"/>
            <w:vMerge w:val="continue"/>
          </w:tcPr>
          <w:p w14:paraId="671044DD">
            <w:pPr>
              <w:pStyle w:val="8"/>
            </w:pPr>
          </w:p>
        </w:tc>
        <w:tc>
          <w:tcPr>
            <w:tcW w:w="449" w:type="dxa"/>
            <w:vMerge w:val="continue"/>
          </w:tcPr>
          <w:p w14:paraId="0CB8F577">
            <w:pPr>
              <w:pStyle w:val="8"/>
            </w:pPr>
          </w:p>
        </w:tc>
        <w:tc>
          <w:tcPr>
            <w:tcW w:w="1194" w:type="dxa"/>
          </w:tcPr>
          <w:p w14:paraId="5EC66655">
            <w:pPr>
              <w:pStyle w:val="8"/>
            </w:pPr>
          </w:p>
        </w:tc>
      </w:tr>
      <w:tr w14:paraId="73D07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6ABB9F28">
            <w:pPr>
              <w:pStyle w:val="8"/>
            </w:pPr>
          </w:p>
        </w:tc>
        <w:tc>
          <w:tcPr>
            <w:tcW w:w="1169" w:type="dxa"/>
            <w:vMerge w:val="continue"/>
            <w:tcBorders>
              <w:top w:val="nil"/>
              <w:bottom w:val="nil"/>
            </w:tcBorders>
          </w:tcPr>
          <w:p w14:paraId="5FF8B609">
            <w:pPr>
              <w:pStyle w:val="8"/>
              <w:ind w:left="0" w:leftChars="0" w:hanging="8" w:firstLineChars="0"/>
            </w:pPr>
          </w:p>
        </w:tc>
        <w:tc>
          <w:tcPr>
            <w:tcW w:w="1109" w:type="dxa"/>
            <w:tcBorders>
              <w:bottom w:val="nil"/>
            </w:tcBorders>
            <w:vAlign w:val="center"/>
          </w:tcPr>
          <w:p w14:paraId="20AF2084">
            <w:pPr>
              <w:keepNext w:val="0"/>
              <w:keepLines w:val="0"/>
              <w:pageBreakBefore w:val="0"/>
              <w:widowControl/>
              <w:kinsoku w:val="0"/>
              <w:wordWrap/>
              <w:overflowPunct/>
              <w:topLinePunct w:val="0"/>
              <w:autoSpaceDE w:val="0"/>
              <w:autoSpaceDN w:val="0"/>
              <w:bidi w:val="0"/>
              <w:adjustRightInd w:val="0"/>
              <w:snapToGrid w:val="0"/>
              <w:spacing w:line="221" w:lineRule="auto"/>
              <w:ind w:left="0" w:leftChars="0" w:right="38" w:rightChars="18" w:firstLine="0" w:firstLineChars="0"/>
              <w:jc w:val="center"/>
              <w:textAlignment w:val="baseline"/>
              <w:rPr>
                <w:rFonts w:ascii="宋体" w:hAnsi="宋体" w:eastAsia="宋体" w:cs="宋体"/>
                <w:spacing w:val="-5"/>
                <w:sz w:val="20"/>
                <w:szCs w:val="20"/>
              </w:rPr>
            </w:pPr>
            <w:r>
              <w:rPr>
                <w:rFonts w:hint="eastAsia" w:ascii="宋体" w:hAnsi="宋体" w:eastAsia="宋体" w:cs="宋体"/>
                <w:spacing w:val="-5"/>
                <w:sz w:val="20"/>
                <w:szCs w:val="20"/>
                <w:lang w:val="en-US" w:eastAsia="zh-CN"/>
              </w:rPr>
              <w:t>时</w:t>
            </w:r>
            <w:r>
              <w:rPr>
                <w:rFonts w:ascii="宋体" w:hAnsi="宋体" w:eastAsia="宋体" w:cs="宋体"/>
                <w:spacing w:val="-5"/>
                <w:sz w:val="20"/>
                <w:szCs w:val="20"/>
              </w:rPr>
              <w:t>效</w:t>
            </w:r>
          </w:p>
          <w:p w14:paraId="3ACD3A8F">
            <w:pPr>
              <w:keepNext w:val="0"/>
              <w:keepLines w:val="0"/>
              <w:pageBreakBefore w:val="0"/>
              <w:widowControl/>
              <w:kinsoku w:val="0"/>
              <w:wordWrap/>
              <w:overflowPunct/>
              <w:topLinePunct w:val="0"/>
              <w:autoSpaceDE w:val="0"/>
              <w:autoSpaceDN w:val="0"/>
              <w:bidi w:val="0"/>
              <w:adjustRightInd w:val="0"/>
              <w:snapToGrid w:val="0"/>
              <w:spacing w:line="221"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5"/>
                <w:sz w:val="20"/>
                <w:szCs w:val="20"/>
              </w:rPr>
              <w:t>指标</w:t>
            </w:r>
          </w:p>
        </w:tc>
        <w:tc>
          <w:tcPr>
            <w:tcW w:w="1039" w:type="dxa"/>
            <w:vAlign w:val="center"/>
          </w:tcPr>
          <w:p w14:paraId="38CC8646">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各项工作按时完成率</w:t>
            </w:r>
          </w:p>
        </w:tc>
        <w:tc>
          <w:tcPr>
            <w:tcW w:w="1288" w:type="dxa"/>
            <w:vAlign w:val="center"/>
          </w:tcPr>
          <w:p w14:paraId="351990C3">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100%</w:t>
            </w:r>
          </w:p>
        </w:tc>
        <w:tc>
          <w:tcPr>
            <w:tcW w:w="1129" w:type="dxa"/>
            <w:vAlign w:val="center"/>
          </w:tcPr>
          <w:p w14:paraId="0EF01CED">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100%</w:t>
            </w:r>
          </w:p>
        </w:tc>
        <w:tc>
          <w:tcPr>
            <w:tcW w:w="699" w:type="dxa"/>
            <w:vMerge w:val="continue"/>
          </w:tcPr>
          <w:p w14:paraId="78EB456B">
            <w:pPr>
              <w:pStyle w:val="8"/>
            </w:pPr>
          </w:p>
        </w:tc>
        <w:tc>
          <w:tcPr>
            <w:tcW w:w="449" w:type="dxa"/>
            <w:vMerge w:val="continue"/>
          </w:tcPr>
          <w:p w14:paraId="7DA5611C">
            <w:pPr>
              <w:pStyle w:val="8"/>
            </w:pPr>
          </w:p>
        </w:tc>
        <w:tc>
          <w:tcPr>
            <w:tcW w:w="1194" w:type="dxa"/>
          </w:tcPr>
          <w:p w14:paraId="240BC046">
            <w:pPr>
              <w:pStyle w:val="8"/>
            </w:pPr>
          </w:p>
        </w:tc>
      </w:tr>
      <w:tr w14:paraId="5B988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6227B5BC">
            <w:pPr>
              <w:pStyle w:val="8"/>
            </w:pPr>
          </w:p>
        </w:tc>
        <w:tc>
          <w:tcPr>
            <w:tcW w:w="1169" w:type="dxa"/>
            <w:vMerge w:val="continue"/>
            <w:tcBorders>
              <w:top w:val="nil"/>
              <w:bottom w:val="nil"/>
            </w:tcBorders>
          </w:tcPr>
          <w:p w14:paraId="10C76B34">
            <w:pPr>
              <w:pStyle w:val="8"/>
              <w:ind w:left="0" w:leftChars="0" w:hanging="8" w:firstLineChars="0"/>
            </w:pPr>
          </w:p>
        </w:tc>
        <w:tc>
          <w:tcPr>
            <w:tcW w:w="1109" w:type="dxa"/>
            <w:vMerge w:val="restart"/>
            <w:tcBorders>
              <w:bottom w:val="nil"/>
            </w:tcBorders>
            <w:vAlign w:val="center"/>
          </w:tcPr>
          <w:p w14:paraId="16900217">
            <w:pPr>
              <w:keepNext w:val="0"/>
              <w:keepLines w:val="0"/>
              <w:pageBreakBefore w:val="0"/>
              <w:widowControl/>
              <w:kinsoku w:val="0"/>
              <w:wordWrap/>
              <w:overflowPunct/>
              <w:topLinePunct w:val="0"/>
              <w:autoSpaceDE w:val="0"/>
              <w:autoSpaceDN w:val="0"/>
              <w:bidi w:val="0"/>
              <w:adjustRightInd w:val="0"/>
              <w:snapToGrid w:val="0"/>
              <w:spacing w:line="221" w:lineRule="auto"/>
              <w:ind w:left="0" w:leftChars="0" w:right="38" w:rightChars="18" w:firstLine="0" w:firstLineChars="0"/>
              <w:jc w:val="center"/>
              <w:textAlignment w:val="baseline"/>
              <w:rPr>
                <w:rFonts w:ascii="宋体" w:hAnsi="宋体" w:eastAsia="宋体" w:cs="宋体"/>
                <w:spacing w:val="-5"/>
                <w:sz w:val="20"/>
                <w:szCs w:val="20"/>
              </w:rPr>
            </w:pPr>
            <w:r>
              <w:rPr>
                <w:rFonts w:ascii="宋体" w:hAnsi="宋体" w:eastAsia="宋体" w:cs="宋体"/>
                <w:spacing w:val="-5"/>
                <w:sz w:val="20"/>
                <w:szCs w:val="20"/>
              </w:rPr>
              <w:t>成本</w:t>
            </w:r>
          </w:p>
          <w:p w14:paraId="59CB8758">
            <w:pPr>
              <w:keepNext w:val="0"/>
              <w:keepLines w:val="0"/>
              <w:pageBreakBefore w:val="0"/>
              <w:widowControl/>
              <w:kinsoku w:val="0"/>
              <w:wordWrap/>
              <w:overflowPunct/>
              <w:topLinePunct w:val="0"/>
              <w:autoSpaceDE w:val="0"/>
              <w:autoSpaceDN w:val="0"/>
              <w:bidi w:val="0"/>
              <w:adjustRightInd w:val="0"/>
              <w:snapToGrid w:val="0"/>
              <w:spacing w:line="221"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6"/>
                <w:sz w:val="20"/>
                <w:szCs w:val="20"/>
              </w:rPr>
              <w:t>指标</w:t>
            </w:r>
          </w:p>
        </w:tc>
        <w:tc>
          <w:tcPr>
            <w:tcW w:w="1039" w:type="dxa"/>
            <w:vAlign w:val="center"/>
          </w:tcPr>
          <w:p w14:paraId="7A87F3C8">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基本支出</w:t>
            </w:r>
          </w:p>
        </w:tc>
        <w:tc>
          <w:tcPr>
            <w:tcW w:w="1288" w:type="dxa"/>
            <w:vAlign w:val="center"/>
          </w:tcPr>
          <w:p w14:paraId="4717D1D0">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1866.36</w:t>
            </w:r>
          </w:p>
        </w:tc>
        <w:tc>
          <w:tcPr>
            <w:tcW w:w="1129" w:type="dxa"/>
            <w:vAlign w:val="center"/>
          </w:tcPr>
          <w:p w14:paraId="28C19D3A">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1866.36</w:t>
            </w:r>
          </w:p>
        </w:tc>
        <w:tc>
          <w:tcPr>
            <w:tcW w:w="699" w:type="dxa"/>
            <w:vMerge w:val="continue"/>
          </w:tcPr>
          <w:p w14:paraId="5688B3A7">
            <w:pPr>
              <w:pStyle w:val="8"/>
            </w:pPr>
          </w:p>
        </w:tc>
        <w:tc>
          <w:tcPr>
            <w:tcW w:w="449" w:type="dxa"/>
            <w:vMerge w:val="continue"/>
          </w:tcPr>
          <w:p w14:paraId="12301295">
            <w:pPr>
              <w:pStyle w:val="8"/>
            </w:pPr>
          </w:p>
        </w:tc>
        <w:tc>
          <w:tcPr>
            <w:tcW w:w="1194" w:type="dxa"/>
          </w:tcPr>
          <w:p w14:paraId="43A44DBA">
            <w:pPr>
              <w:pStyle w:val="8"/>
            </w:pPr>
          </w:p>
        </w:tc>
      </w:tr>
      <w:tr w14:paraId="1228F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2806776">
            <w:pPr>
              <w:pStyle w:val="8"/>
            </w:pPr>
          </w:p>
        </w:tc>
        <w:tc>
          <w:tcPr>
            <w:tcW w:w="1169" w:type="dxa"/>
            <w:vMerge w:val="continue"/>
            <w:tcBorders>
              <w:top w:val="nil"/>
            </w:tcBorders>
          </w:tcPr>
          <w:p w14:paraId="32B77AE5">
            <w:pPr>
              <w:pStyle w:val="8"/>
              <w:ind w:left="0" w:leftChars="0" w:hanging="8" w:firstLineChars="0"/>
            </w:pPr>
          </w:p>
        </w:tc>
        <w:tc>
          <w:tcPr>
            <w:tcW w:w="1109" w:type="dxa"/>
            <w:vMerge w:val="continue"/>
            <w:tcBorders>
              <w:top w:val="nil"/>
            </w:tcBorders>
            <w:vAlign w:val="center"/>
          </w:tcPr>
          <w:p w14:paraId="24B8F893">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647D39F6">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项目支出</w:t>
            </w:r>
          </w:p>
        </w:tc>
        <w:tc>
          <w:tcPr>
            <w:tcW w:w="1288" w:type="dxa"/>
            <w:vAlign w:val="center"/>
          </w:tcPr>
          <w:p w14:paraId="565572E8">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471.57</w:t>
            </w:r>
          </w:p>
        </w:tc>
        <w:tc>
          <w:tcPr>
            <w:tcW w:w="1129" w:type="dxa"/>
            <w:vAlign w:val="center"/>
          </w:tcPr>
          <w:p w14:paraId="29023030">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471.57</w:t>
            </w:r>
          </w:p>
        </w:tc>
        <w:tc>
          <w:tcPr>
            <w:tcW w:w="699" w:type="dxa"/>
            <w:vMerge w:val="continue"/>
          </w:tcPr>
          <w:p w14:paraId="66B82CB0">
            <w:pPr>
              <w:pStyle w:val="8"/>
            </w:pPr>
          </w:p>
        </w:tc>
        <w:tc>
          <w:tcPr>
            <w:tcW w:w="449" w:type="dxa"/>
            <w:vMerge w:val="continue"/>
          </w:tcPr>
          <w:p w14:paraId="11070907">
            <w:pPr>
              <w:pStyle w:val="8"/>
            </w:pPr>
          </w:p>
        </w:tc>
        <w:tc>
          <w:tcPr>
            <w:tcW w:w="1194" w:type="dxa"/>
          </w:tcPr>
          <w:p w14:paraId="75A89F1C">
            <w:pPr>
              <w:pStyle w:val="8"/>
            </w:pPr>
          </w:p>
        </w:tc>
      </w:tr>
      <w:tr w14:paraId="3C56B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1115C68B">
            <w:pPr>
              <w:pStyle w:val="8"/>
            </w:pPr>
          </w:p>
        </w:tc>
        <w:tc>
          <w:tcPr>
            <w:tcW w:w="1169" w:type="dxa"/>
            <w:vMerge w:val="restart"/>
            <w:tcBorders>
              <w:bottom w:val="nil"/>
            </w:tcBorders>
            <w:vAlign w:val="center"/>
          </w:tcPr>
          <w:p w14:paraId="1615590C">
            <w:pPr>
              <w:spacing w:before="65" w:line="220" w:lineRule="auto"/>
              <w:ind w:left="0" w:leftChars="0" w:hanging="8" w:firstLineChars="0"/>
              <w:jc w:val="center"/>
              <w:rPr>
                <w:rFonts w:ascii="宋体" w:hAnsi="宋体" w:eastAsia="宋体" w:cs="宋体"/>
                <w:sz w:val="20"/>
                <w:szCs w:val="20"/>
              </w:rPr>
            </w:pPr>
            <w:r>
              <w:rPr>
                <w:rFonts w:ascii="宋体" w:hAnsi="宋体" w:eastAsia="宋体" w:cs="宋体"/>
                <w:spacing w:val="1"/>
                <w:sz w:val="20"/>
                <w:szCs w:val="20"/>
              </w:rPr>
              <w:t>效益指标</w:t>
            </w:r>
          </w:p>
          <w:p w14:paraId="4DEC070C">
            <w:pPr>
              <w:spacing w:before="11" w:line="220" w:lineRule="auto"/>
              <w:ind w:left="0" w:leftChars="0" w:hanging="8" w:firstLineChars="0"/>
              <w:jc w:val="center"/>
              <w:rPr>
                <w:rFonts w:ascii="宋体" w:hAnsi="宋体" w:eastAsia="宋体" w:cs="宋体"/>
                <w:sz w:val="20"/>
                <w:szCs w:val="20"/>
              </w:rPr>
            </w:pPr>
            <w:r>
              <w:rPr>
                <w:rFonts w:ascii="宋体" w:hAnsi="宋体" w:eastAsia="宋体" w:cs="宋体"/>
                <w:spacing w:val="8"/>
                <w:sz w:val="20"/>
                <w:szCs w:val="20"/>
              </w:rPr>
              <w:t>(30分)</w:t>
            </w:r>
          </w:p>
        </w:tc>
        <w:tc>
          <w:tcPr>
            <w:tcW w:w="1109" w:type="dxa"/>
            <w:tcBorders>
              <w:bottom w:val="nil"/>
            </w:tcBorders>
            <w:vAlign w:val="center"/>
          </w:tcPr>
          <w:p w14:paraId="0591C62F">
            <w:pPr>
              <w:keepNext w:val="0"/>
              <w:keepLines w:val="0"/>
              <w:pageBreakBefore w:val="0"/>
              <w:widowControl/>
              <w:kinsoku w:val="0"/>
              <w:wordWrap/>
              <w:overflowPunct/>
              <w:topLinePunct w:val="0"/>
              <w:autoSpaceDE w:val="0"/>
              <w:autoSpaceDN w:val="0"/>
              <w:bidi w:val="0"/>
              <w:adjustRightInd w:val="0"/>
              <w:snapToGrid w:val="0"/>
              <w:spacing w:line="216" w:lineRule="auto"/>
              <w:ind w:left="0" w:leftChars="0" w:right="38" w:rightChars="18" w:firstLine="0" w:firstLineChars="0"/>
              <w:jc w:val="center"/>
              <w:textAlignment w:val="baseline"/>
              <w:rPr>
                <w:rFonts w:ascii="宋体" w:hAnsi="宋体" w:eastAsia="宋体" w:cs="宋体"/>
                <w:spacing w:val="-4"/>
                <w:sz w:val="20"/>
                <w:szCs w:val="20"/>
              </w:rPr>
            </w:pPr>
            <w:r>
              <w:rPr>
                <w:rFonts w:ascii="宋体" w:hAnsi="宋体" w:eastAsia="宋体" w:cs="宋体"/>
                <w:spacing w:val="-4"/>
                <w:sz w:val="20"/>
                <w:szCs w:val="20"/>
              </w:rPr>
              <w:t>经济效益</w:t>
            </w:r>
          </w:p>
          <w:p w14:paraId="27059BCF">
            <w:pPr>
              <w:keepNext w:val="0"/>
              <w:keepLines w:val="0"/>
              <w:pageBreakBefore w:val="0"/>
              <w:widowControl/>
              <w:kinsoku w:val="0"/>
              <w:wordWrap/>
              <w:overflowPunct/>
              <w:topLinePunct w:val="0"/>
              <w:autoSpaceDE w:val="0"/>
              <w:autoSpaceDN w:val="0"/>
              <w:bidi w:val="0"/>
              <w:adjustRightInd w:val="0"/>
              <w:snapToGrid w:val="0"/>
              <w:spacing w:line="216"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4"/>
                <w:sz w:val="20"/>
                <w:szCs w:val="20"/>
              </w:rPr>
              <w:t>指标</w:t>
            </w:r>
          </w:p>
        </w:tc>
        <w:tc>
          <w:tcPr>
            <w:tcW w:w="1039" w:type="dxa"/>
            <w:vAlign w:val="center"/>
          </w:tcPr>
          <w:p w14:paraId="360B4981">
            <w:pPr>
              <w:pStyle w:val="8"/>
              <w:jc w:val="center"/>
              <w:rPr>
                <w:rFonts w:hint="default"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发挥专项资金效益</w:t>
            </w:r>
          </w:p>
        </w:tc>
        <w:tc>
          <w:tcPr>
            <w:tcW w:w="1288" w:type="dxa"/>
            <w:vAlign w:val="center"/>
          </w:tcPr>
          <w:p w14:paraId="79F3C4EE">
            <w:pPr>
              <w:pStyle w:val="8"/>
              <w:jc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长期</w:t>
            </w:r>
          </w:p>
        </w:tc>
        <w:tc>
          <w:tcPr>
            <w:tcW w:w="1129" w:type="dxa"/>
            <w:vAlign w:val="center"/>
          </w:tcPr>
          <w:p w14:paraId="77FDB7FA">
            <w:pPr>
              <w:pStyle w:val="8"/>
              <w:jc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长期</w:t>
            </w:r>
          </w:p>
        </w:tc>
        <w:tc>
          <w:tcPr>
            <w:tcW w:w="699" w:type="dxa"/>
            <w:vMerge w:val="restart"/>
            <w:vAlign w:val="center"/>
          </w:tcPr>
          <w:p w14:paraId="4E61A48A">
            <w:pPr>
              <w:pStyle w:val="8"/>
              <w:jc w:val="center"/>
              <w:rPr>
                <w:rFonts w:hint="default" w:eastAsia="宋体"/>
                <w:lang w:val="en-US" w:eastAsia="zh-CN"/>
              </w:rPr>
            </w:pPr>
            <w:r>
              <w:rPr>
                <w:rFonts w:hint="eastAsia" w:eastAsia="宋体"/>
                <w:lang w:val="en-US" w:eastAsia="zh-CN"/>
              </w:rPr>
              <w:t>30</w:t>
            </w:r>
          </w:p>
        </w:tc>
        <w:tc>
          <w:tcPr>
            <w:tcW w:w="449" w:type="dxa"/>
            <w:vMerge w:val="restart"/>
            <w:vAlign w:val="center"/>
          </w:tcPr>
          <w:p w14:paraId="2965E795">
            <w:pPr>
              <w:pStyle w:val="8"/>
              <w:jc w:val="center"/>
              <w:rPr>
                <w:rFonts w:hint="default" w:eastAsia="宋体"/>
                <w:lang w:val="en-US" w:eastAsia="zh-CN"/>
              </w:rPr>
            </w:pPr>
            <w:r>
              <w:rPr>
                <w:rFonts w:hint="eastAsia" w:eastAsia="宋体"/>
                <w:lang w:val="en-US" w:eastAsia="zh-CN"/>
              </w:rPr>
              <w:t>30</w:t>
            </w:r>
          </w:p>
        </w:tc>
        <w:tc>
          <w:tcPr>
            <w:tcW w:w="1194" w:type="dxa"/>
            <w:vAlign w:val="center"/>
          </w:tcPr>
          <w:p w14:paraId="6C14D6FA">
            <w:pPr>
              <w:pStyle w:val="8"/>
              <w:jc w:val="center"/>
            </w:pPr>
          </w:p>
        </w:tc>
      </w:tr>
      <w:tr w14:paraId="10AEB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3648AC71">
            <w:pPr>
              <w:pStyle w:val="8"/>
            </w:pPr>
          </w:p>
        </w:tc>
        <w:tc>
          <w:tcPr>
            <w:tcW w:w="1169" w:type="dxa"/>
            <w:vMerge w:val="continue"/>
            <w:tcBorders>
              <w:top w:val="nil"/>
              <w:bottom w:val="nil"/>
            </w:tcBorders>
          </w:tcPr>
          <w:p w14:paraId="1E7210FE">
            <w:pPr>
              <w:pStyle w:val="8"/>
              <w:ind w:left="0" w:leftChars="0" w:hanging="8" w:firstLineChars="0"/>
            </w:pPr>
          </w:p>
        </w:tc>
        <w:tc>
          <w:tcPr>
            <w:tcW w:w="1109" w:type="dxa"/>
            <w:vMerge w:val="restart"/>
            <w:tcBorders>
              <w:bottom w:val="nil"/>
            </w:tcBorders>
            <w:vAlign w:val="center"/>
          </w:tcPr>
          <w:p w14:paraId="10B9E072">
            <w:pPr>
              <w:keepNext w:val="0"/>
              <w:keepLines w:val="0"/>
              <w:pageBreakBefore w:val="0"/>
              <w:widowControl/>
              <w:kinsoku w:val="0"/>
              <w:wordWrap/>
              <w:overflowPunct/>
              <w:topLinePunct w:val="0"/>
              <w:autoSpaceDE w:val="0"/>
              <w:autoSpaceDN w:val="0"/>
              <w:bidi w:val="0"/>
              <w:adjustRightInd w:val="0"/>
              <w:snapToGrid w:val="0"/>
              <w:spacing w:line="226" w:lineRule="auto"/>
              <w:ind w:left="0" w:leftChars="0" w:right="38" w:rightChars="18" w:firstLine="0" w:firstLineChars="0"/>
              <w:jc w:val="center"/>
              <w:textAlignment w:val="baseline"/>
              <w:rPr>
                <w:rFonts w:ascii="宋体" w:hAnsi="宋体" w:eastAsia="宋体" w:cs="宋体"/>
                <w:spacing w:val="-4"/>
                <w:sz w:val="20"/>
                <w:szCs w:val="20"/>
              </w:rPr>
            </w:pPr>
            <w:r>
              <w:rPr>
                <w:rFonts w:ascii="宋体" w:hAnsi="宋体" w:eastAsia="宋体" w:cs="宋体"/>
                <w:spacing w:val="-4"/>
                <w:sz w:val="20"/>
                <w:szCs w:val="20"/>
              </w:rPr>
              <w:t>社会效益</w:t>
            </w:r>
          </w:p>
          <w:p w14:paraId="34A04520">
            <w:pPr>
              <w:keepNext w:val="0"/>
              <w:keepLines w:val="0"/>
              <w:pageBreakBefore w:val="0"/>
              <w:widowControl/>
              <w:kinsoku w:val="0"/>
              <w:wordWrap/>
              <w:overflowPunct/>
              <w:topLinePunct w:val="0"/>
              <w:autoSpaceDE w:val="0"/>
              <w:autoSpaceDN w:val="0"/>
              <w:bidi w:val="0"/>
              <w:adjustRightInd w:val="0"/>
              <w:snapToGrid w:val="0"/>
              <w:spacing w:line="226"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4"/>
                <w:sz w:val="20"/>
                <w:szCs w:val="20"/>
              </w:rPr>
              <w:t>指标</w:t>
            </w:r>
          </w:p>
        </w:tc>
        <w:tc>
          <w:tcPr>
            <w:tcW w:w="1039" w:type="dxa"/>
            <w:vAlign w:val="center"/>
          </w:tcPr>
          <w:p w14:paraId="3A82A9B0">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坚持抓改革提效率，市场主体活力有效激发</w:t>
            </w:r>
          </w:p>
        </w:tc>
        <w:tc>
          <w:tcPr>
            <w:tcW w:w="1288" w:type="dxa"/>
            <w:vAlign w:val="center"/>
          </w:tcPr>
          <w:p w14:paraId="5CB42FA4">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持续推进</w:t>
            </w:r>
          </w:p>
        </w:tc>
        <w:tc>
          <w:tcPr>
            <w:tcW w:w="1129" w:type="dxa"/>
            <w:vAlign w:val="center"/>
          </w:tcPr>
          <w:p w14:paraId="7E505E45">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持续推进</w:t>
            </w:r>
          </w:p>
        </w:tc>
        <w:tc>
          <w:tcPr>
            <w:tcW w:w="699" w:type="dxa"/>
            <w:vMerge w:val="continue"/>
            <w:vAlign w:val="center"/>
          </w:tcPr>
          <w:p w14:paraId="2A2A5104">
            <w:pPr>
              <w:pStyle w:val="8"/>
              <w:jc w:val="center"/>
            </w:pPr>
          </w:p>
        </w:tc>
        <w:tc>
          <w:tcPr>
            <w:tcW w:w="449" w:type="dxa"/>
            <w:vMerge w:val="continue"/>
            <w:vAlign w:val="center"/>
          </w:tcPr>
          <w:p w14:paraId="30E46286">
            <w:pPr>
              <w:pStyle w:val="8"/>
              <w:jc w:val="center"/>
            </w:pPr>
          </w:p>
        </w:tc>
        <w:tc>
          <w:tcPr>
            <w:tcW w:w="1194" w:type="dxa"/>
            <w:vAlign w:val="center"/>
          </w:tcPr>
          <w:p w14:paraId="1B5F80E2">
            <w:pPr>
              <w:pStyle w:val="8"/>
              <w:jc w:val="center"/>
            </w:pPr>
          </w:p>
        </w:tc>
      </w:tr>
      <w:tr w14:paraId="62F85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3C877081">
            <w:pPr>
              <w:pStyle w:val="8"/>
            </w:pPr>
          </w:p>
        </w:tc>
        <w:tc>
          <w:tcPr>
            <w:tcW w:w="1169" w:type="dxa"/>
            <w:vMerge w:val="continue"/>
            <w:tcBorders>
              <w:top w:val="nil"/>
              <w:bottom w:val="nil"/>
            </w:tcBorders>
          </w:tcPr>
          <w:p w14:paraId="2150350E">
            <w:pPr>
              <w:pStyle w:val="8"/>
              <w:ind w:left="0" w:leftChars="0" w:hanging="8" w:firstLineChars="0"/>
            </w:pPr>
          </w:p>
        </w:tc>
        <w:tc>
          <w:tcPr>
            <w:tcW w:w="1109" w:type="dxa"/>
            <w:vMerge w:val="continue"/>
            <w:tcBorders>
              <w:top w:val="nil"/>
            </w:tcBorders>
            <w:vAlign w:val="center"/>
          </w:tcPr>
          <w:p w14:paraId="2CF60D2D">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61E8BC12">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坚持抓监管保公平，市场经营秩序不断优化</w:t>
            </w:r>
          </w:p>
        </w:tc>
        <w:tc>
          <w:tcPr>
            <w:tcW w:w="1288" w:type="dxa"/>
            <w:vAlign w:val="center"/>
          </w:tcPr>
          <w:p w14:paraId="1CB8779C">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持续推进</w:t>
            </w:r>
          </w:p>
        </w:tc>
        <w:tc>
          <w:tcPr>
            <w:tcW w:w="1129" w:type="dxa"/>
            <w:vAlign w:val="center"/>
          </w:tcPr>
          <w:p w14:paraId="498E2D34">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持续推进</w:t>
            </w:r>
          </w:p>
        </w:tc>
        <w:tc>
          <w:tcPr>
            <w:tcW w:w="699" w:type="dxa"/>
            <w:vMerge w:val="continue"/>
            <w:vAlign w:val="center"/>
          </w:tcPr>
          <w:p w14:paraId="667EAC06">
            <w:pPr>
              <w:pStyle w:val="8"/>
              <w:jc w:val="center"/>
            </w:pPr>
          </w:p>
        </w:tc>
        <w:tc>
          <w:tcPr>
            <w:tcW w:w="449" w:type="dxa"/>
            <w:vMerge w:val="continue"/>
            <w:vAlign w:val="center"/>
          </w:tcPr>
          <w:p w14:paraId="6F5A6E50">
            <w:pPr>
              <w:pStyle w:val="8"/>
              <w:jc w:val="center"/>
            </w:pPr>
          </w:p>
        </w:tc>
        <w:tc>
          <w:tcPr>
            <w:tcW w:w="1194" w:type="dxa"/>
            <w:vAlign w:val="center"/>
          </w:tcPr>
          <w:p w14:paraId="0F1DB16E">
            <w:pPr>
              <w:pStyle w:val="8"/>
              <w:jc w:val="center"/>
            </w:pPr>
          </w:p>
        </w:tc>
      </w:tr>
      <w:tr w14:paraId="29EF5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152B6BE">
            <w:pPr>
              <w:pStyle w:val="8"/>
            </w:pPr>
          </w:p>
        </w:tc>
        <w:tc>
          <w:tcPr>
            <w:tcW w:w="1169" w:type="dxa"/>
            <w:vMerge w:val="continue"/>
            <w:tcBorders>
              <w:top w:val="nil"/>
              <w:bottom w:val="nil"/>
            </w:tcBorders>
          </w:tcPr>
          <w:p w14:paraId="7ADC4050">
            <w:pPr>
              <w:pStyle w:val="8"/>
              <w:ind w:left="0" w:leftChars="0" w:hanging="8" w:firstLineChars="0"/>
            </w:pPr>
          </w:p>
        </w:tc>
        <w:tc>
          <w:tcPr>
            <w:tcW w:w="1109" w:type="dxa"/>
            <w:tcBorders>
              <w:bottom w:val="nil"/>
            </w:tcBorders>
            <w:vAlign w:val="center"/>
          </w:tcPr>
          <w:p w14:paraId="290420AF">
            <w:pPr>
              <w:keepNext w:val="0"/>
              <w:keepLines w:val="0"/>
              <w:pageBreakBefore w:val="0"/>
              <w:widowControl/>
              <w:kinsoku w:val="0"/>
              <w:wordWrap/>
              <w:overflowPunct/>
              <w:topLinePunct w:val="0"/>
              <w:autoSpaceDE w:val="0"/>
              <w:autoSpaceDN w:val="0"/>
              <w:bidi w:val="0"/>
              <w:adjustRightInd w:val="0"/>
              <w:snapToGrid w:val="0"/>
              <w:spacing w:line="212" w:lineRule="auto"/>
              <w:ind w:left="0" w:leftChars="0" w:right="38" w:rightChars="18" w:firstLine="0" w:firstLineChars="0"/>
              <w:jc w:val="center"/>
              <w:textAlignment w:val="baseline"/>
              <w:rPr>
                <w:rFonts w:ascii="宋体" w:hAnsi="宋体" w:eastAsia="宋体" w:cs="宋体"/>
                <w:spacing w:val="-4"/>
                <w:sz w:val="20"/>
                <w:szCs w:val="20"/>
              </w:rPr>
            </w:pPr>
            <w:r>
              <w:rPr>
                <w:rFonts w:ascii="宋体" w:hAnsi="宋体" w:eastAsia="宋体" w:cs="宋体"/>
                <w:spacing w:val="-4"/>
                <w:sz w:val="20"/>
                <w:szCs w:val="20"/>
              </w:rPr>
              <w:t>生态效益</w:t>
            </w:r>
          </w:p>
          <w:p w14:paraId="759AA626">
            <w:pPr>
              <w:keepNext w:val="0"/>
              <w:keepLines w:val="0"/>
              <w:pageBreakBefore w:val="0"/>
              <w:widowControl/>
              <w:kinsoku w:val="0"/>
              <w:wordWrap/>
              <w:overflowPunct/>
              <w:topLinePunct w:val="0"/>
              <w:autoSpaceDE w:val="0"/>
              <w:autoSpaceDN w:val="0"/>
              <w:bidi w:val="0"/>
              <w:adjustRightInd w:val="0"/>
              <w:snapToGrid w:val="0"/>
              <w:spacing w:line="212"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4"/>
                <w:sz w:val="20"/>
                <w:szCs w:val="20"/>
              </w:rPr>
              <w:t>指标</w:t>
            </w:r>
          </w:p>
        </w:tc>
        <w:tc>
          <w:tcPr>
            <w:tcW w:w="1039" w:type="dxa"/>
            <w:vAlign w:val="center"/>
          </w:tcPr>
          <w:p w14:paraId="09A31DF2">
            <w:pPr>
              <w:pStyle w:val="8"/>
              <w:jc w:val="center"/>
              <w:rPr>
                <w:rFonts w:hint="eastAsia" w:eastAsia="宋体"/>
                <w:lang w:val="en-US" w:eastAsia="zh-CN"/>
              </w:rPr>
            </w:pPr>
            <w:r>
              <w:rPr>
                <w:rFonts w:hint="eastAsia" w:eastAsia="宋体"/>
                <w:lang w:val="en-US" w:eastAsia="zh-CN"/>
              </w:rPr>
              <w:t>不适用</w:t>
            </w:r>
          </w:p>
        </w:tc>
        <w:tc>
          <w:tcPr>
            <w:tcW w:w="1288" w:type="dxa"/>
            <w:vAlign w:val="center"/>
          </w:tcPr>
          <w:p w14:paraId="728AC596">
            <w:pPr>
              <w:pStyle w:val="8"/>
              <w:jc w:val="center"/>
            </w:pPr>
          </w:p>
        </w:tc>
        <w:tc>
          <w:tcPr>
            <w:tcW w:w="1129" w:type="dxa"/>
          </w:tcPr>
          <w:p w14:paraId="4A4181B5">
            <w:pPr>
              <w:pStyle w:val="8"/>
            </w:pPr>
          </w:p>
        </w:tc>
        <w:tc>
          <w:tcPr>
            <w:tcW w:w="699" w:type="dxa"/>
            <w:vMerge w:val="continue"/>
            <w:vAlign w:val="center"/>
          </w:tcPr>
          <w:p w14:paraId="1EC6E480">
            <w:pPr>
              <w:pStyle w:val="8"/>
              <w:jc w:val="center"/>
            </w:pPr>
          </w:p>
        </w:tc>
        <w:tc>
          <w:tcPr>
            <w:tcW w:w="449" w:type="dxa"/>
            <w:vMerge w:val="continue"/>
            <w:vAlign w:val="center"/>
          </w:tcPr>
          <w:p w14:paraId="2BCCBCF0">
            <w:pPr>
              <w:pStyle w:val="8"/>
              <w:jc w:val="center"/>
            </w:pPr>
          </w:p>
        </w:tc>
        <w:tc>
          <w:tcPr>
            <w:tcW w:w="1194" w:type="dxa"/>
            <w:vAlign w:val="center"/>
          </w:tcPr>
          <w:p w14:paraId="1511B79B">
            <w:pPr>
              <w:pStyle w:val="8"/>
              <w:jc w:val="center"/>
            </w:pPr>
          </w:p>
        </w:tc>
      </w:tr>
      <w:tr w14:paraId="459C2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9E56560">
            <w:pPr>
              <w:pStyle w:val="8"/>
            </w:pPr>
          </w:p>
        </w:tc>
        <w:tc>
          <w:tcPr>
            <w:tcW w:w="1169" w:type="dxa"/>
            <w:vMerge w:val="continue"/>
            <w:tcBorders>
              <w:top w:val="nil"/>
              <w:bottom w:val="nil"/>
            </w:tcBorders>
          </w:tcPr>
          <w:p w14:paraId="1342A729">
            <w:pPr>
              <w:pStyle w:val="8"/>
              <w:ind w:left="0" w:leftChars="0" w:hanging="8" w:firstLineChars="0"/>
            </w:pPr>
          </w:p>
        </w:tc>
        <w:tc>
          <w:tcPr>
            <w:tcW w:w="1109" w:type="dxa"/>
            <w:vMerge w:val="restart"/>
            <w:tcBorders>
              <w:bottom w:val="nil"/>
            </w:tcBorders>
            <w:vAlign w:val="center"/>
          </w:tcPr>
          <w:p w14:paraId="4100BCEF">
            <w:pPr>
              <w:keepNext w:val="0"/>
              <w:keepLines w:val="0"/>
              <w:pageBreakBefore w:val="0"/>
              <w:widowControl/>
              <w:kinsoku w:val="0"/>
              <w:wordWrap/>
              <w:overflowPunct/>
              <w:topLinePunct w:val="0"/>
              <w:autoSpaceDE w:val="0"/>
              <w:autoSpaceDN w:val="0"/>
              <w:bidi w:val="0"/>
              <w:adjustRightInd w:val="0"/>
              <w:snapToGrid w:val="0"/>
              <w:spacing w:line="219"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2"/>
                <w:sz w:val="20"/>
                <w:szCs w:val="20"/>
              </w:rPr>
              <w:t>可持续影</w:t>
            </w:r>
          </w:p>
          <w:p w14:paraId="4003B706">
            <w:pPr>
              <w:keepNext w:val="0"/>
              <w:keepLines w:val="0"/>
              <w:pageBreakBefore w:val="0"/>
              <w:widowControl/>
              <w:kinsoku w:val="0"/>
              <w:wordWrap/>
              <w:overflowPunct/>
              <w:topLinePunct w:val="0"/>
              <w:autoSpaceDE w:val="0"/>
              <w:autoSpaceDN w:val="0"/>
              <w:bidi w:val="0"/>
              <w:adjustRightInd w:val="0"/>
              <w:snapToGrid w:val="0"/>
              <w:spacing w:line="220"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2"/>
                <w:sz w:val="20"/>
                <w:szCs w:val="20"/>
              </w:rPr>
              <w:t>响指标</w:t>
            </w:r>
          </w:p>
        </w:tc>
        <w:tc>
          <w:tcPr>
            <w:tcW w:w="1039" w:type="dxa"/>
            <w:vAlign w:val="center"/>
          </w:tcPr>
          <w:p w14:paraId="372EB533">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坚持抓民生守底线，绷紧“四大安全”责任弦</w:t>
            </w:r>
          </w:p>
        </w:tc>
        <w:tc>
          <w:tcPr>
            <w:tcW w:w="1288" w:type="dxa"/>
            <w:vAlign w:val="center"/>
          </w:tcPr>
          <w:p w14:paraId="3D5328FC">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持续推进</w:t>
            </w:r>
          </w:p>
        </w:tc>
        <w:tc>
          <w:tcPr>
            <w:tcW w:w="1129" w:type="dxa"/>
            <w:vAlign w:val="center"/>
          </w:tcPr>
          <w:p w14:paraId="0FFAC7E6">
            <w:pPr>
              <w:keepNext w:val="0"/>
              <w:keepLines w:val="0"/>
              <w:widowControl/>
              <w:suppressLineNumbers w:val="0"/>
              <w:jc w:val="center"/>
              <w:textAlignment w:val="center"/>
            </w:pPr>
            <w:r>
              <w:rPr>
                <w:rFonts w:hint="eastAsia" w:ascii="Arial" w:hAnsi="Arial" w:eastAsia="宋体" w:cs="Arial"/>
                <w:snapToGrid w:val="0"/>
                <w:color w:val="000000"/>
                <w:sz w:val="21"/>
                <w:szCs w:val="21"/>
                <w:lang w:val="en-US" w:eastAsia="zh-CN" w:bidi="ar-SA"/>
              </w:rPr>
              <w:t>持续推进</w:t>
            </w:r>
          </w:p>
        </w:tc>
        <w:tc>
          <w:tcPr>
            <w:tcW w:w="699" w:type="dxa"/>
            <w:vMerge w:val="continue"/>
            <w:vAlign w:val="center"/>
          </w:tcPr>
          <w:p w14:paraId="2B87F402">
            <w:pPr>
              <w:pStyle w:val="8"/>
              <w:jc w:val="center"/>
            </w:pPr>
          </w:p>
        </w:tc>
        <w:tc>
          <w:tcPr>
            <w:tcW w:w="449" w:type="dxa"/>
            <w:vMerge w:val="continue"/>
            <w:vAlign w:val="center"/>
          </w:tcPr>
          <w:p w14:paraId="5965874E">
            <w:pPr>
              <w:pStyle w:val="8"/>
              <w:jc w:val="center"/>
            </w:pPr>
          </w:p>
        </w:tc>
        <w:tc>
          <w:tcPr>
            <w:tcW w:w="1194" w:type="dxa"/>
            <w:vAlign w:val="center"/>
          </w:tcPr>
          <w:p w14:paraId="2C360B26">
            <w:pPr>
              <w:pStyle w:val="8"/>
              <w:jc w:val="center"/>
            </w:pPr>
          </w:p>
        </w:tc>
      </w:tr>
      <w:tr w14:paraId="2E1BE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144" w:type="dxa"/>
            <w:vMerge w:val="continue"/>
            <w:tcBorders>
              <w:top w:val="nil"/>
              <w:bottom w:val="nil"/>
            </w:tcBorders>
            <w:textDirection w:val="tbRlV"/>
          </w:tcPr>
          <w:p w14:paraId="48DA6CE9">
            <w:pPr>
              <w:pStyle w:val="8"/>
            </w:pPr>
          </w:p>
        </w:tc>
        <w:tc>
          <w:tcPr>
            <w:tcW w:w="1169" w:type="dxa"/>
            <w:vMerge w:val="continue"/>
            <w:tcBorders>
              <w:top w:val="nil"/>
            </w:tcBorders>
          </w:tcPr>
          <w:p w14:paraId="56C0281D">
            <w:pPr>
              <w:pStyle w:val="8"/>
              <w:ind w:left="0" w:leftChars="0" w:hanging="8" w:firstLineChars="0"/>
            </w:pPr>
          </w:p>
        </w:tc>
        <w:tc>
          <w:tcPr>
            <w:tcW w:w="1109" w:type="dxa"/>
            <w:vMerge w:val="continue"/>
            <w:tcBorders>
              <w:top w:val="nil"/>
            </w:tcBorders>
            <w:vAlign w:val="center"/>
          </w:tcPr>
          <w:p w14:paraId="4B8DD324">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54E02B33">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坚持抓调处促和谐，维护消费者的合法权益</w:t>
            </w:r>
          </w:p>
        </w:tc>
        <w:tc>
          <w:tcPr>
            <w:tcW w:w="1288" w:type="dxa"/>
            <w:vAlign w:val="center"/>
          </w:tcPr>
          <w:p w14:paraId="225216EA">
            <w:pPr>
              <w:keepNext w:val="0"/>
              <w:keepLines w:val="0"/>
              <w:widowControl/>
              <w:suppressLineNumbers w:val="0"/>
              <w:jc w:val="center"/>
              <w:textAlignment w:val="center"/>
              <w:rPr>
                <w:sz w:val="20"/>
              </w:rPr>
            </w:pPr>
            <w:r>
              <w:rPr>
                <w:rFonts w:hint="eastAsia" w:ascii="Arial" w:hAnsi="Arial" w:eastAsia="宋体" w:cs="Arial"/>
                <w:snapToGrid w:val="0"/>
                <w:color w:val="000000"/>
                <w:sz w:val="21"/>
                <w:szCs w:val="21"/>
                <w:lang w:val="en-US" w:eastAsia="zh-CN" w:bidi="ar-SA"/>
              </w:rPr>
              <w:t>持续推进</w:t>
            </w:r>
          </w:p>
        </w:tc>
        <w:tc>
          <w:tcPr>
            <w:tcW w:w="1129" w:type="dxa"/>
            <w:vAlign w:val="center"/>
          </w:tcPr>
          <w:p w14:paraId="580D6F05">
            <w:pPr>
              <w:keepNext w:val="0"/>
              <w:keepLines w:val="0"/>
              <w:widowControl/>
              <w:suppressLineNumbers w:val="0"/>
              <w:jc w:val="center"/>
              <w:textAlignment w:val="center"/>
              <w:rPr>
                <w:sz w:val="20"/>
              </w:rPr>
            </w:pPr>
            <w:r>
              <w:rPr>
                <w:rFonts w:hint="eastAsia" w:ascii="Arial" w:hAnsi="Arial" w:eastAsia="宋体" w:cs="Arial"/>
                <w:snapToGrid w:val="0"/>
                <w:color w:val="000000"/>
                <w:sz w:val="21"/>
                <w:szCs w:val="21"/>
                <w:lang w:val="en-US" w:eastAsia="zh-CN" w:bidi="ar-SA"/>
              </w:rPr>
              <w:t>持续推进</w:t>
            </w:r>
          </w:p>
        </w:tc>
        <w:tc>
          <w:tcPr>
            <w:tcW w:w="699" w:type="dxa"/>
            <w:vMerge w:val="continue"/>
            <w:vAlign w:val="center"/>
          </w:tcPr>
          <w:p w14:paraId="317BF33E">
            <w:pPr>
              <w:pStyle w:val="8"/>
              <w:spacing w:line="238" w:lineRule="exact"/>
              <w:jc w:val="center"/>
              <w:rPr>
                <w:sz w:val="20"/>
              </w:rPr>
            </w:pPr>
          </w:p>
        </w:tc>
        <w:tc>
          <w:tcPr>
            <w:tcW w:w="449" w:type="dxa"/>
            <w:vMerge w:val="continue"/>
            <w:vAlign w:val="center"/>
          </w:tcPr>
          <w:p w14:paraId="39B0111B">
            <w:pPr>
              <w:pStyle w:val="8"/>
              <w:spacing w:line="238" w:lineRule="exact"/>
              <w:jc w:val="center"/>
              <w:rPr>
                <w:sz w:val="20"/>
              </w:rPr>
            </w:pPr>
          </w:p>
        </w:tc>
        <w:tc>
          <w:tcPr>
            <w:tcW w:w="1194" w:type="dxa"/>
            <w:vAlign w:val="center"/>
          </w:tcPr>
          <w:p w14:paraId="00A33474">
            <w:pPr>
              <w:pStyle w:val="8"/>
              <w:spacing w:line="238" w:lineRule="exact"/>
              <w:jc w:val="center"/>
              <w:rPr>
                <w:sz w:val="20"/>
              </w:rPr>
            </w:pPr>
          </w:p>
        </w:tc>
      </w:tr>
      <w:tr w14:paraId="7084C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144" w:type="dxa"/>
            <w:vMerge w:val="continue"/>
            <w:tcBorders>
              <w:top w:val="nil"/>
              <w:bottom w:val="nil"/>
            </w:tcBorders>
            <w:textDirection w:val="tbRlV"/>
          </w:tcPr>
          <w:p w14:paraId="6A5AD491">
            <w:pPr>
              <w:pStyle w:val="8"/>
            </w:pPr>
          </w:p>
        </w:tc>
        <w:tc>
          <w:tcPr>
            <w:tcW w:w="1169" w:type="dxa"/>
            <w:vMerge w:val="continue"/>
            <w:tcBorders>
              <w:top w:val="nil"/>
            </w:tcBorders>
          </w:tcPr>
          <w:p w14:paraId="0178D42A">
            <w:pPr>
              <w:pStyle w:val="8"/>
              <w:ind w:left="0" w:leftChars="0" w:hanging="8" w:firstLineChars="0"/>
            </w:pPr>
          </w:p>
        </w:tc>
        <w:tc>
          <w:tcPr>
            <w:tcW w:w="1109" w:type="dxa"/>
            <w:vMerge w:val="continue"/>
            <w:tcBorders>
              <w:top w:val="nil"/>
            </w:tcBorders>
            <w:vAlign w:val="center"/>
          </w:tcPr>
          <w:p w14:paraId="7A091DBE">
            <w:pPr>
              <w:pStyle w:val="8"/>
              <w:keepNext w:val="0"/>
              <w:keepLines w:val="0"/>
              <w:pageBreakBefore w:val="0"/>
              <w:widowControl/>
              <w:kinsoku w:val="0"/>
              <w:wordWrap/>
              <w:overflowPunct/>
              <w:topLinePunct w:val="0"/>
              <w:autoSpaceDE w:val="0"/>
              <w:autoSpaceDN w:val="0"/>
              <w:bidi w:val="0"/>
              <w:adjustRightInd w:val="0"/>
              <w:snapToGrid w:val="0"/>
              <w:ind w:left="0" w:leftChars="0" w:right="38" w:rightChars="18" w:firstLine="0" w:firstLineChars="0"/>
              <w:jc w:val="center"/>
              <w:textAlignment w:val="baseline"/>
            </w:pPr>
          </w:p>
        </w:tc>
        <w:tc>
          <w:tcPr>
            <w:tcW w:w="1039" w:type="dxa"/>
            <w:vAlign w:val="center"/>
          </w:tcPr>
          <w:p w14:paraId="3912C877">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凝心聚力真抓实干，积极争取上级激励措施</w:t>
            </w:r>
          </w:p>
        </w:tc>
        <w:tc>
          <w:tcPr>
            <w:tcW w:w="1288" w:type="dxa"/>
            <w:vAlign w:val="center"/>
          </w:tcPr>
          <w:p w14:paraId="27AD9E53">
            <w:pPr>
              <w:keepNext w:val="0"/>
              <w:keepLines w:val="0"/>
              <w:widowControl/>
              <w:suppressLineNumbers w:val="0"/>
              <w:jc w:val="center"/>
              <w:textAlignment w:val="center"/>
              <w:rPr>
                <w:sz w:val="20"/>
              </w:rPr>
            </w:pPr>
            <w:r>
              <w:rPr>
                <w:rFonts w:hint="eastAsia" w:ascii="Arial" w:hAnsi="Arial" w:eastAsia="宋体" w:cs="Arial"/>
                <w:snapToGrid w:val="0"/>
                <w:color w:val="000000"/>
                <w:sz w:val="21"/>
                <w:szCs w:val="21"/>
                <w:lang w:val="en-US" w:eastAsia="zh-CN" w:bidi="ar-SA"/>
              </w:rPr>
              <w:t>持续推进</w:t>
            </w:r>
          </w:p>
        </w:tc>
        <w:tc>
          <w:tcPr>
            <w:tcW w:w="1129" w:type="dxa"/>
            <w:vAlign w:val="center"/>
          </w:tcPr>
          <w:p w14:paraId="2EC5BBBF">
            <w:pPr>
              <w:keepNext w:val="0"/>
              <w:keepLines w:val="0"/>
              <w:widowControl/>
              <w:suppressLineNumbers w:val="0"/>
              <w:jc w:val="center"/>
              <w:textAlignment w:val="center"/>
              <w:rPr>
                <w:sz w:val="20"/>
              </w:rPr>
            </w:pPr>
            <w:r>
              <w:rPr>
                <w:rFonts w:hint="eastAsia" w:ascii="Arial" w:hAnsi="Arial" w:eastAsia="宋体" w:cs="Arial"/>
                <w:snapToGrid w:val="0"/>
                <w:color w:val="000000"/>
                <w:sz w:val="21"/>
                <w:szCs w:val="21"/>
                <w:lang w:val="en-US" w:eastAsia="zh-CN" w:bidi="ar-SA"/>
              </w:rPr>
              <w:t>持续推进</w:t>
            </w:r>
          </w:p>
        </w:tc>
        <w:tc>
          <w:tcPr>
            <w:tcW w:w="699" w:type="dxa"/>
            <w:vMerge w:val="continue"/>
            <w:vAlign w:val="center"/>
          </w:tcPr>
          <w:p w14:paraId="2AA55C57">
            <w:pPr>
              <w:pStyle w:val="8"/>
              <w:spacing w:line="238" w:lineRule="exact"/>
              <w:jc w:val="center"/>
              <w:rPr>
                <w:sz w:val="20"/>
              </w:rPr>
            </w:pPr>
          </w:p>
        </w:tc>
        <w:tc>
          <w:tcPr>
            <w:tcW w:w="449" w:type="dxa"/>
            <w:vMerge w:val="continue"/>
            <w:vAlign w:val="center"/>
          </w:tcPr>
          <w:p w14:paraId="73295F25">
            <w:pPr>
              <w:pStyle w:val="8"/>
              <w:spacing w:line="238" w:lineRule="exact"/>
              <w:jc w:val="center"/>
              <w:rPr>
                <w:sz w:val="20"/>
              </w:rPr>
            </w:pPr>
          </w:p>
        </w:tc>
        <w:tc>
          <w:tcPr>
            <w:tcW w:w="1194" w:type="dxa"/>
            <w:vAlign w:val="center"/>
          </w:tcPr>
          <w:p w14:paraId="400129F1">
            <w:pPr>
              <w:pStyle w:val="8"/>
              <w:spacing w:line="238" w:lineRule="exact"/>
              <w:jc w:val="center"/>
              <w:rPr>
                <w:sz w:val="20"/>
              </w:rPr>
            </w:pPr>
          </w:p>
        </w:tc>
      </w:tr>
      <w:tr w14:paraId="04EA1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B7F5646">
            <w:pPr>
              <w:pStyle w:val="8"/>
            </w:pPr>
          </w:p>
        </w:tc>
        <w:tc>
          <w:tcPr>
            <w:tcW w:w="1169" w:type="dxa"/>
            <w:tcBorders>
              <w:bottom w:val="nil"/>
            </w:tcBorders>
            <w:vAlign w:val="center"/>
          </w:tcPr>
          <w:p w14:paraId="46D2A13A">
            <w:pPr>
              <w:spacing w:before="48" w:line="219" w:lineRule="auto"/>
              <w:ind w:left="0" w:leftChars="0" w:hanging="8" w:firstLineChars="0"/>
              <w:jc w:val="center"/>
              <w:rPr>
                <w:rFonts w:ascii="宋体" w:hAnsi="宋体" w:eastAsia="宋体" w:cs="宋体"/>
                <w:sz w:val="20"/>
                <w:szCs w:val="20"/>
              </w:rPr>
            </w:pPr>
            <w:r>
              <w:rPr>
                <w:rFonts w:ascii="宋体" w:hAnsi="宋体" w:eastAsia="宋体" w:cs="宋体"/>
                <w:spacing w:val="-2"/>
                <w:sz w:val="20"/>
                <w:szCs w:val="20"/>
              </w:rPr>
              <w:t>满意度</w:t>
            </w:r>
          </w:p>
          <w:p w14:paraId="7910A3DF">
            <w:pPr>
              <w:spacing w:before="2" w:line="185" w:lineRule="auto"/>
              <w:ind w:left="0" w:leftChars="0" w:hanging="8" w:firstLineChars="0"/>
              <w:jc w:val="center"/>
              <w:rPr>
                <w:rFonts w:ascii="宋体" w:hAnsi="宋体" w:eastAsia="宋体" w:cs="宋体"/>
                <w:sz w:val="20"/>
                <w:szCs w:val="20"/>
              </w:rPr>
            </w:pPr>
            <w:r>
              <w:rPr>
                <w:rFonts w:ascii="宋体" w:hAnsi="宋体" w:eastAsia="宋体" w:cs="宋体"/>
                <w:spacing w:val="-3"/>
                <w:sz w:val="20"/>
                <w:szCs w:val="20"/>
              </w:rPr>
              <w:t>指标</w:t>
            </w:r>
          </w:p>
          <w:p w14:paraId="2635E169">
            <w:pPr>
              <w:spacing w:before="1" w:line="194" w:lineRule="auto"/>
              <w:ind w:left="0" w:leftChars="0" w:hanging="8" w:firstLineChars="0"/>
              <w:jc w:val="center"/>
              <w:rPr>
                <w:rFonts w:ascii="宋体" w:hAnsi="宋体" w:eastAsia="宋体" w:cs="宋体"/>
                <w:sz w:val="20"/>
                <w:szCs w:val="20"/>
              </w:rPr>
            </w:pPr>
            <w:r>
              <w:rPr>
                <w:rFonts w:ascii="宋体" w:hAnsi="宋体" w:eastAsia="宋体" w:cs="宋体"/>
                <w:spacing w:val="8"/>
                <w:sz w:val="20"/>
                <w:szCs w:val="20"/>
              </w:rPr>
              <w:t>(10分)</w:t>
            </w:r>
          </w:p>
        </w:tc>
        <w:tc>
          <w:tcPr>
            <w:tcW w:w="1109" w:type="dxa"/>
            <w:tcBorders>
              <w:bottom w:val="nil"/>
            </w:tcBorders>
            <w:vAlign w:val="center"/>
          </w:tcPr>
          <w:p w14:paraId="111C12C1">
            <w:pPr>
              <w:keepNext w:val="0"/>
              <w:keepLines w:val="0"/>
              <w:pageBreakBefore w:val="0"/>
              <w:widowControl/>
              <w:kinsoku w:val="0"/>
              <w:wordWrap/>
              <w:overflowPunct/>
              <w:topLinePunct w:val="0"/>
              <w:autoSpaceDE w:val="0"/>
              <w:autoSpaceDN w:val="0"/>
              <w:bidi w:val="0"/>
              <w:adjustRightInd w:val="0"/>
              <w:snapToGrid w:val="0"/>
              <w:spacing w:line="219"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2"/>
                <w:sz w:val="20"/>
                <w:szCs w:val="20"/>
              </w:rPr>
              <w:t>服务对象</w:t>
            </w:r>
          </w:p>
          <w:p w14:paraId="77782B28">
            <w:pPr>
              <w:keepNext w:val="0"/>
              <w:keepLines w:val="0"/>
              <w:pageBreakBefore w:val="0"/>
              <w:widowControl/>
              <w:kinsoku w:val="0"/>
              <w:wordWrap/>
              <w:overflowPunct/>
              <w:topLinePunct w:val="0"/>
              <w:autoSpaceDE w:val="0"/>
              <w:autoSpaceDN w:val="0"/>
              <w:bidi w:val="0"/>
              <w:adjustRightInd w:val="0"/>
              <w:snapToGrid w:val="0"/>
              <w:spacing w:line="204"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pacing w:val="3"/>
                <w:sz w:val="20"/>
                <w:szCs w:val="20"/>
              </w:rPr>
              <w:t>满意度指</w:t>
            </w:r>
          </w:p>
          <w:p w14:paraId="3883868B">
            <w:pPr>
              <w:keepNext w:val="0"/>
              <w:keepLines w:val="0"/>
              <w:pageBreakBefore w:val="0"/>
              <w:widowControl/>
              <w:kinsoku w:val="0"/>
              <w:wordWrap/>
              <w:overflowPunct/>
              <w:topLinePunct w:val="0"/>
              <w:autoSpaceDE w:val="0"/>
              <w:autoSpaceDN w:val="0"/>
              <w:bidi w:val="0"/>
              <w:adjustRightInd w:val="0"/>
              <w:snapToGrid w:val="0"/>
              <w:spacing w:line="185" w:lineRule="auto"/>
              <w:ind w:left="0" w:leftChars="0" w:right="38" w:rightChars="18" w:firstLine="0" w:firstLineChars="0"/>
              <w:jc w:val="center"/>
              <w:textAlignment w:val="baseline"/>
              <w:rPr>
                <w:rFonts w:ascii="宋体" w:hAnsi="宋体" w:eastAsia="宋体" w:cs="宋体"/>
                <w:sz w:val="20"/>
                <w:szCs w:val="20"/>
              </w:rPr>
            </w:pPr>
            <w:r>
              <w:rPr>
                <w:rFonts w:ascii="宋体" w:hAnsi="宋体" w:eastAsia="宋体" w:cs="宋体"/>
                <w:sz w:val="20"/>
                <w:szCs w:val="20"/>
              </w:rPr>
              <w:t>标</w:t>
            </w:r>
          </w:p>
        </w:tc>
        <w:tc>
          <w:tcPr>
            <w:tcW w:w="1039" w:type="dxa"/>
            <w:shd w:val="clear" w:color="auto" w:fill="auto"/>
            <w:vAlign w:val="center"/>
          </w:tcPr>
          <w:p w14:paraId="3EC9CB22">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en-US" w:bidi="ar-SA"/>
              </w:rPr>
            </w:pPr>
            <w:r>
              <w:rPr>
                <w:rFonts w:hint="eastAsia" w:ascii="Arial" w:hAnsi="Arial" w:eastAsia="宋体" w:cs="Arial"/>
                <w:snapToGrid w:val="0"/>
                <w:color w:val="000000"/>
                <w:sz w:val="21"/>
                <w:szCs w:val="21"/>
                <w:lang w:val="en-US" w:eastAsia="zh-CN" w:bidi="ar-SA"/>
              </w:rPr>
              <w:t>12315平台在线率</w:t>
            </w:r>
          </w:p>
        </w:tc>
        <w:tc>
          <w:tcPr>
            <w:tcW w:w="1288" w:type="dxa"/>
            <w:vAlign w:val="center"/>
          </w:tcPr>
          <w:p w14:paraId="28EEDCE4">
            <w:pPr>
              <w:keepNext w:val="0"/>
              <w:keepLines w:val="0"/>
              <w:widowControl/>
              <w:suppressLineNumbers w:val="0"/>
              <w:jc w:val="center"/>
              <w:textAlignment w:val="center"/>
              <w:rPr>
                <w:rFonts w:hint="default"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100%</w:t>
            </w:r>
          </w:p>
        </w:tc>
        <w:tc>
          <w:tcPr>
            <w:tcW w:w="1129" w:type="dxa"/>
            <w:vAlign w:val="center"/>
          </w:tcPr>
          <w:p w14:paraId="0AB1275A">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100%</w:t>
            </w:r>
          </w:p>
        </w:tc>
        <w:tc>
          <w:tcPr>
            <w:tcW w:w="699" w:type="dxa"/>
            <w:vAlign w:val="center"/>
          </w:tcPr>
          <w:p w14:paraId="1A6CD89E">
            <w:pPr>
              <w:pStyle w:val="8"/>
              <w:jc w:val="center"/>
              <w:rPr>
                <w:rFonts w:hint="default" w:eastAsia="宋体"/>
                <w:lang w:val="en-US" w:eastAsia="zh-CN"/>
              </w:rPr>
            </w:pPr>
            <w:r>
              <w:rPr>
                <w:rFonts w:hint="eastAsia" w:eastAsia="宋体"/>
                <w:lang w:val="en-US" w:eastAsia="zh-CN"/>
              </w:rPr>
              <w:t>10</w:t>
            </w:r>
          </w:p>
        </w:tc>
        <w:tc>
          <w:tcPr>
            <w:tcW w:w="449" w:type="dxa"/>
            <w:vAlign w:val="center"/>
          </w:tcPr>
          <w:p w14:paraId="4E612EB3">
            <w:pPr>
              <w:pStyle w:val="8"/>
              <w:jc w:val="center"/>
              <w:rPr>
                <w:rFonts w:hint="default" w:eastAsia="宋体"/>
                <w:lang w:val="en-US" w:eastAsia="zh-CN"/>
              </w:rPr>
            </w:pPr>
            <w:r>
              <w:rPr>
                <w:rFonts w:hint="eastAsia" w:eastAsia="宋体"/>
                <w:lang w:val="en-US" w:eastAsia="zh-CN"/>
              </w:rPr>
              <w:t>10</w:t>
            </w:r>
          </w:p>
        </w:tc>
        <w:tc>
          <w:tcPr>
            <w:tcW w:w="1194" w:type="dxa"/>
          </w:tcPr>
          <w:p w14:paraId="1FCE7C17">
            <w:pPr>
              <w:pStyle w:val="8"/>
            </w:pPr>
          </w:p>
        </w:tc>
      </w:tr>
      <w:tr w14:paraId="6E187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878" w:type="dxa"/>
            <w:gridSpan w:val="6"/>
            <w:vAlign w:val="center"/>
          </w:tcPr>
          <w:p w14:paraId="4759592F">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总分</w:t>
            </w:r>
          </w:p>
        </w:tc>
        <w:tc>
          <w:tcPr>
            <w:tcW w:w="699" w:type="dxa"/>
            <w:vAlign w:val="center"/>
          </w:tcPr>
          <w:p w14:paraId="36711824">
            <w:pPr>
              <w:keepNext w:val="0"/>
              <w:keepLines w:val="0"/>
              <w:widowControl/>
              <w:suppressLineNumbers w:val="0"/>
              <w:jc w:val="center"/>
              <w:textAlignment w:val="center"/>
              <w:rPr>
                <w:rFonts w:hint="eastAsia" w:ascii="Arial" w:hAnsi="Arial" w:eastAsia="宋体" w:cs="Arial"/>
                <w:snapToGrid w:val="0"/>
                <w:color w:val="000000"/>
                <w:sz w:val="21"/>
                <w:szCs w:val="21"/>
                <w:lang w:val="en-US" w:eastAsia="zh-CN" w:bidi="ar-SA"/>
              </w:rPr>
            </w:pPr>
            <w:r>
              <w:rPr>
                <w:rFonts w:hint="eastAsia" w:ascii="Arial" w:hAnsi="Arial" w:eastAsia="宋体" w:cs="Arial"/>
                <w:snapToGrid w:val="0"/>
                <w:color w:val="000000"/>
                <w:sz w:val="21"/>
                <w:szCs w:val="21"/>
                <w:lang w:val="en-US" w:eastAsia="zh-CN" w:bidi="ar-SA"/>
              </w:rPr>
              <w:t>100</w:t>
            </w:r>
          </w:p>
        </w:tc>
        <w:tc>
          <w:tcPr>
            <w:tcW w:w="449" w:type="dxa"/>
            <w:vAlign w:val="center"/>
          </w:tcPr>
          <w:p w14:paraId="38B16930">
            <w:pPr>
              <w:pStyle w:val="8"/>
              <w:jc w:val="center"/>
              <w:rPr>
                <w:rFonts w:hint="default" w:eastAsia="宋体"/>
                <w:lang w:val="en-US" w:eastAsia="zh-CN"/>
              </w:rPr>
            </w:pPr>
            <w:r>
              <w:rPr>
                <w:rFonts w:hint="eastAsia" w:eastAsia="宋体"/>
                <w:lang w:val="en-US" w:eastAsia="zh-CN"/>
              </w:rPr>
              <w:t>100</w:t>
            </w:r>
          </w:p>
        </w:tc>
        <w:tc>
          <w:tcPr>
            <w:tcW w:w="1194" w:type="dxa"/>
          </w:tcPr>
          <w:p w14:paraId="1BBADCED">
            <w:pPr>
              <w:pStyle w:val="8"/>
            </w:pPr>
          </w:p>
        </w:tc>
      </w:tr>
    </w:tbl>
    <w:p w14:paraId="0EA3E843">
      <w:pPr>
        <w:pStyle w:val="2"/>
        <w:spacing w:before="12" w:line="285" w:lineRule="auto"/>
        <w:ind w:right="285" w:firstLine="420" w:firstLineChars="200"/>
        <w:rPr>
          <w:rFonts w:ascii="宋体" w:hAnsi="宋体" w:eastAsia="宋体" w:cs="宋体"/>
          <w:sz w:val="21"/>
          <w:szCs w:val="21"/>
        </w:rPr>
      </w:pPr>
    </w:p>
    <w:p w14:paraId="31653E92">
      <w:pPr>
        <w:pStyle w:val="2"/>
        <w:spacing w:before="12" w:line="285" w:lineRule="auto"/>
        <w:ind w:right="285" w:firstLine="420" w:firstLineChars="200"/>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刘碧媛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2024.10.17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2267007</w:t>
      </w:r>
    </w:p>
    <w:p w14:paraId="5B42FD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3E1EA10E">
        <w:pPr>
          <w:pStyle w:val="3"/>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2E82388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B08D2">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4MGViZTJlYjBmNTdhNGFmYWUyZGNhN2IwZDU3NzMifQ=="/>
  </w:docVars>
  <w:rsids>
    <w:rsidRoot w:val="0FF93D90"/>
    <w:rsid w:val="020C500A"/>
    <w:rsid w:val="02C24BF1"/>
    <w:rsid w:val="03027147"/>
    <w:rsid w:val="03975349"/>
    <w:rsid w:val="04787DF0"/>
    <w:rsid w:val="049D76C3"/>
    <w:rsid w:val="04A371BA"/>
    <w:rsid w:val="04CE1F73"/>
    <w:rsid w:val="058D14E6"/>
    <w:rsid w:val="06CC5634"/>
    <w:rsid w:val="06D041F2"/>
    <w:rsid w:val="07AC7DE2"/>
    <w:rsid w:val="098D71B8"/>
    <w:rsid w:val="0AE56EC9"/>
    <w:rsid w:val="0BB22AC4"/>
    <w:rsid w:val="0BD55995"/>
    <w:rsid w:val="0C175FAD"/>
    <w:rsid w:val="0C691A33"/>
    <w:rsid w:val="0CA95FE1"/>
    <w:rsid w:val="0D166265"/>
    <w:rsid w:val="0E7771D7"/>
    <w:rsid w:val="0ECE5D13"/>
    <w:rsid w:val="0FF93D90"/>
    <w:rsid w:val="102072A9"/>
    <w:rsid w:val="10DC40F3"/>
    <w:rsid w:val="117B2B3A"/>
    <w:rsid w:val="13520816"/>
    <w:rsid w:val="141F15F8"/>
    <w:rsid w:val="143376FC"/>
    <w:rsid w:val="14FE7D0A"/>
    <w:rsid w:val="16591D98"/>
    <w:rsid w:val="16B953D3"/>
    <w:rsid w:val="17103D25"/>
    <w:rsid w:val="17835B2B"/>
    <w:rsid w:val="189826D4"/>
    <w:rsid w:val="18AC1E92"/>
    <w:rsid w:val="1A182C44"/>
    <w:rsid w:val="1C33473D"/>
    <w:rsid w:val="1C9854EB"/>
    <w:rsid w:val="1D3B7BAB"/>
    <w:rsid w:val="1E1B44E3"/>
    <w:rsid w:val="1EA4266B"/>
    <w:rsid w:val="1F5F5356"/>
    <w:rsid w:val="1FA15E62"/>
    <w:rsid w:val="201A17BE"/>
    <w:rsid w:val="2053381C"/>
    <w:rsid w:val="20980B5A"/>
    <w:rsid w:val="21C3358C"/>
    <w:rsid w:val="21D267A7"/>
    <w:rsid w:val="21F84180"/>
    <w:rsid w:val="221D7A35"/>
    <w:rsid w:val="226135BA"/>
    <w:rsid w:val="23C757EB"/>
    <w:rsid w:val="24EA3019"/>
    <w:rsid w:val="253E6078"/>
    <w:rsid w:val="25752322"/>
    <w:rsid w:val="25B43CD8"/>
    <w:rsid w:val="27B843BD"/>
    <w:rsid w:val="29D95C46"/>
    <w:rsid w:val="2BDD7F6F"/>
    <w:rsid w:val="2C75313C"/>
    <w:rsid w:val="2CE37ABA"/>
    <w:rsid w:val="2D633937"/>
    <w:rsid w:val="2D9818DA"/>
    <w:rsid w:val="2DF65A96"/>
    <w:rsid w:val="2F0913C9"/>
    <w:rsid w:val="2F396872"/>
    <w:rsid w:val="2F7B222C"/>
    <w:rsid w:val="309365DF"/>
    <w:rsid w:val="31161D8A"/>
    <w:rsid w:val="316F4012"/>
    <w:rsid w:val="31C0486E"/>
    <w:rsid w:val="35D13D0E"/>
    <w:rsid w:val="36E4661C"/>
    <w:rsid w:val="37513BE3"/>
    <w:rsid w:val="37B6726B"/>
    <w:rsid w:val="39145E95"/>
    <w:rsid w:val="3B954E32"/>
    <w:rsid w:val="3C173538"/>
    <w:rsid w:val="3C7707DD"/>
    <w:rsid w:val="3D7E7EDB"/>
    <w:rsid w:val="3D9A2417"/>
    <w:rsid w:val="3EEA2F9E"/>
    <w:rsid w:val="400718BA"/>
    <w:rsid w:val="40F715AE"/>
    <w:rsid w:val="43056584"/>
    <w:rsid w:val="434062BE"/>
    <w:rsid w:val="44A41DCD"/>
    <w:rsid w:val="44C6606F"/>
    <w:rsid w:val="44F22952"/>
    <w:rsid w:val="450F660F"/>
    <w:rsid w:val="46001D6B"/>
    <w:rsid w:val="490517C1"/>
    <w:rsid w:val="49552E04"/>
    <w:rsid w:val="4B7111ED"/>
    <w:rsid w:val="4C322CDF"/>
    <w:rsid w:val="4C3F352E"/>
    <w:rsid w:val="4D111FCA"/>
    <w:rsid w:val="4D1942D4"/>
    <w:rsid w:val="4DDF22D6"/>
    <w:rsid w:val="4E353A96"/>
    <w:rsid w:val="4E9963E5"/>
    <w:rsid w:val="513A1AEF"/>
    <w:rsid w:val="52B376EB"/>
    <w:rsid w:val="56E90D97"/>
    <w:rsid w:val="589A7301"/>
    <w:rsid w:val="59DD395F"/>
    <w:rsid w:val="5A867B53"/>
    <w:rsid w:val="5B995664"/>
    <w:rsid w:val="5C677D88"/>
    <w:rsid w:val="5CDD5A24"/>
    <w:rsid w:val="5DAD53F7"/>
    <w:rsid w:val="5F01226C"/>
    <w:rsid w:val="605E0CB4"/>
    <w:rsid w:val="606E1F64"/>
    <w:rsid w:val="61182ED6"/>
    <w:rsid w:val="61487791"/>
    <w:rsid w:val="614B2603"/>
    <w:rsid w:val="618B1EF3"/>
    <w:rsid w:val="623053C5"/>
    <w:rsid w:val="62762766"/>
    <w:rsid w:val="63352116"/>
    <w:rsid w:val="63E1404C"/>
    <w:rsid w:val="64691F93"/>
    <w:rsid w:val="64727521"/>
    <w:rsid w:val="65030DDA"/>
    <w:rsid w:val="653F54CE"/>
    <w:rsid w:val="65867EED"/>
    <w:rsid w:val="673426E5"/>
    <w:rsid w:val="682C160E"/>
    <w:rsid w:val="685409C3"/>
    <w:rsid w:val="68595550"/>
    <w:rsid w:val="68A100BB"/>
    <w:rsid w:val="6A2E3D63"/>
    <w:rsid w:val="6BB43DF4"/>
    <w:rsid w:val="6C937EAD"/>
    <w:rsid w:val="6D3A43C4"/>
    <w:rsid w:val="6DE13569"/>
    <w:rsid w:val="6E470F4F"/>
    <w:rsid w:val="6F2F210F"/>
    <w:rsid w:val="717109D7"/>
    <w:rsid w:val="73073DA8"/>
    <w:rsid w:val="735E7A6A"/>
    <w:rsid w:val="73D11C07"/>
    <w:rsid w:val="73F51CF0"/>
    <w:rsid w:val="73FF6D76"/>
    <w:rsid w:val="74771E4A"/>
    <w:rsid w:val="747B5DF7"/>
    <w:rsid w:val="75C17BF8"/>
    <w:rsid w:val="77D17A87"/>
    <w:rsid w:val="78A23952"/>
    <w:rsid w:val="7ACD133D"/>
    <w:rsid w:val="7B454A69"/>
    <w:rsid w:val="7B516570"/>
    <w:rsid w:val="7B5829EE"/>
    <w:rsid w:val="7B5D3CC6"/>
    <w:rsid w:val="7C5B2B16"/>
    <w:rsid w:val="7D133070"/>
    <w:rsid w:val="7D29120A"/>
    <w:rsid w:val="7DA261A2"/>
    <w:rsid w:val="7E055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qFormat/>
    <w:uiPriority w:val="99"/>
    <w:pPr>
      <w:tabs>
        <w:tab w:val="center" w:pos="4153"/>
        <w:tab w:val="right" w:pos="8306"/>
      </w:tabs>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7533</Words>
  <Characters>8287</Characters>
  <Lines>0</Lines>
  <Paragraphs>0</Paragraphs>
  <TotalTime>0</TotalTime>
  <ScaleCrop>false</ScaleCrop>
  <LinksUpToDate>false</LinksUpToDate>
  <CharactersWithSpaces>8480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2024-10-15T00:55:00Z</dcterms:created>
  <dc:creator>舷窗幽幽  </dc:creator>
  <cp:lastModifiedBy>舷窗幽幽  </cp:lastModifiedBy>
  <dcterms:modified xsi:type="dcterms:W3CDTF">2024-10-22T00:15:45Z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9174BA9B8D454B9A9B408AF355816684_11</vt:lpwstr>
  </property>
</Properties>
</file>