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</w:t>
      </w:r>
      <w:r>
        <w:rPr>
          <w:rFonts w:eastAsia="黑体"/>
          <w:sz w:val="32"/>
          <w:szCs w:val="32"/>
        </w:rPr>
        <w:t>附件4</w:t>
      </w: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default" w:eastAsia="方正小标宋_GBK"/>
          <w:sz w:val="52"/>
          <w:szCs w:val="52"/>
          <w:lang w:val="en-US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  <w:lang w:eastAsia="zh-CN"/>
        </w:rPr>
        <w:t>怀化市鹤城区农机事务中心</w:t>
      </w:r>
      <w:r>
        <w:rPr>
          <w:rFonts w:eastAsia="方正小标宋_GBK"/>
          <w:sz w:val="52"/>
          <w:szCs w:val="52"/>
        </w:rPr>
        <w:t>整体支出绩效自评报告</w:t>
      </w:r>
    </w:p>
    <w:p>
      <w:pPr>
        <w:jc w:val="center"/>
        <w:rPr>
          <w:rFonts w:eastAsia="楷体_GB2312"/>
          <w:b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eastAsia="zh-CN"/>
        </w:rPr>
        <w:t>怀化市鹤城区农机事务中心</w:t>
      </w:r>
      <w:r>
        <w:rPr>
          <w:rFonts w:eastAsia="仿宋_GB2312"/>
          <w:sz w:val="32"/>
          <w:szCs w:val="32"/>
          <w:u w:val="single"/>
        </w:rPr>
        <w:t xml:space="preserve">      </w:t>
      </w:r>
    </w:p>
    <w:p>
      <w:pPr>
        <w:spacing w:line="600" w:lineRule="exact"/>
        <w:ind w:firstLine="3200" w:firstLineChars="1000"/>
        <w:rPr>
          <w:rFonts w:hint="default" w:eastAsia="楷体_GB2312"/>
          <w:sz w:val="32"/>
          <w:szCs w:val="32"/>
          <w:lang w:val="en-US" w:eastAsia="zh-CN"/>
        </w:rPr>
      </w:pPr>
      <w:r>
        <w:rPr>
          <w:rFonts w:hint="eastAsia" w:eastAsia="楷体_GB2312"/>
          <w:sz w:val="32"/>
          <w:szCs w:val="32"/>
          <w:lang w:val="en-US" w:eastAsia="zh-CN"/>
        </w:rPr>
        <w:t>202</w:t>
      </w:r>
      <w:r>
        <w:rPr>
          <w:rFonts w:hint="default" w:eastAsia="楷体_GB2312"/>
          <w:sz w:val="32"/>
          <w:szCs w:val="32"/>
          <w:lang w:val="en-US" w:eastAsia="zh-CN"/>
        </w:rPr>
        <w:t>4</w:t>
      </w:r>
      <w:r>
        <w:rPr>
          <w:rFonts w:eastAsia="楷体_GB2312"/>
          <w:sz w:val="32"/>
          <w:szCs w:val="32"/>
        </w:rPr>
        <w:t xml:space="preserve">年  </w:t>
      </w:r>
      <w:r>
        <w:rPr>
          <w:rFonts w:hint="default" w:eastAsia="楷体_GB2312"/>
          <w:sz w:val="32"/>
          <w:szCs w:val="32"/>
          <w:lang w:val="en-US"/>
        </w:rPr>
        <w:t>10</w:t>
      </w:r>
      <w:r>
        <w:rPr>
          <w:rFonts w:eastAsia="楷体_GB2312"/>
          <w:sz w:val="32"/>
          <w:szCs w:val="32"/>
        </w:rPr>
        <w:t xml:space="preserve">月  </w:t>
      </w:r>
      <w:r>
        <w:rPr>
          <w:rFonts w:hint="eastAsia" w:eastAsia="楷体_GB2312"/>
          <w:sz w:val="32"/>
          <w:szCs w:val="32"/>
          <w:lang w:val="en-US" w:eastAsia="zh-CN"/>
        </w:rPr>
        <w:t>2</w:t>
      </w:r>
      <w:r>
        <w:rPr>
          <w:rFonts w:hint="default" w:eastAsia="楷体_GB2312"/>
          <w:sz w:val="32"/>
          <w:szCs w:val="32"/>
          <w:lang w:val="en-US" w:eastAsia="zh-CN"/>
        </w:rPr>
        <w:t>2</w:t>
      </w:r>
      <w:r>
        <w:rPr>
          <w:rFonts w:hint="eastAsia" w:eastAsia="楷体_GB2312"/>
          <w:sz w:val="32"/>
          <w:szCs w:val="32"/>
          <w:lang w:val="en-US" w:eastAsia="zh-CN"/>
        </w:rPr>
        <w:t>日</w:t>
      </w: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（此页为封面）</w:t>
      </w:r>
    </w:p>
    <w:p>
      <w:pPr>
        <w:widowControl/>
        <w:shd w:val="clear" w:color="auto" w:fill="FFFFFF"/>
        <w:spacing w:line="600" w:lineRule="atLeast"/>
        <w:rPr>
          <w:rFonts w:eastAsia="黑体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spacing w:line="600" w:lineRule="exact"/>
        <w:jc w:val="center"/>
        <w:rPr>
          <w:rFonts w:eastAsia="方正小标宋_GBK"/>
          <w:sz w:val="36"/>
          <w:szCs w:val="36"/>
        </w:rPr>
      </w:pPr>
    </w:p>
    <w:p>
      <w:pPr>
        <w:spacing w:line="600" w:lineRule="exact"/>
        <w:jc w:val="center"/>
        <w:rPr>
          <w:rFonts w:eastAsia="方正小标宋_GBK"/>
          <w:sz w:val="32"/>
          <w:szCs w:val="32"/>
        </w:rPr>
      </w:pPr>
      <w:r>
        <w:rPr>
          <w:rFonts w:eastAsia="方正小标宋_GBK"/>
          <w:sz w:val="36"/>
          <w:szCs w:val="36"/>
        </w:rPr>
        <w:t>部门整体支出绩效评价报告</w:t>
      </w:r>
    </w:p>
    <w:p>
      <w:pPr>
        <w:spacing w:line="600" w:lineRule="exact"/>
        <w:jc w:val="center"/>
        <w:rPr>
          <w:rFonts w:eastAsia="方正小标宋_GBK"/>
          <w:sz w:val="32"/>
          <w:szCs w:val="32"/>
        </w:rPr>
      </w:pPr>
    </w:p>
    <w:p>
      <w:pPr>
        <w:pStyle w:val="8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</w:t>
      </w:r>
      <w:r>
        <w:rPr>
          <w:rFonts w:ascii="Times New Roman" w:hAnsi="Times New Roman" w:eastAsia="黑体"/>
          <w:sz w:val="32"/>
          <w:szCs w:val="32"/>
        </w:rPr>
        <w:t>部门、单位基本情况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区农机事务中心贯彻落实党中央和省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仿宋"/>
          <w:sz w:val="32"/>
          <w:szCs w:val="32"/>
        </w:rPr>
        <w:t>、 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仿宋"/>
          <w:sz w:val="32"/>
          <w:szCs w:val="32"/>
        </w:rPr>
        <w:t>、关于农业农村和农业机械化工作的方针政策和决策部署，全面落实区委关于农业农村和农业机械化工作的部署要求，在履行职责过程中坚持和加强党对农业机械化工作的集中统一领导。主要职责是：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为全区农业农机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械</w:t>
      </w:r>
      <w:r>
        <w:rPr>
          <w:rFonts w:hint="eastAsia" w:ascii="仿宋" w:hAnsi="仿宋" w:eastAsia="仿宋" w:cs="仿宋"/>
          <w:sz w:val="32"/>
          <w:szCs w:val="32"/>
        </w:rPr>
        <w:t>化发展提供技术性支撑和公益性、事业性服务。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承担全区农业机械化事业发展规划和有关标准、技术规范的研究工作，调查研究农业机械社会化服务和产业化发展的经济、技术问题，开展相关评估论证，提出对策建议。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（三）为全区农业机械化生产、农机社会化服务、农机维修、农机抗灾救灾、农机安全生产监管等相关工作提供技术支持、服务保障和相关公益服务。承担农业机械从业人员教育培训和职业技能开发工作。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（四）承担农业机械补贴政策实施相关事务性工作。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（五）承担农业机械化信息网络建设运行、农业机械化生产信息统计工作。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（六）承担农业机械化新机具、新技术的引进和示范推广等相关技术性、事务性工作。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（七）对乡镇和涉农街道农业综合服务中心进行业务和技术指导。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（八）完成区委、区政府及区农业农村局交办的其他任务。</w:t>
      </w:r>
    </w:p>
    <w:p>
      <w:pPr>
        <w:pStyle w:val="8"/>
        <w:widowControl/>
        <w:spacing w:line="600" w:lineRule="exact"/>
        <w:ind w:left="640" w:firstLine="0" w:firstLineChars="0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部门整体支出管理及使用情况</w:t>
      </w:r>
    </w:p>
    <w:p>
      <w:pPr>
        <w:pStyle w:val="8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（一）</w:t>
      </w:r>
      <w:r>
        <w:rPr>
          <w:rFonts w:ascii="Times New Roman" w:hAnsi="Times New Roman" w:eastAsia="黑体"/>
          <w:sz w:val="32"/>
          <w:szCs w:val="32"/>
        </w:rPr>
        <w:t>基本支出情况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一般公共预算财政拨款决算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基本支出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292.92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万元，其中：工资福利支出237.71万元，商品和服务支出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14.49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万元，对个人和家庭补助40.71万元。</w:t>
      </w:r>
    </w:p>
    <w:p>
      <w:pPr>
        <w:pStyle w:val="8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（二）</w:t>
      </w:r>
      <w:r>
        <w:rPr>
          <w:rFonts w:ascii="Times New Roman" w:hAnsi="Times New Roman" w:eastAsia="黑体"/>
          <w:sz w:val="32"/>
          <w:szCs w:val="32"/>
        </w:rPr>
        <w:t>项目支出情况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2023年度部门一般公共预算财政拨款决算项目支出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137.82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万元，其中：</w:t>
      </w:r>
    </w:p>
    <w:p>
      <w:pPr>
        <w:pStyle w:val="8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农机和农技推广经费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万元。</w:t>
      </w:r>
    </w:p>
    <w:p>
      <w:pPr>
        <w:pStyle w:val="8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安全生产监理工作经费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万元。</w:t>
      </w:r>
    </w:p>
    <w:p>
      <w:pPr>
        <w:pStyle w:val="8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农业生产发展补贴133.02万元。</w:t>
      </w:r>
    </w:p>
    <w:p>
      <w:pPr>
        <w:pStyle w:val="8"/>
        <w:widowControl/>
        <w:spacing w:line="600" w:lineRule="exact"/>
        <w:ind w:left="640" w:firstLine="0" w:firstLineChars="0"/>
        <w:rPr>
          <w:rFonts w:hint="eastAsia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（三）资产管理情况</w:t>
      </w:r>
    </w:p>
    <w:p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年年初资产</w:t>
      </w:r>
      <w:r>
        <w:rPr>
          <w:rFonts w:hint="eastAsia" w:ascii="仿宋" w:hAnsi="仿宋" w:eastAsia="仿宋" w:cs="仿宋"/>
          <w:color w:val="000000" w:themeColor="text1"/>
          <w:spacing w:val="-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546.05</w:t>
      </w:r>
      <w:r>
        <w:rPr>
          <w:rFonts w:hint="eastAsia" w:ascii="仿宋" w:hAnsi="仿宋" w:eastAsia="仿宋" w:cs="仿宋"/>
          <w:color w:val="000000"/>
          <w:spacing w:val="-2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，本年折旧固定资产</w:t>
      </w:r>
      <w:r>
        <w:rPr>
          <w:rFonts w:hint="eastAsia" w:ascii="仿宋" w:hAnsi="仿宋" w:eastAsia="仿宋" w:cs="仿宋"/>
          <w:color w:val="000000" w:themeColor="text1"/>
          <w:spacing w:val="-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3.05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万元。我单位纳入国有资产管理系统，配置、管理、处置均按照统一的制度，接受财政部门监管。</w:t>
      </w:r>
    </w:p>
    <w:p>
      <w:pPr>
        <w:pStyle w:val="8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</w:t>
      </w:r>
      <w:r>
        <w:rPr>
          <w:rFonts w:ascii="Times New Roman" w:hAnsi="Times New Roman" w:eastAsia="黑体"/>
          <w:sz w:val="32"/>
          <w:szCs w:val="32"/>
        </w:rPr>
        <w:t>政府性基金预算支出情况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本单位无政府性基金收支。</w:t>
      </w:r>
    </w:p>
    <w:p>
      <w:pPr>
        <w:pStyle w:val="8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</w:t>
      </w: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本单位无国有资本经营预算支出。</w:t>
      </w:r>
    </w:p>
    <w:p>
      <w:pPr>
        <w:pStyle w:val="8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</w:t>
      </w: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本单位无社会保险基金预算支出。</w:t>
      </w:r>
    </w:p>
    <w:p>
      <w:pPr>
        <w:widowControl/>
        <w:numPr>
          <w:ilvl w:val="0"/>
          <w:numId w:val="2"/>
        </w:numPr>
        <w:spacing w:line="6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部门整体支出绩效情况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1、经济性分析。2023年支出总额为430.73万元，其中，基本支出292.92万元，项目支出137.82万元。预算基本支出61.63，项目189.53万元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，与预算数相比，基本支出增加231.29万元，主要是因为人员增加、技术及设备更新；预算项目支出减少51.71万元，主要是因为项目减少。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2、效率性分析。2023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年全区</w:t>
      </w:r>
      <w:r>
        <w:rPr>
          <w:rFonts w:hint="eastAsia" w:ascii="仿宋_GB2312" w:hAnsi="仿宋_GB2312" w:eastAsia="仿宋_GB2312"/>
          <w:snapToGrid/>
          <w:color w:val="000000"/>
          <w:sz w:val="32"/>
          <w:shd w:val="clear" w:color="auto" w:fill="FFFFFF"/>
          <w:lang w:eastAsia="zh-CN"/>
        </w:rPr>
        <w:t>完成机耕机收面积</w:t>
      </w:r>
      <w:r>
        <w:rPr>
          <w:rFonts w:hint="default" w:ascii="仿宋_GB2312" w:hAnsi="仿宋_GB2312" w:eastAsia="仿宋_GB2312"/>
          <w:snapToGrid/>
          <w:color w:val="000000"/>
          <w:sz w:val="32"/>
          <w:shd w:val="clear" w:color="auto" w:fill="FFFFFF"/>
          <w:lang w:val="en-US" w:eastAsia="zh-CN"/>
        </w:rPr>
        <w:t>9.5</w:t>
      </w:r>
      <w:r>
        <w:rPr>
          <w:rFonts w:hint="eastAsia" w:ascii="仿宋_GB2312" w:hAnsi="仿宋_GB2312" w:eastAsia="仿宋_GB2312"/>
          <w:snapToGrid/>
          <w:color w:val="000000"/>
          <w:sz w:val="32"/>
          <w:shd w:val="clear" w:color="auto" w:fill="FFFFFF"/>
          <w:lang w:val="en-US" w:eastAsia="zh-CN"/>
        </w:rPr>
        <w:t>万亩，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机电排灌面积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万亩，</w:t>
      </w:r>
      <w:r>
        <w:rPr>
          <w:rFonts w:hint="eastAsia" w:ascii="仿宋_GB2312" w:hAnsi="仿宋_GB2312" w:eastAsia="仿宋_GB2312"/>
          <w:color w:val="000000"/>
          <w:sz w:val="30"/>
          <w:vertAlign w:val="baseline"/>
          <w:lang w:val="en-US" w:eastAsia="zh-CN"/>
        </w:rPr>
        <w:t>农业耕种收综合机械化率达</w:t>
      </w:r>
      <w:r>
        <w:rPr>
          <w:rFonts w:hint="default" w:ascii="仿宋_GB2312" w:hAnsi="仿宋_GB2312" w:eastAsia="仿宋_GB2312"/>
          <w:color w:val="000000"/>
          <w:sz w:val="30"/>
          <w:vertAlign w:val="baseline"/>
          <w:lang w:val="en-US" w:eastAsia="zh-CN"/>
        </w:rPr>
        <w:t>78</w:t>
      </w:r>
      <w:r>
        <w:rPr>
          <w:rFonts w:hint="eastAsia" w:ascii="仿宋_GB2312" w:hAnsi="仿宋_GB2312" w:eastAsia="仿宋_GB2312"/>
          <w:color w:val="000000"/>
          <w:sz w:val="30"/>
          <w:vertAlign w:val="baseli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为发展现代农业和农村经济发挥了重要作用。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3、有效性分析。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在区委、区政府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的正确领导和上级业务部门的具体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</w:rPr>
        <w:t>立足农机、科学发展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兴机富民、服务三农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的工作要求，科学有序推进全区农业机械化发展，圆满完成了年度各项工作任务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4、可持续性分析。支出完成后，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通过对整体支出绩效评价，提高预算编制质量，提升预算执行和控制力度，提高资金效率，保障年度目标任务的顺利完成。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、财务目标顺利完成。通过提高预算编制质量，提升预算执行和控制力度，加强支出管理、绩效评价考核等方法，提高资金效率，保障年度财务目标的顺利完成。</w:t>
      </w:r>
    </w:p>
    <w:p>
      <w:pPr>
        <w:pStyle w:val="8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、资产管理制度健全。建立了资产管理制度，加强对固定资产购置、验收结算、登记入账、定期清理的管理，保护固定资产的安全完整。</w:t>
      </w:r>
    </w:p>
    <w:p>
      <w:pPr>
        <w:pStyle w:val="8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七、</w:t>
      </w:r>
      <w:r>
        <w:rPr>
          <w:rFonts w:ascii="Times New Roman" w:hAnsi="Times New Roman" w:eastAsia="黑体"/>
          <w:sz w:val="32"/>
          <w:szCs w:val="32"/>
        </w:rPr>
        <w:t>存在的问题及原因分析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基本支出保障有限。基本支出经费保障水平偏低，预算执行基本围绕“保人员经费、保正常运转进行”，公用经费缺口较大。从决算情况看，基本支出比重比较大，基本保障面临巨大的压力。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pStyle w:val="8"/>
        <w:numPr>
          <w:ilvl w:val="0"/>
          <w:numId w:val="0"/>
        </w:numPr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强化绩效管理意识，进一步强化绩效理念，将绩效管理理念贯穿于资金分配到资金使用全过程，加大资金整合力度，把有限的资金用在刀刃上，提高财政资金使用效率。</w:t>
      </w:r>
    </w:p>
    <w:p>
      <w:pPr>
        <w:widowControl/>
        <w:spacing w:line="6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九、其他需要说明的情况</w:t>
      </w:r>
    </w:p>
    <w:p>
      <w:pPr>
        <w:pStyle w:val="8"/>
        <w:numPr>
          <w:ilvl w:val="0"/>
          <w:numId w:val="0"/>
        </w:numPr>
        <w:ind w:firstLine="640" w:firstLineChars="200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sectPr>
      <w:pgSz w:w="11906" w:h="16838"/>
      <w:pgMar w:top="476" w:right="1800" w:bottom="42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FF2395"/>
    <w:multiLevelType w:val="singleLevel"/>
    <w:tmpl w:val="08FF239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6EAF62"/>
    <w:multiLevelType w:val="singleLevel"/>
    <w:tmpl w:val="7F6EAF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A1"/>
    <w:rsid w:val="000000A5"/>
    <w:rsid w:val="00022046"/>
    <w:rsid w:val="000B0765"/>
    <w:rsid w:val="000B57BC"/>
    <w:rsid w:val="00162440"/>
    <w:rsid w:val="00174EEF"/>
    <w:rsid w:val="001A127E"/>
    <w:rsid w:val="002558F7"/>
    <w:rsid w:val="0031755D"/>
    <w:rsid w:val="003711D0"/>
    <w:rsid w:val="00377767"/>
    <w:rsid w:val="00377A33"/>
    <w:rsid w:val="003E5114"/>
    <w:rsid w:val="00426627"/>
    <w:rsid w:val="005833DD"/>
    <w:rsid w:val="00595424"/>
    <w:rsid w:val="005A4AB0"/>
    <w:rsid w:val="00614437"/>
    <w:rsid w:val="006370F0"/>
    <w:rsid w:val="006811E5"/>
    <w:rsid w:val="007B54D9"/>
    <w:rsid w:val="00887C00"/>
    <w:rsid w:val="008A4834"/>
    <w:rsid w:val="008D7141"/>
    <w:rsid w:val="009D4AE4"/>
    <w:rsid w:val="00A045A1"/>
    <w:rsid w:val="00A070E1"/>
    <w:rsid w:val="00A317C9"/>
    <w:rsid w:val="00A75C37"/>
    <w:rsid w:val="00AA700A"/>
    <w:rsid w:val="00B364CE"/>
    <w:rsid w:val="00BB6107"/>
    <w:rsid w:val="00BD1C3A"/>
    <w:rsid w:val="00C25716"/>
    <w:rsid w:val="00C3391C"/>
    <w:rsid w:val="00C344EC"/>
    <w:rsid w:val="00C4552C"/>
    <w:rsid w:val="00C72139"/>
    <w:rsid w:val="00CC4C2C"/>
    <w:rsid w:val="00CD20A2"/>
    <w:rsid w:val="00D10324"/>
    <w:rsid w:val="00E127F9"/>
    <w:rsid w:val="00E50869"/>
    <w:rsid w:val="00F55CD7"/>
    <w:rsid w:val="00FC7FE9"/>
    <w:rsid w:val="066306DA"/>
    <w:rsid w:val="0B266F0A"/>
    <w:rsid w:val="0D051CB0"/>
    <w:rsid w:val="0D927CC9"/>
    <w:rsid w:val="103E4EAE"/>
    <w:rsid w:val="12FA7764"/>
    <w:rsid w:val="133C4B4F"/>
    <w:rsid w:val="14A34B7A"/>
    <w:rsid w:val="1EC45708"/>
    <w:rsid w:val="21E9E138"/>
    <w:rsid w:val="251D3190"/>
    <w:rsid w:val="2AE54305"/>
    <w:rsid w:val="2C4B17BE"/>
    <w:rsid w:val="2CED4169"/>
    <w:rsid w:val="2EEC563D"/>
    <w:rsid w:val="306D4BD6"/>
    <w:rsid w:val="3DFB036A"/>
    <w:rsid w:val="4B1C549B"/>
    <w:rsid w:val="4F864BB4"/>
    <w:rsid w:val="53B96670"/>
    <w:rsid w:val="5A0F0747"/>
    <w:rsid w:val="6ADF2B70"/>
    <w:rsid w:val="6BE515D1"/>
    <w:rsid w:val="6D405EEB"/>
    <w:rsid w:val="6EBB6024"/>
    <w:rsid w:val="79F16301"/>
    <w:rsid w:val="7B2D6BAF"/>
    <w:rsid w:val="F67DFC83"/>
    <w:rsid w:val="F7FB3923"/>
    <w:rsid w:val="F9DD8DD6"/>
    <w:rsid w:val="FB7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_Style 1"/>
    <w:basedOn w:val="1"/>
    <w:qFormat/>
    <w:uiPriority w:val="99"/>
    <w:pPr>
      <w:spacing w:line="481" w:lineRule="atLeast"/>
      <w:ind w:firstLine="623"/>
      <w:textAlignment w:val="baseline"/>
    </w:pPr>
    <w:rPr>
      <w:color w:val="000000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52A0-7CFB-406C-A053-BBAB53DDD2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1301</Words>
  <Characters>7416</Characters>
  <Lines>61</Lines>
  <Paragraphs>17</Paragraphs>
  <TotalTime>1</TotalTime>
  <ScaleCrop>false</ScaleCrop>
  <LinksUpToDate>false</LinksUpToDate>
  <CharactersWithSpaces>8700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2020-06-25T17:59:00Z</dcterms:created>
  <dc:creator>AutoBVT</dc:creator>
  <cp:lastModifiedBy>hhroot</cp:lastModifiedBy>
  <cp:lastPrinted>2021-01-20T17:10:00Z</cp:lastPrinted>
  <dcterms:modified xsi:type="dcterms:W3CDTF">2024-12-16T09:23:36Z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049E71E4537C4ACEA7657BDF0C0F5725</vt:lpwstr>
  </property>
</Properties>
</file>