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0F6B1">
      <w:pPr>
        <w:widowControl/>
        <w:spacing w:line="600" w:lineRule="exact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</w:rPr>
        <w:t>3</w:t>
      </w:r>
    </w:p>
    <w:p w14:paraId="12BBAC45">
      <w:pPr>
        <w:spacing w:line="600" w:lineRule="exact"/>
        <w:ind w:firstLine="2160" w:firstLineChars="600"/>
        <w:rPr>
          <w:rFonts w:eastAsia="方正小标宋_GBK"/>
          <w:sz w:val="32"/>
          <w:szCs w:val="32"/>
        </w:rPr>
      </w:pPr>
      <w:r>
        <w:rPr>
          <w:rFonts w:eastAsia="方正小标宋_GBK"/>
          <w:sz w:val="36"/>
          <w:szCs w:val="36"/>
        </w:rPr>
        <w:t>部门整体支出绩效评价报告</w:t>
      </w:r>
    </w:p>
    <w:p w14:paraId="43602B4E">
      <w:pPr>
        <w:spacing w:line="600" w:lineRule="exact"/>
        <w:jc w:val="center"/>
        <w:rPr>
          <w:rFonts w:eastAsia="方正小标宋_GBK"/>
          <w:sz w:val="32"/>
          <w:szCs w:val="32"/>
        </w:rPr>
      </w:pPr>
    </w:p>
    <w:p w14:paraId="31C9E516">
      <w:pPr>
        <w:pStyle w:val="4"/>
        <w:widowControl/>
        <w:numPr>
          <w:ilvl w:val="0"/>
          <w:numId w:val="1"/>
        </w:numPr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部门、单位基本情况</w:t>
      </w:r>
    </w:p>
    <w:p w14:paraId="67F776F1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1.鹤城区农贸市场服务中心是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全额财政拨款事业单位</w:t>
      </w:r>
      <w:r>
        <w:rPr>
          <w:rFonts w:hint="eastAsia" w:ascii="仿宋" w:hAnsi="仿宋" w:eastAsia="仿宋" w:cs="仿宋"/>
          <w:sz w:val="32"/>
          <w:szCs w:val="32"/>
        </w:rPr>
        <w:t>，内设4个职能股室，分别为：综合股、市场建设管理股、人事教育股、财务股。</w:t>
      </w:r>
    </w:p>
    <w:p w14:paraId="4BA500B0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主要工作职责：负责拟定鹤城区农贸市场(除市管农贸市场)发展规划。负责拟定健全规范鹤城区农贸市场体系和流通秩序的管理办法，提出引导民营资本向农贸市场体系建设的政策措施;出台农贸市场和生鲜超市建设标准。负责统筹协调鹤城区农贸市场行业管理，对农贸市场改造、建设方案提出意见，指导鹤城区政府投资外的农贸市场体系建设及经营管理工作。负责鹤城区政府投资农贸市场内的日常管理及市场内治安综合治理、消防安全、环境卫生等管理服务工作。负责组织指导实施新建农贸市场项目和农贸市场提质改造项目，协调市场建设中的有关问题。承办区政府交办的其他事项。</w:t>
      </w:r>
    </w:p>
    <w:p w14:paraId="66A98250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3.编制人员情况：事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业编制人数15人，年末实有人数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人，无退休人员。</w:t>
      </w:r>
    </w:p>
    <w:p w14:paraId="3FF095BB">
      <w:pPr>
        <w:adjustRightInd w:val="0"/>
        <w:snapToGrid w:val="0"/>
        <w:spacing w:line="360" w:lineRule="auto"/>
        <w:ind w:firstLine="960" w:firstLineChars="300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</w:t>
      </w:r>
      <w:r>
        <w:rPr>
          <w:rFonts w:eastAsia="黑体"/>
          <w:sz w:val="32"/>
          <w:szCs w:val="32"/>
        </w:rPr>
        <w:t>一般公共预算支出情况</w:t>
      </w:r>
    </w:p>
    <w:p w14:paraId="00C4AB18">
      <w:pPr>
        <w:pStyle w:val="4"/>
        <w:widowControl/>
        <w:spacing w:line="600" w:lineRule="exact"/>
        <w:ind w:left="640" w:firstLine="0" w:firstLineChars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（一）</w:t>
      </w:r>
      <w:r>
        <w:rPr>
          <w:rFonts w:ascii="Times New Roman" w:hAnsi="Times New Roman" w:eastAsia="黑体"/>
          <w:sz w:val="32"/>
          <w:szCs w:val="32"/>
        </w:rPr>
        <w:t>基本支出情况</w:t>
      </w:r>
    </w:p>
    <w:p w14:paraId="5EDEDA22">
      <w:pPr>
        <w:pStyle w:val="5"/>
        <w:ind w:firstLine="64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度财政拨款基本支出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122.71</w:t>
      </w:r>
      <w:r>
        <w:rPr>
          <w:rFonts w:hint="eastAsia" w:ascii="仿宋" w:hAnsi="仿宋" w:eastAsia="仿宋" w:cs="仿宋"/>
          <w:sz w:val="32"/>
          <w:szCs w:val="32"/>
        </w:rPr>
        <w:t>万元，其中：人员经费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88.29</w:t>
      </w:r>
      <w:r>
        <w:rPr>
          <w:rFonts w:hint="eastAsia" w:ascii="仿宋" w:hAnsi="仿宋" w:eastAsia="仿宋" w:cs="仿宋"/>
          <w:sz w:val="32"/>
          <w:szCs w:val="32"/>
        </w:rPr>
        <w:t>万元，占基本支出的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89</w:t>
      </w:r>
      <w:r>
        <w:rPr>
          <w:rFonts w:hint="eastAsia" w:ascii="仿宋" w:hAnsi="仿宋" w:eastAsia="仿宋" w:cs="仿宋"/>
          <w:sz w:val="32"/>
          <w:szCs w:val="32"/>
        </w:rPr>
        <w:t>%,主要包括基本工资、奖金、绩效工资、机关事业单位基本养老保险缴费、职工基本医疗保险费、其他社会保障缴费、住房公积金、其他工资福利支出；公用经费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7.75</w:t>
      </w:r>
      <w:r>
        <w:rPr>
          <w:rFonts w:hint="eastAsia" w:ascii="仿宋" w:hAnsi="仿宋" w:eastAsia="仿宋" w:cs="仿宋"/>
          <w:sz w:val="32"/>
          <w:szCs w:val="32"/>
        </w:rPr>
        <w:t>万元，占基本支出的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7.8</w:t>
      </w:r>
      <w:r>
        <w:rPr>
          <w:rFonts w:hint="eastAsia" w:ascii="仿宋" w:hAnsi="仿宋" w:eastAsia="仿宋" w:cs="仿宋"/>
          <w:sz w:val="32"/>
          <w:szCs w:val="32"/>
        </w:rPr>
        <w:t>%，主要包括办公费、水费、电费、差旅费、维修费、工会经费、福利费、其他商品和服务支出。</w:t>
      </w:r>
    </w:p>
    <w:p w14:paraId="73F1C486">
      <w:pPr>
        <w:pStyle w:val="4"/>
        <w:widowControl/>
        <w:spacing w:line="600" w:lineRule="exact"/>
        <w:ind w:firstLine="320" w:firstLineChars="1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（二）</w:t>
      </w:r>
      <w:r>
        <w:rPr>
          <w:rFonts w:ascii="Times New Roman" w:hAnsi="Times New Roman" w:eastAsia="黑体"/>
          <w:sz w:val="32"/>
          <w:szCs w:val="32"/>
        </w:rPr>
        <w:t>项目支出情况</w:t>
      </w:r>
    </w:p>
    <w:p w14:paraId="413B7F9D">
      <w:pPr>
        <w:pStyle w:val="4"/>
        <w:widowControl/>
        <w:spacing w:line="600" w:lineRule="exact"/>
        <w:ind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项目支出为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23.6</w:t>
      </w:r>
      <w:r>
        <w:rPr>
          <w:rFonts w:hint="eastAsia" w:ascii="仿宋" w:hAnsi="仿宋" w:eastAsia="仿宋" w:cs="仿宋"/>
          <w:sz w:val="32"/>
          <w:szCs w:val="32"/>
        </w:rPr>
        <w:t>万元。</w:t>
      </w:r>
    </w:p>
    <w:p w14:paraId="029D1FC6">
      <w:pPr>
        <w:pStyle w:val="4"/>
        <w:widowControl/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</w:t>
      </w:r>
      <w:r>
        <w:rPr>
          <w:rFonts w:ascii="Times New Roman" w:hAnsi="Times New Roman" w:eastAsia="黑体"/>
          <w:sz w:val="32"/>
          <w:szCs w:val="32"/>
        </w:rPr>
        <w:t>政府性基金预算支出情况</w:t>
      </w:r>
    </w:p>
    <w:p w14:paraId="0D36C483">
      <w:pPr>
        <w:pStyle w:val="4"/>
        <w:widowControl/>
        <w:spacing w:line="600" w:lineRule="exact"/>
        <w:ind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政府性基金预算支出为0万元。</w:t>
      </w:r>
    </w:p>
    <w:p w14:paraId="4639C182">
      <w:pPr>
        <w:pStyle w:val="4"/>
        <w:widowControl/>
        <w:numPr>
          <w:ilvl w:val="0"/>
          <w:numId w:val="2"/>
        </w:numPr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 w14:paraId="6E6889DE">
      <w:pPr>
        <w:pStyle w:val="4"/>
        <w:widowControl/>
        <w:spacing w:line="600" w:lineRule="exact"/>
        <w:ind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国有资本经营预算支出为0万元。</w:t>
      </w:r>
    </w:p>
    <w:p w14:paraId="5E111BEA">
      <w:pPr>
        <w:pStyle w:val="4"/>
        <w:widowControl/>
        <w:numPr>
          <w:ilvl w:val="0"/>
          <w:numId w:val="2"/>
        </w:numPr>
        <w:spacing w:line="600" w:lineRule="exact"/>
        <w:ind w:left="640" w:firstLine="0" w:firstLineChars="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 w14:paraId="33F7F14D">
      <w:pPr>
        <w:pStyle w:val="4"/>
        <w:widowControl/>
        <w:spacing w:line="600" w:lineRule="exact"/>
        <w:ind w:firstLine="64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社会保险基金预算支出为0万元。</w:t>
      </w:r>
    </w:p>
    <w:p w14:paraId="3607A9B7">
      <w:pPr>
        <w:widowControl/>
        <w:spacing w:line="6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 w14:paraId="108DAECD">
      <w:pPr>
        <w:widowControl/>
        <w:tabs>
          <w:tab w:val="left" w:pos="-840"/>
        </w:tabs>
        <w:spacing w:line="600" w:lineRule="exact"/>
        <w:ind w:firstLine="640" w:firstLineChars="200"/>
        <w:rPr>
          <w:rFonts w:ascii="仿宋" w:hAnsi="仿宋" w:eastAsia="仿宋" w:cs="仿宋"/>
          <w:bCs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按照我区预算绩效管理工作的总体要求，20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sz w:val="32"/>
          <w:szCs w:val="32"/>
        </w:rPr>
        <w:t>年我单位整体支出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122.71</w:t>
      </w:r>
      <w:r>
        <w:rPr>
          <w:rFonts w:hint="eastAsia" w:ascii="仿宋" w:hAnsi="仿宋" w:eastAsia="仿宋" w:cs="仿宋"/>
          <w:sz w:val="32"/>
          <w:szCs w:val="32"/>
        </w:rPr>
        <w:t>万元，全部实行整体支出绩效目标管理。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其中：人员经费支出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88.29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万元，日常公用经费支出</w:t>
      </w:r>
      <w:r>
        <w:rPr>
          <w:rFonts w:hint="eastAsia" w:ascii="仿宋" w:hAnsi="仿宋" w:eastAsia="仿宋" w:cs="仿宋"/>
          <w:bCs/>
          <w:kern w:val="0"/>
          <w:sz w:val="32"/>
          <w:szCs w:val="32"/>
          <w:lang w:val="en-US" w:eastAsia="zh-CN"/>
        </w:rPr>
        <w:t>7.75</w:t>
      </w: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万元，项目支出为0元。</w:t>
      </w:r>
    </w:p>
    <w:p w14:paraId="01C3A70D">
      <w:pPr>
        <w:widowControl/>
        <w:tabs>
          <w:tab w:val="left" w:pos="-840"/>
        </w:tabs>
        <w:spacing w:line="600" w:lineRule="exact"/>
        <w:ind w:firstLine="640" w:firstLineChars="200"/>
        <w:rPr>
          <w:rFonts w:ascii="宋体" w:hAnsi="宋体" w:cs="宋体"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Cs/>
          <w:kern w:val="0"/>
          <w:sz w:val="32"/>
          <w:szCs w:val="32"/>
        </w:rPr>
        <w:t>为进一步优化鹤城区农贸市场经营环境，打造“整洁有序、放心便民、环境舒适、文明经营”的农超市场，按照区委、区政府关于创建国家卫生城市工作的总体部署，以《国家卫生城市标准》等文件为依据，在全区范围内开展农超市场创建国家卫生城市创建活动，旨在通过三年的创建工作，规范农超市场经营管理，促进长效机制建立，全面提升鹤城农超市场建设和管理水平，为广大市民创造一个良好的购物环境。通过一系列努力，农贸市场管理规范、环境舒适，干净整洁。</w:t>
      </w:r>
    </w:p>
    <w:p w14:paraId="64A0161D">
      <w:pPr>
        <w:pStyle w:val="4"/>
        <w:widowControl/>
        <w:spacing w:line="6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七、</w:t>
      </w:r>
      <w:r>
        <w:rPr>
          <w:rFonts w:ascii="Times New Roman" w:hAnsi="Times New Roman" w:eastAsia="黑体"/>
          <w:sz w:val="32"/>
          <w:szCs w:val="32"/>
        </w:rPr>
        <w:t>存在的问题及原因分析</w:t>
      </w:r>
    </w:p>
    <w:p w14:paraId="4D168661">
      <w:pPr>
        <w:widowControl/>
        <w:numPr>
          <w:ilvl w:val="0"/>
          <w:numId w:val="0"/>
        </w:numPr>
        <w:spacing w:line="600" w:lineRule="exact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val="en-US" w:eastAsia="zh-CN"/>
        </w:rPr>
        <w:t xml:space="preserve">    八、</w:t>
      </w:r>
      <w:r>
        <w:rPr>
          <w:rFonts w:eastAsia="黑体"/>
          <w:sz w:val="32"/>
          <w:szCs w:val="32"/>
        </w:rPr>
        <w:t>下一步改进措施</w:t>
      </w:r>
    </w:p>
    <w:p w14:paraId="44ECA942">
      <w:pPr>
        <w:tabs>
          <w:tab w:val="left" w:pos="420"/>
        </w:tabs>
        <w:adjustRightInd w:val="0"/>
        <w:snapToGrid w:val="0"/>
        <w:spacing w:line="360" w:lineRule="auto"/>
        <w:ind w:firstLine="419" w:firstLineChars="131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1.提高认识，强化绩效管理理念</w:t>
      </w:r>
    </w:p>
    <w:p w14:paraId="61EB4754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2.加强对财务监管力度，多组织财务业务培训学习，强化重大项目经费的全过程审计。  </w:t>
      </w:r>
    </w:p>
    <w:p w14:paraId="2AAA9493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将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财务制度落实到位，规范财经纪律。</w:t>
      </w:r>
    </w:p>
    <w:p w14:paraId="2069E060">
      <w:pPr>
        <w:adjustRightInd w:val="0"/>
        <w:snapToGrid w:val="0"/>
        <w:spacing w:line="360" w:lineRule="auto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4.进一步加强预算管理，严格控制各项经费开支，提高经费使用效率。</w:t>
      </w:r>
    </w:p>
    <w:p w14:paraId="1181A498">
      <w:pPr>
        <w:adjustRightInd w:val="0"/>
        <w:snapToGrid w:val="0"/>
        <w:spacing w:line="360" w:lineRule="auto"/>
        <w:ind w:firstLine="640" w:firstLineChars="200"/>
        <w:rPr>
          <w:rFonts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eastAsia="黑体"/>
          <w:sz w:val="32"/>
          <w:szCs w:val="32"/>
        </w:rPr>
        <w:t>九、其他需要说明的情况</w:t>
      </w:r>
      <w:bookmarkStart w:id="0" w:name="_GoBack"/>
      <w:bookmarkEnd w:id="0"/>
    </w:p>
    <w:p w14:paraId="65A64A01">
      <w:pPr>
        <w:widowControl/>
        <w:spacing w:line="600" w:lineRule="exact"/>
        <w:ind w:firstLine="1120" w:firstLineChars="350"/>
        <w:jc w:val="right"/>
        <w:rPr>
          <w:rFonts w:hint="eastAsia" w:eastAsia="仿宋_GB2312"/>
          <w:sz w:val="32"/>
          <w:szCs w:val="32"/>
        </w:rPr>
      </w:pPr>
    </w:p>
    <w:p w14:paraId="34AFA0B3">
      <w:pPr>
        <w:widowControl/>
        <w:spacing w:line="600" w:lineRule="exact"/>
        <w:ind w:firstLine="1120" w:firstLineChars="350"/>
        <w:jc w:val="right"/>
        <w:rPr>
          <w:rFonts w:hint="eastAsia" w:eastAsia="仿宋_GB2312"/>
          <w:sz w:val="32"/>
          <w:szCs w:val="32"/>
        </w:rPr>
      </w:pPr>
    </w:p>
    <w:p w14:paraId="4EBCA468">
      <w:pPr>
        <w:widowControl/>
        <w:spacing w:line="600" w:lineRule="exact"/>
        <w:ind w:firstLine="1120" w:firstLineChars="350"/>
        <w:jc w:val="right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区农贸市场服务中心</w:t>
      </w:r>
    </w:p>
    <w:p w14:paraId="157C333B">
      <w:pPr>
        <w:widowControl/>
        <w:spacing w:line="600" w:lineRule="exact"/>
        <w:ind w:right="420" w:firstLine="980" w:firstLineChars="350"/>
        <w:jc w:val="right"/>
        <w:rPr>
          <w:rFonts w:hint="eastAsia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202</w:t>
      </w:r>
      <w:r>
        <w:rPr>
          <w:rFonts w:hint="eastAsia" w:eastAsia="仿宋_GB2312"/>
          <w:sz w:val="28"/>
          <w:szCs w:val="28"/>
          <w:lang w:val="en-US" w:eastAsia="zh-CN"/>
        </w:rPr>
        <w:t>3</w:t>
      </w:r>
      <w:r>
        <w:rPr>
          <w:rFonts w:hint="eastAsia" w:eastAsia="仿宋_GB2312"/>
          <w:sz w:val="28"/>
          <w:szCs w:val="28"/>
        </w:rPr>
        <w:t>．</w:t>
      </w:r>
      <w:r>
        <w:rPr>
          <w:rFonts w:hint="eastAsia" w:eastAsia="仿宋_GB2312"/>
          <w:sz w:val="28"/>
          <w:szCs w:val="28"/>
          <w:lang w:val="en-US" w:eastAsia="zh-CN"/>
        </w:rPr>
        <w:t>11</w:t>
      </w:r>
      <w:r>
        <w:rPr>
          <w:rFonts w:hint="eastAsia" w:eastAsia="仿宋_GB2312"/>
          <w:sz w:val="28"/>
          <w:szCs w:val="28"/>
        </w:rPr>
        <w:t>．</w:t>
      </w:r>
      <w:r>
        <w:rPr>
          <w:rFonts w:hint="eastAsia" w:eastAsia="仿宋_GB2312"/>
          <w:sz w:val="28"/>
          <w:szCs w:val="28"/>
          <w:lang w:val="en-US" w:eastAsia="zh-CN"/>
        </w:rPr>
        <w:t>20</w:t>
      </w:r>
    </w:p>
    <w:p w14:paraId="584267AC">
      <w:pPr>
        <w:widowControl/>
        <w:spacing w:line="600" w:lineRule="exact"/>
        <w:ind w:firstLine="1120" w:firstLineChars="350"/>
        <w:jc w:val="left"/>
        <w:rPr>
          <w:rFonts w:hint="eastAsia" w:eastAsia="仿宋_GB2312"/>
          <w:sz w:val="32"/>
          <w:szCs w:val="32"/>
        </w:rPr>
      </w:pPr>
    </w:p>
    <w:p w14:paraId="147198FB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 w14:paraId="2771AF64"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</w:p>
    <w:p w14:paraId="0DB50B00">
      <w:pPr>
        <w:spacing w:line="600" w:lineRule="exact"/>
        <w:rPr>
          <w:rFonts w:hint="eastAsia" w:eastAsia="黑体"/>
          <w:sz w:val="32"/>
          <w:szCs w:val="32"/>
        </w:rPr>
      </w:pPr>
    </w:p>
    <w:p w14:paraId="736AD330">
      <w:pPr>
        <w:spacing w:line="600" w:lineRule="exact"/>
        <w:rPr>
          <w:rFonts w:hint="eastAsia" w:eastAsia="黑体"/>
          <w:sz w:val="32"/>
          <w:szCs w:val="32"/>
        </w:rPr>
      </w:pPr>
    </w:p>
    <w:p w14:paraId="6CE2E9FF">
      <w:pPr>
        <w:spacing w:line="600" w:lineRule="exact"/>
        <w:rPr>
          <w:rFonts w:hint="eastAsia" w:eastAsia="黑体"/>
          <w:sz w:val="32"/>
          <w:szCs w:val="32"/>
        </w:rPr>
      </w:pPr>
    </w:p>
    <w:p w14:paraId="55DB032E">
      <w:pPr>
        <w:spacing w:line="600" w:lineRule="exact"/>
        <w:rPr>
          <w:rFonts w:hint="eastAsia" w:eastAsia="黑体"/>
          <w:sz w:val="32"/>
          <w:szCs w:val="32"/>
        </w:rPr>
      </w:pPr>
    </w:p>
    <w:p w14:paraId="42A129E0">
      <w:pPr>
        <w:spacing w:line="600" w:lineRule="exact"/>
        <w:rPr>
          <w:rFonts w:hint="eastAsia" w:eastAsia="黑体"/>
          <w:sz w:val="32"/>
          <w:szCs w:val="32"/>
        </w:rPr>
      </w:pPr>
    </w:p>
    <w:p w14:paraId="78D86786">
      <w:pPr>
        <w:spacing w:line="600" w:lineRule="exact"/>
        <w:rPr>
          <w:rFonts w:hint="eastAsia" w:eastAsia="黑体"/>
          <w:sz w:val="32"/>
          <w:szCs w:val="32"/>
        </w:rPr>
      </w:pPr>
    </w:p>
    <w:p w14:paraId="55FEBC4E">
      <w:pPr>
        <w:spacing w:line="600" w:lineRule="exact"/>
        <w:rPr>
          <w:rFonts w:hint="eastAsia" w:eastAsia="黑体"/>
          <w:sz w:val="32"/>
          <w:szCs w:val="32"/>
        </w:rPr>
      </w:pPr>
    </w:p>
    <w:p w14:paraId="0309F202">
      <w:pPr>
        <w:spacing w:line="600" w:lineRule="exact"/>
        <w:rPr>
          <w:rFonts w:hint="eastAsia" w:eastAsia="黑体"/>
          <w:sz w:val="32"/>
          <w:szCs w:val="32"/>
        </w:rPr>
      </w:pPr>
    </w:p>
    <w:p w14:paraId="5A6EA3AA">
      <w:pPr>
        <w:spacing w:line="600" w:lineRule="exact"/>
        <w:rPr>
          <w:rFonts w:hint="eastAsia" w:eastAsia="黑体"/>
          <w:sz w:val="32"/>
          <w:szCs w:val="32"/>
        </w:rPr>
      </w:pPr>
    </w:p>
    <w:p w14:paraId="787F98C4">
      <w:pPr>
        <w:spacing w:line="600" w:lineRule="exact"/>
        <w:rPr>
          <w:rFonts w:hint="eastAsia" w:eastAsia="黑体"/>
          <w:sz w:val="32"/>
          <w:szCs w:val="32"/>
        </w:rPr>
      </w:pPr>
    </w:p>
    <w:p w14:paraId="4D958EE7">
      <w:pPr>
        <w:spacing w:line="600" w:lineRule="exact"/>
        <w:rPr>
          <w:rFonts w:hint="eastAsia" w:eastAsia="黑体"/>
          <w:sz w:val="32"/>
          <w:szCs w:val="32"/>
        </w:rPr>
      </w:pPr>
    </w:p>
    <w:p w14:paraId="75228EB2">
      <w:pPr>
        <w:spacing w:line="600" w:lineRule="exact"/>
        <w:rPr>
          <w:rFonts w:hint="eastAsia" w:eastAsia="黑体"/>
          <w:sz w:val="32"/>
          <w:szCs w:val="32"/>
        </w:rPr>
      </w:pPr>
    </w:p>
    <w:p w14:paraId="5EBFF870">
      <w:pPr>
        <w:spacing w:line="600" w:lineRule="exact"/>
        <w:rPr>
          <w:rFonts w:hint="eastAsia" w:eastAsia="黑体"/>
          <w:sz w:val="32"/>
          <w:szCs w:val="32"/>
        </w:rPr>
      </w:pPr>
    </w:p>
    <w:p w14:paraId="498A20FC">
      <w:pPr>
        <w:wordWrap w:val="0"/>
        <w:spacing w:line="600" w:lineRule="exact"/>
        <w:jc w:val="right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</w:p>
    <w:p w14:paraId="18F9B47B">
      <w:pPr>
        <w:spacing w:line="600" w:lineRule="exact"/>
        <w:rPr>
          <w:rFonts w:hint="eastAsia" w:eastAsia="黑体"/>
          <w:sz w:val="32"/>
          <w:szCs w:val="32"/>
        </w:rPr>
      </w:pPr>
    </w:p>
    <w:p w14:paraId="2DC678B7">
      <w:pPr>
        <w:spacing w:line="600" w:lineRule="exact"/>
        <w:rPr>
          <w:rFonts w:hint="eastAsia" w:eastAsia="黑体"/>
          <w:sz w:val="32"/>
          <w:szCs w:val="32"/>
        </w:rPr>
      </w:pPr>
    </w:p>
    <w:p w14:paraId="439FBE64">
      <w:pPr>
        <w:spacing w:line="600" w:lineRule="exact"/>
        <w:rPr>
          <w:rFonts w:hint="eastAsia" w:eastAsia="黑体"/>
          <w:sz w:val="32"/>
          <w:szCs w:val="32"/>
        </w:rPr>
      </w:pPr>
    </w:p>
    <w:p w14:paraId="253AC0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B5F6AE"/>
    <w:multiLevelType w:val="singleLevel"/>
    <w:tmpl w:val="ABB5F6AE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A43A0D7"/>
    <w:multiLevelType w:val="singleLevel"/>
    <w:tmpl w:val="EA43A0D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35905"/>
    <w:rsid w:val="58B3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5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2024-11-20T01:50:00Z</dcterms:created>
  <dc:creator>水晶</dc:creator>
  <cp:lastModifiedBy>水晶</cp:lastModifiedBy>
  <dcterms:modified xsi:type="dcterms:W3CDTF">2024-11-20T02:03:12Z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F928F95B04B94DE7969B0D30D171341A_11</vt:lpwstr>
  </property>
</Properties>
</file>