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A1F3F">
      <w:pPr>
        <w:widowControl/>
        <w:shd w:val="clear" w:color="auto" w:fill="FFFFFF"/>
        <w:spacing w:line="600" w:lineRule="atLeast"/>
        <w:rPr>
          <w:rFonts w:eastAsia="仿宋_GB2312"/>
          <w:spacing w:val="-2"/>
          <w:sz w:val="28"/>
          <w:szCs w:val="28"/>
        </w:rPr>
      </w:pPr>
      <w:bookmarkStart w:id="0" w:name="_GoBack"/>
      <w:bookmarkEnd w:id="0"/>
    </w:p>
    <w:p w14:paraId="0323B461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1</w:t>
      </w:r>
    </w:p>
    <w:p w14:paraId="2507369B">
      <w:pPr>
        <w:spacing w:line="600" w:lineRule="exact"/>
        <w:rPr>
          <w:rFonts w:eastAsia="黑体"/>
          <w:sz w:val="32"/>
          <w:szCs w:val="32"/>
        </w:rPr>
      </w:pPr>
    </w:p>
    <w:p w14:paraId="49924C12">
      <w:pPr>
        <w:spacing w:line="600" w:lineRule="exact"/>
        <w:rPr>
          <w:rFonts w:eastAsia="黑体"/>
          <w:sz w:val="32"/>
          <w:szCs w:val="32"/>
        </w:rPr>
      </w:pPr>
    </w:p>
    <w:p w14:paraId="1FEE8F65">
      <w:pPr>
        <w:spacing w:line="600" w:lineRule="exact"/>
        <w:rPr>
          <w:rFonts w:eastAsia="黑体"/>
          <w:sz w:val="32"/>
          <w:szCs w:val="32"/>
        </w:rPr>
      </w:pPr>
    </w:p>
    <w:p w14:paraId="15C072C8">
      <w:pPr>
        <w:spacing w:line="600" w:lineRule="exact"/>
        <w:rPr>
          <w:rFonts w:eastAsia="黑体"/>
          <w:sz w:val="32"/>
          <w:szCs w:val="32"/>
        </w:rPr>
      </w:pPr>
    </w:p>
    <w:p w14:paraId="5128FF4C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hint="eastAsia" w:eastAsia="方正小标宋_GBK"/>
          <w:sz w:val="52"/>
          <w:szCs w:val="52"/>
        </w:rPr>
        <w:t>3</w:t>
      </w:r>
      <w:r>
        <w:rPr>
          <w:rFonts w:eastAsia="方正小标宋_GBK"/>
          <w:sz w:val="52"/>
          <w:szCs w:val="52"/>
        </w:rPr>
        <w:t>年度</w:t>
      </w:r>
      <w:r>
        <w:rPr>
          <w:rFonts w:hint="eastAsia" w:eastAsia="方正小标宋_GBK"/>
          <w:sz w:val="52"/>
          <w:szCs w:val="52"/>
        </w:rPr>
        <w:t>怀化市第五中学</w:t>
      </w:r>
    </w:p>
    <w:p w14:paraId="726881E5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整体支出绩效自评报告</w:t>
      </w:r>
    </w:p>
    <w:p w14:paraId="1FF62578">
      <w:pPr>
        <w:rPr>
          <w:rFonts w:eastAsia="楷体_GB2312"/>
          <w:b/>
          <w:sz w:val="32"/>
          <w:szCs w:val="32"/>
        </w:rPr>
      </w:pPr>
    </w:p>
    <w:p w14:paraId="550384A5">
      <w:pPr>
        <w:jc w:val="center"/>
        <w:rPr>
          <w:rFonts w:eastAsia="黑体"/>
          <w:sz w:val="32"/>
          <w:szCs w:val="32"/>
        </w:rPr>
      </w:pPr>
    </w:p>
    <w:p w14:paraId="3C45E542">
      <w:pPr>
        <w:jc w:val="center"/>
        <w:rPr>
          <w:rFonts w:eastAsia="黑体"/>
          <w:sz w:val="32"/>
          <w:szCs w:val="32"/>
        </w:rPr>
      </w:pPr>
    </w:p>
    <w:p w14:paraId="3E8F134D">
      <w:pPr>
        <w:jc w:val="center"/>
        <w:rPr>
          <w:rFonts w:eastAsia="黑体"/>
          <w:sz w:val="32"/>
          <w:szCs w:val="32"/>
        </w:rPr>
      </w:pPr>
    </w:p>
    <w:p w14:paraId="096C5797">
      <w:pPr>
        <w:jc w:val="center"/>
        <w:rPr>
          <w:rFonts w:eastAsia="黑体"/>
          <w:sz w:val="32"/>
          <w:szCs w:val="32"/>
        </w:rPr>
      </w:pPr>
    </w:p>
    <w:p w14:paraId="224BC83E">
      <w:pPr>
        <w:jc w:val="center"/>
        <w:rPr>
          <w:rFonts w:eastAsia="黑体"/>
          <w:sz w:val="32"/>
          <w:szCs w:val="32"/>
        </w:rPr>
      </w:pPr>
    </w:p>
    <w:p w14:paraId="64172ADB">
      <w:pPr>
        <w:jc w:val="center"/>
        <w:rPr>
          <w:rFonts w:eastAsia="黑体"/>
          <w:sz w:val="32"/>
          <w:szCs w:val="32"/>
        </w:rPr>
      </w:pPr>
    </w:p>
    <w:p w14:paraId="1A3B9FF1">
      <w:pPr>
        <w:rPr>
          <w:rFonts w:eastAsia="黑体"/>
          <w:sz w:val="32"/>
          <w:szCs w:val="32"/>
        </w:rPr>
      </w:pPr>
    </w:p>
    <w:p w14:paraId="028C7199">
      <w:pPr>
        <w:jc w:val="center"/>
        <w:rPr>
          <w:rFonts w:eastAsia="黑体"/>
          <w:sz w:val="32"/>
          <w:szCs w:val="32"/>
        </w:rPr>
      </w:pPr>
    </w:p>
    <w:p w14:paraId="1BB1B979"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（盖章）        </w:t>
      </w:r>
    </w:p>
    <w:p w14:paraId="7162BC47"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年  月  日</w:t>
      </w:r>
    </w:p>
    <w:p w14:paraId="4138B629">
      <w:pPr>
        <w:jc w:val="center"/>
        <w:rPr>
          <w:rFonts w:eastAsia="黑体"/>
          <w:sz w:val="32"/>
          <w:szCs w:val="32"/>
        </w:rPr>
      </w:pPr>
    </w:p>
    <w:p w14:paraId="59893734">
      <w:pPr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（此页为封面）</w:t>
      </w:r>
    </w:p>
    <w:p w14:paraId="3B4A0730">
      <w:pPr>
        <w:widowControl/>
        <w:shd w:val="clear" w:color="auto" w:fill="FFFFFF"/>
        <w:spacing w:line="600" w:lineRule="atLeast"/>
        <w:rPr>
          <w:rFonts w:eastAsia="仿宋_GB2312"/>
          <w:b/>
          <w:spacing w:val="-2"/>
          <w:sz w:val="32"/>
          <w:szCs w:val="44"/>
        </w:rPr>
      </w:pPr>
      <w:r>
        <w:rPr>
          <w:rFonts w:eastAsia="仿宋_GB2312"/>
          <w:sz w:val="32"/>
          <w:szCs w:val="32"/>
        </w:rPr>
        <w:br w:type="page"/>
      </w:r>
    </w:p>
    <w:p w14:paraId="06F6767A">
      <w:pPr>
        <w:widowControl/>
        <w:shd w:val="clear" w:color="auto" w:fill="FFFFFF"/>
        <w:spacing w:line="600" w:lineRule="atLeast"/>
        <w:jc w:val="center"/>
        <w:rPr>
          <w:rFonts w:eastAsia="仿宋_GB2312"/>
          <w:b/>
          <w:spacing w:val="-2"/>
          <w:sz w:val="44"/>
          <w:szCs w:val="44"/>
        </w:rPr>
      </w:pPr>
      <w:r>
        <w:rPr>
          <w:rFonts w:hint="eastAsia" w:eastAsia="仿宋_GB2312"/>
          <w:b/>
          <w:spacing w:val="-2"/>
          <w:sz w:val="44"/>
          <w:szCs w:val="44"/>
        </w:rPr>
        <w:t>怀化市第五中学2023年度部门</w:t>
      </w:r>
      <w:r>
        <w:rPr>
          <w:rFonts w:eastAsia="仿宋_GB2312"/>
          <w:b/>
          <w:spacing w:val="-2"/>
          <w:sz w:val="44"/>
          <w:szCs w:val="44"/>
        </w:rPr>
        <w:t>整体支出绩效</w:t>
      </w:r>
      <w:r>
        <w:rPr>
          <w:rFonts w:hint="eastAsia" w:eastAsia="仿宋_GB2312"/>
          <w:b/>
          <w:spacing w:val="-2"/>
          <w:sz w:val="44"/>
          <w:szCs w:val="44"/>
        </w:rPr>
        <w:t>评价</w:t>
      </w:r>
      <w:r>
        <w:rPr>
          <w:rFonts w:eastAsia="仿宋_GB2312"/>
          <w:b/>
          <w:spacing w:val="-2"/>
          <w:sz w:val="44"/>
          <w:szCs w:val="44"/>
        </w:rPr>
        <w:t>报告</w:t>
      </w:r>
    </w:p>
    <w:p w14:paraId="56648501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一、</w:t>
      </w:r>
      <w:r>
        <w:rPr>
          <w:rFonts w:hint="eastAsia" w:ascii="楷体" w:hAnsi="楷体" w:eastAsia="楷体"/>
          <w:b/>
          <w:spacing w:val="-2"/>
          <w:sz w:val="32"/>
          <w:szCs w:val="32"/>
        </w:rPr>
        <w:t>怀化市第五中学</w:t>
      </w:r>
      <w:r>
        <w:rPr>
          <w:rFonts w:ascii="楷体" w:hAnsi="楷体" w:eastAsia="楷体"/>
          <w:b/>
          <w:spacing w:val="-2"/>
          <w:sz w:val="32"/>
          <w:szCs w:val="32"/>
        </w:rPr>
        <w:t>概况</w:t>
      </w:r>
    </w:p>
    <w:p w14:paraId="41C1989C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pacing w:val="-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</w:rPr>
        <w:t>（一）部门基本情况</w:t>
      </w:r>
    </w:p>
    <w:p w14:paraId="29E1BD9B">
      <w:pPr>
        <w:spacing w:line="500" w:lineRule="exact"/>
        <w:ind w:firstLine="560" w:firstLineChars="200"/>
        <w:jc w:val="left"/>
        <w:outlineLvl w:val="0"/>
        <w:rPr>
          <w:rFonts w:ascii="仿宋" w:hAnsi="仿宋" w:eastAsia="仿宋"/>
          <w:color w:val="333333"/>
          <w:sz w:val="28"/>
          <w:szCs w:val="28"/>
        </w:rPr>
      </w:pPr>
      <w:r>
        <w:rPr>
          <w:rFonts w:hint="eastAsia" w:ascii="仿宋" w:hAnsi="仿宋" w:eastAsia="仿宋"/>
          <w:color w:val="333333"/>
          <w:sz w:val="28"/>
          <w:szCs w:val="28"/>
        </w:rPr>
        <w:t>怀化市第五中学成立于</w:t>
      </w:r>
      <w:r>
        <w:rPr>
          <w:rFonts w:ascii="仿宋" w:hAnsi="仿宋" w:eastAsia="仿宋"/>
          <w:color w:val="333333"/>
          <w:sz w:val="28"/>
          <w:szCs w:val="28"/>
        </w:rPr>
        <w:t>19</w:t>
      </w:r>
      <w:r>
        <w:rPr>
          <w:rFonts w:hint="eastAsia" w:ascii="仿宋" w:hAnsi="仿宋" w:eastAsia="仿宋"/>
          <w:color w:val="333333"/>
          <w:sz w:val="28"/>
          <w:szCs w:val="28"/>
        </w:rPr>
        <w:t>63年，位于红星南路305号，主要承担普通高中教育事务。</w:t>
      </w:r>
    </w:p>
    <w:p w14:paraId="4FBD9527">
      <w:pPr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2023年我单位有编制数145人，在编139人，领导班子成员7人，临聘教师12人，离退休109人。四个党支部，共有党员92人。校长领导下设有党建、教学、后勤、德育四个副校长及工会，分别管理办公室、教务室、教研室、总务室、德育处、安全处、财务室等部门。</w:t>
      </w:r>
    </w:p>
    <w:p w14:paraId="7216A6D5">
      <w:pPr>
        <w:widowControl/>
        <w:numPr>
          <w:ilvl w:val="0"/>
          <w:numId w:val="1"/>
        </w:numPr>
        <w:shd w:val="clear" w:color="auto" w:fill="FFFFFF"/>
        <w:spacing w:line="600" w:lineRule="atLeast"/>
        <w:ind w:firstLine="640"/>
        <w:rPr>
          <w:rFonts w:ascii="仿宋" w:hAnsi="仿宋" w:eastAsia="仿宋"/>
          <w:spacing w:val="-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</w:rPr>
        <w:t>部门整体支出规模、使用方向和主要内容、涉及范围等。</w:t>
      </w:r>
    </w:p>
    <w:p w14:paraId="79F42C1E">
      <w:pPr>
        <w:widowControl/>
        <w:shd w:val="clear" w:color="auto" w:fill="FFFFFF"/>
        <w:spacing w:line="600" w:lineRule="atLeas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2023年我单位一般公共预算支出3041.55万元，主要用于一般公共服务1967.28万元，（工资福利支出1871.17万元，商品和服务支出89.08万元，对个人和家庭的补助7.03万元。）</w:t>
      </w:r>
    </w:p>
    <w:p w14:paraId="6F7AD063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部门整体支出管理及使用情况</w:t>
      </w:r>
    </w:p>
    <w:p w14:paraId="715BC560">
      <w:pPr>
        <w:spacing w:line="500" w:lineRule="exact"/>
        <w:ind w:left="630" w:firstLine="560" w:firstLineChars="20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2023年一般公共财政拨款预算支出1528.7万元，实际支出1528.7万元。其中：</w:t>
      </w:r>
    </w:p>
    <w:p w14:paraId="4B597506">
      <w:pPr>
        <w:widowControl/>
        <w:numPr>
          <w:ilvl w:val="0"/>
          <w:numId w:val="3"/>
        </w:numPr>
        <w:shd w:val="clear" w:color="auto" w:fill="FFFFFF"/>
        <w:spacing w:line="600" w:lineRule="atLeast"/>
        <w:ind w:firstLine="643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bCs/>
          <w:spacing w:val="-2"/>
          <w:sz w:val="32"/>
          <w:szCs w:val="32"/>
        </w:rPr>
        <w:t>基本支出</w:t>
      </w:r>
    </w:p>
    <w:p w14:paraId="1DBFAE0D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</w:rPr>
        <w:t>基本支出1345.42</w:t>
      </w:r>
      <w:r>
        <w:rPr>
          <w:rFonts w:hint="eastAsia" w:ascii="仿宋" w:hAnsi="仿宋" w:eastAsia="仿宋"/>
          <w:sz w:val="28"/>
          <w:szCs w:val="28"/>
        </w:rPr>
        <w:t>万元，包括人员支出</w:t>
      </w:r>
      <w:r>
        <w:rPr>
          <w:rFonts w:hint="eastAsia" w:ascii="仿宋" w:hAnsi="仿宋" w:eastAsia="仿宋"/>
          <w:color w:val="FF0000"/>
          <w:sz w:val="28"/>
          <w:szCs w:val="28"/>
        </w:rPr>
        <w:t>1155.57</w:t>
      </w:r>
      <w:r>
        <w:rPr>
          <w:rFonts w:hint="eastAsia" w:ascii="仿宋" w:hAnsi="仿宋" w:eastAsia="仿宋"/>
          <w:sz w:val="28"/>
          <w:szCs w:val="28"/>
        </w:rPr>
        <w:t>万元（其中基本工资500.29万元、津贴补贴2.72万元、奖金49.17万元、绩效工资362.78万元、养老保险128.68万元、医疗保险55.77万元、其他保险16.974.39万元、其他工资福利94.6万元），公用经费支出</w:t>
      </w:r>
      <w:r>
        <w:rPr>
          <w:rFonts w:hint="eastAsia" w:ascii="仿宋" w:hAnsi="仿宋" w:eastAsia="仿宋"/>
          <w:color w:val="FF0000"/>
          <w:sz w:val="28"/>
          <w:szCs w:val="28"/>
        </w:rPr>
        <w:t>137.91</w:t>
      </w:r>
      <w:r>
        <w:rPr>
          <w:rFonts w:hint="eastAsia" w:ascii="仿宋" w:hAnsi="仿宋" w:eastAsia="仿宋"/>
          <w:sz w:val="28"/>
          <w:szCs w:val="28"/>
        </w:rPr>
        <w:t>万元（其中办公费12.36万元、印刷费7.79万元、咨询费4.8万元、水费12.08万元、电费13.74万元、差旅费4.18万元、维修费9.47万元、租赁费3.29万元、培训费8.61万元、工会经费21.23万元，其他商品和服务支持38.06万元）；</w:t>
      </w:r>
    </w:p>
    <w:p w14:paraId="2A3026CC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ascii="仿宋" w:hAnsi="仿宋" w:eastAsia="仿宋"/>
          <w:b/>
          <w:spacing w:val="-2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项目支出</w:t>
      </w:r>
      <w:r>
        <w:rPr>
          <w:rFonts w:hint="eastAsia" w:ascii="仿宋" w:hAnsi="仿宋" w:eastAsia="仿宋"/>
          <w:color w:val="FF0000"/>
          <w:sz w:val="28"/>
          <w:szCs w:val="28"/>
        </w:rPr>
        <w:t>235.22</w:t>
      </w:r>
      <w:r>
        <w:rPr>
          <w:rFonts w:hint="eastAsia" w:ascii="仿宋" w:hAnsi="仿宋" w:eastAsia="仿宋"/>
          <w:sz w:val="28"/>
          <w:szCs w:val="28"/>
        </w:rPr>
        <w:t>万元（包括临聘教师工资和校园维修专项等）。</w:t>
      </w:r>
    </w:p>
    <w:p w14:paraId="1032C6D6">
      <w:pPr>
        <w:widowControl/>
        <w:numPr>
          <w:ilvl w:val="0"/>
          <w:numId w:val="4"/>
        </w:numPr>
        <w:shd w:val="clear" w:color="auto" w:fill="FFFFFF"/>
        <w:spacing w:line="600" w:lineRule="atLeast"/>
        <w:ind w:firstLine="560" w:firstLineChars="200"/>
        <w:rPr>
          <w:rFonts w:ascii="仿宋" w:hAnsi="仿宋" w:eastAsia="仿宋"/>
          <w:b/>
          <w:spacing w:val="-2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“三公”经费增减情况，我校2023年度“三公”经费标准为0万元，2023年核定标准为0万元，“三公”经费控制率</w:t>
      </w:r>
      <w:r>
        <w:rPr>
          <w:rFonts w:ascii="仿宋" w:hAnsi="仿宋" w:eastAsia="仿宋"/>
          <w:sz w:val="28"/>
          <w:szCs w:val="28"/>
        </w:rPr>
        <w:t>100</w:t>
      </w:r>
      <w:r>
        <w:rPr>
          <w:rFonts w:hint="eastAsia" w:ascii="仿宋" w:hAnsi="仿宋" w:eastAsia="仿宋"/>
          <w:sz w:val="28"/>
          <w:szCs w:val="28"/>
        </w:rPr>
        <w:t>%。</w:t>
      </w:r>
    </w:p>
    <w:p w14:paraId="5EFD5E02">
      <w:pPr>
        <w:widowControl/>
        <w:shd w:val="clear" w:color="auto" w:fill="FFFFFF"/>
        <w:spacing w:line="600" w:lineRule="atLeast"/>
        <w:ind w:firstLine="643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（二）专项支出</w:t>
      </w:r>
    </w:p>
    <w:p w14:paraId="3E6F1AA7">
      <w:pPr>
        <w:widowControl/>
        <w:shd w:val="clear" w:color="auto" w:fill="FFFFFF"/>
        <w:spacing w:line="600" w:lineRule="atLeast"/>
        <w:ind w:firstLine="64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（1）专项资金财政拨款支出29.4万，主要用于多媒体教学设备（智慧黑板）的更新（12.86万元）、校园网络广播等设施的改建（7.14万元），以及校园校舍的维修工程（9.39万元）。</w:t>
      </w:r>
    </w:p>
    <w:p w14:paraId="7C749767">
      <w:pPr>
        <w:widowControl/>
        <w:shd w:val="clear" w:color="auto" w:fill="FFFFFF"/>
        <w:spacing w:line="600" w:lineRule="atLeast"/>
        <w:ind w:firstLine="64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（2）项目所有开支均按照我单位财务管理制度执行，资金的使用严格把关，专款专用。项目资金使用与具体项目实施内容相符，绩效总目标和阶段性目标都已按照计划完成，未逾期。</w:t>
      </w:r>
    </w:p>
    <w:p w14:paraId="580CA6DF">
      <w:pPr>
        <w:widowControl/>
        <w:shd w:val="clear" w:color="auto" w:fill="FFFFFF"/>
        <w:spacing w:line="600" w:lineRule="atLeast"/>
        <w:ind w:firstLine="643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 xml:space="preserve">三、政府性基金预算支出情况 </w:t>
      </w:r>
    </w:p>
    <w:p w14:paraId="3E8C9F1D">
      <w:pPr>
        <w:widowControl/>
        <w:shd w:val="clear" w:color="auto" w:fill="FFFFFF"/>
        <w:spacing w:line="600" w:lineRule="atLeast"/>
        <w:ind w:firstLine="643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无。</w:t>
      </w:r>
    </w:p>
    <w:p w14:paraId="0E66E6D9">
      <w:pPr>
        <w:widowControl/>
        <w:shd w:val="clear" w:color="auto" w:fill="FFFFFF"/>
        <w:spacing w:line="600" w:lineRule="atLeast"/>
        <w:ind w:firstLine="643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>四、国有资本经营预算支出情况</w:t>
      </w:r>
    </w:p>
    <w:p w14:paraId="34361C67">
      <w:pPr>
        <w:widowControl/>
        <w:shd w:val="clear" w:color="auto" w:fill="FFFFFF"/>
        <w:spacing w:line="600" w:lineRule="atLeast"/>
        <w:ind w:left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无。</w:t>
      </w:r>
    </w:p>
    <w:p w14:paraId="2A21529D">
      <w:pPr>
        <w:widowControl/>
        <w:shd w:val="clear" w:color="auto" w:fill="FFFFFF"/>
        <w:spacing w:line="600" w:lineRule="atLeast"/>
        <w:ind w:firstLine="643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>五、社会保险基金预算支出情况</w:t>
      </w:r>
    </w:p>
    <w:p w14:paraId="7EDAA98D">
      <w:pPr>
        <w:widowControl/>
        <w:shd w:val="clear" w:color="auto" w:fill="FFFFFF"/>
        <w:spacing w:line="600" w:lineRule="atLeas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无。</w:t>
      </w:r>
    </w:p>
    <w:p w14:paraId="1415048A">
      <w:pPr>
        <w:widowControl/>
        <w:shd w:val="clear" w:color="auto" w:fill="FFFFFF"/>
        <w:spacing w:line="600" w:lineRule="atLeast"/>
        <w:ind w:firstLine="643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>六、部门整体支出绩效情况</w:t>
      </w:r>
    </w:p>
    <w:p w14:paraId="59BA59F9">
      <w:pPr>
        <w:widowControl/>
        <w:shd w:val="clear" w:color="auto" w:fill="FFFFFF"/>
        <w:spacing w:line="600" w:lineRule="atLeast"/>
        <w:ind w:firstLine="840" w:firstLineChars="3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以落实教育政策为主线，以创人民满意的教育为抓手，强化内部管理，狠抓教育发展，倾心服务，求真务实，奋发进取，圆满地完成了全年各项绩效目标任务：</w:t>
      </w:r>
    </w:p>
    <w:p w14:paraId="7E862EAE">
      <w:pPr>
        <w:widowControl/>
        <w:numPr>
          <w:ilvl w:val="0"/>
          <w:numId w:val="5"/>
        </w:numPr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改善学校的办学条件，完善学校的硬件设备，提高教育网络信息化水平，新配置300套新课桌椅，7间教室更换了多媒体终端设备（智慧黑板），对校园校舍进行了较大规模的维修。</w:t>
      </w:r>
    </w:p>
    <w:p w14:paraId="7F9DFD13">
      <w:pPr>
        <w:widowControl/>
        <w:numPr>
          <w:ilvl w:val="0"/>
          <w:numId w:val="5"/>
        </w:numPr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开展各种学生比赛，学生运动会，书法赛，文艺比赛、红色教育周等。</w:t>
      </w:r>
    </w:p>
    <w:p w14:paraId="7A737489">
      <w:pPr>
        <w:widowControl/>
        <w:numPr>
          <w:ilvl w:val="0"/>
          <w:numId w:val="5"/>
        </w:numPr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开展教师培训。</w:t>
      </w:r>
    </w:p>
    <w:p w14:paraId="3DB9A1D1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>七</w:t>
      </w:r>
      <w:r>
        <w:rPr>
          <w:rFonts w:ascii="楷体" w:hAnsi="楷体" w:eastAsia="楷体"/>
          <w:b/>
          <w:spacing w:val="-2"/>
          <w:sz w:val="32"/>
          <w:szCs w:val="32"/>
        </w:rPr>
        <w:t>、存在的主要问题</w:t>
      </w:r>
      <w:r>
        <w:rPr>
          <w:rFonts w:hint="eastAsia" w:ascii="楷体" w:hAnsi="楷体" w:eastAsia="楷体"/>
          <w:b/>
          <w:spacing w:val="-2"/>
          <w:sz w:val="32"/>
          <w:szCs w:val="32"/>
        </w:rPr>
        <w:t>及原因分析。</w:t>
      </w:r>
    </w:p>
    <w:p w14:paraId="6DCC02E8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1.绩效自评目标不够明确和规范，还要进一步加强；</w:t>
      </w:r>
    </w:p>
    <w:p w14:paraId="5D645630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2.会计基础工作有待完善。</w:t>
      </w:r>
    </w:p>
    <w:p w14:paraId="649FC61D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>八</w:t>
      </w:r>
      <w:r>
        <w:rPr>
          <w:rFonts w:ascii="楷体" w:hAnsi="楷体" w:eastAsia="楷体"/>
          <w:b/>
          <w:spacing w:val="-2"/>
          <w:sz w:val="32"/>
          <w:szCs w:val="32"/>
        </w:rPr>
        <w:t>、</w:t>
      </w:r>
      <w:r>
        <w:rPr>
          <w:rFonts w:hint="eastAsia" w:ascii="楷体" w:hAnsi="楷体" w:eastAsia="楷体"/>
          <w:b/>
          <w:spacing w:val="-2"/>
          <w:sz w:val="32"/>
          <w:szCs w:val="32"/>
        </w:rPr>
        <w:t>进一步</w:t>
      </w:r>
      <w:r>
        <w:rPr>
          <w:rFonts w:ascii="楷体" w:hAnsi="楷体" w:eastAsia="楷体"/>
          <w:b/>
          <w:spacing w:val="-2"/>
          <w:sz w:val="32"/>
          <w:szCs w:val="32"/>
        </w:rPr>
        <w:t>改进措施</w:t>
      </w:r>
    </w:p>
    <w:p w14:paraId="4C35C2B8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>1</w:t>
      </w:r>
      <w:r>
        <w:rPr>
          <w:rFonts w:hint="eastAsia" w:ascii="仿宋" w:hAnsi="仿宋" w:eastAsia="仿宋"/>
          <w:sz w:val="28"/>
          <w:szCs w:val="28"/>
        </w:rPr>
        <w:t>.进一步加强单位内部机构各科室的预算管理意识，严格按照预算编制的相关制度和要求进行预算编制。</w:t>
      </w:r>
    </w:p>
    <w:p w14:paraId="765F55D5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2.经费支出严格按规定进行财务审核，在预算金额内严格控制费用的支出。</w:t>
      </w:r>
    </w:p>
    <w:p w14:paraId="31DE8F24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hint="eastAsia" w:ascii="楷体" w:hAnsi="楷体" w:eastAsia="楷体"/>
          <w:b/>
          <w:spacing w:val="-2"/>
          <w:sz w:val="32"/>
          <w:szCs w:val="32"/>
        </w:rPr>
        <w:t>九、其他需要说明的情况</w:t>
      </w:r>
    </w:p>
    <w:p w14:paraId="4F0D27E1">
      <w:pPr>
        <w:widowControl/>
        <w:shd w:val="clear" w:color="auto" w:fill="FFFFFF"/>
        <w:spacing w:line="600" w:lineRule="atLeast"/>
        <w:ind w:firstLine="64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无。</w:t>
      </w:r>
    </w:p>
    <w:p w14:paraId="641EFC3F"/>
    <w:p w14:paraId="30BB0A9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A2253B"/>
    <w:multiLevelType w:val="singleLevel"/>
    <w:tmpl w:val="A4A2253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24B6B87"/>
    <w:multiLevelType w:val="singleLevel"/>
    <w:tmpl w:val="C24B6B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D55048F"/>
    <w:multiLevelType w:val="singleLevel"/>
    <w:tmpl w:val="0D55048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DE6C53C"/>
    <w:multiLevelType w:val="singleLevel"/>
    <w:tmpl w:val="5DE6C5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6EBAE78"/>
    <w:multiLevelType w:val="singleLevel"/>
    <w:tmpl w:val="66EBAE7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zYWUzOTBhOGNjY2E5MGY2MDNmNTBkZGY0ZWMwZGMifQ=="/>
  </w:docVars>
  <w:rsids>
    <w:rsidRoot w:val="0076079C"/>
    <w:rsid w:val="00421BB3"/>
    <w:rsid w:val="0076079C"/>
    <w:rsid w:val="00F205C5"/>
    <w:rsid w:val="14C173FE"/>
    <w:rsid w:val="58CD0BE3"/>
    <w:rsid w:val="64532281"/>
    <w:rsid w:val="6CBE4780"/>
    <w:rsid w:val="6EEC684B"/>
    <w:rsid w:val="760263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1190</Words>
  <Characters>1377</Characters>
  <Lines>10</Lines>
  <Paragraphs>2</Paragraphs>
  <TotalTime>0</TotalTime>
  <ScaleCrop>false</ScaleCrop>
  <LinksUpToDate>false</LinksUpToDate>
  <CharactersWithSpaces>1413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2024-11-05T07:49:00Z</dcterms:created>
  <dc:creator>Administrator</dc:creator>
  <cp:lastModifiedBy>廖光舟</cp:lastModifiedBy>
  <dcterms:modified xsi:type="dcterms:W3CDTF">2024-12-09T02:29:40Z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383F659554A947FFACE6EB00C7CF31C6_13</vt:lpwstr>
  </property>
</Properties>
</file>