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19EBB">
      <w:pPr>
        <w:pStyle w:val="3"/>
        <w:widowControl w:val="0"/>
        <w:kinsoku/>
        <w:overflowPunct w:val="0"/>
        <w:spacing w:line="360" w:lineRule="auto"/>
        <w:rPr>
          <w:sz w:val="32"/>
          <w:szCs w:val="32"/>
          <w:lang w:eastAsia="zh-CN"/>
        </w:rPr>
      </w:pPr>
      <w:r>
        <w:rPr>
          <w:spacing w:val="17"/>
          <w:sz w:val="32"/>
          <w:szCs w:val="32"/>
          <w:lang w:eastAsia="zh-CN"/>
        </w:rPr>
        <w:t>附件1</w:t>
      </w:r>
    </w:p>
    <w:p w14:paraId="2B4510FC">
      <w:pPr>
        <w:widowControl w:val="0"/>
        <w:kinsoku/>
        <w:overflowPunct w:val="0"/>
        <w:spacing w:line="360" w:lineRule="auto"/>
        <w:ind w:firstLine="855" w:firstLineChars="200"/>
        <w:jc w:val="center"/>
        <w:rPr>
          <w:rFonts w:ascii="宋体" w:hAnsi="宋体" w:eastAsia="宋体" w:cs="宋体"/>
          <w:b/>
          <w:bCs/>
          <w:spacing w:val="-7"/>
          <w:sz w:val="44"/>
          <w:szCs w:val="44"/>
          <w:lang w:eastAsia="zh-CN"/>
        </w:rPr>
      </w:pPr>
      <w:r>
        <w:rPr>
          <w:rFonts w:hint="eastAsia" w:ascii="宋体" w:hAnsi="宋体" w:eastAsia="宋体" w:cs="宋体"/>
          <w:b/>
          <w:bCs/>
          <w:spacing w:val="-7"/>
          <w:sz w:val="44"/>
          <w:szCs w:val="44"/>
          <w:lang w:eastAsia="zh-CN"/>
        </w:rPr>
        <w:t>怀化市鹤城区科学技术协会</w:t>
      </w:r>
    </w:p>
    <w:p w14:paraId="2FA04A53">
      <w:pPr>
        <w:widowControl w:val="0"/>
        <w:kinsoku/>
        <w:overflowPunct w:val="0"/>
        <w:spacing w:line="360" w:lineRule="auto"/>
        <w:ind w:firstLine="855" w:firstLineChars="200"/>
        <w:jc w:val="center"/>
        <w:rPr>
          <w:sz w:val="32"/>
          <w:szCs w:val="32"/>
          <w:lang w:eastAsia="zh-CN"/>
        </w:rPr>
      </w:pPr>
      <w:r>
        <w:rPr>
          <w:rFonts w:hint="eastAsia" w:ascii="宋体" w:hAnsi="宋体" w:eastAsia="宋体" w:cs="宋体"/>
          <w:b/>
          <w:bCs/>
          <w:spacing w:val="-7"/>
          <w:sz w:val="44"/>
          <w:szCs w:val="44"/>
          <w:lang w:eastAsia="zh-CN"/>
        </w:rPr>
        <w:t>2023年</w:t>
      </w:r>
      <w:r>
        <w:rPr>
          <w:rFonts w:ascii="宋体" w:hAnsi="宋体" w:eastAsia="宋体" w:cs="宋体"/>
          <w:b/>
          <w:bCs/>
          <w:spacing w:val="-7"/>
          <w:sz w:val="44"/>
          <w:szCs w:val="44"/>
          <w:lang w:eastAsia="zh-CN"/>
        </w:rPr>
        <w:t>整体支出绩效自评报告</w:t>
      </w:r>
    </w:p>
    <w:p w14:paraId="10CAEB34">
      <w:pPr>
        <w:widowControl w:val="0"/>
        <w:kinsoku/>
        <w:overflowPunct w:val="0"/>
        <w:spacing w:line="360" w:lineRule="auto"/>
        <w:rPr>
          <w:sz w:val="32"/>
          <w:szCs w:val="32"/>
          <w:lang w:eastAsia="zh-CN"/>
        </w:rPr>
      </w:pPr>
    </w:p>
    <w:p w14:paraId="786289AB">
      <w:pPr>
        <w:widowControl w:val="0"/>
        <w:kinsoku/>
        <w:overflowPunct w:val="0"/>
        <w:spacing w:line="600" w:lineRule="exact"/>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255CF186">
      <w:pPr>
        <w:widowControl w:val="0"/>
        <w:kinsoku/>
        <w:overflowPunct w:val="0"/>
        <w:spacing w:line="600" w:lineRule="exact"/>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379D7E59">
      <w:pPr>
        <w:spacing w:line="60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怀化市鹤城区科学技术协会内设机构包括：内设2个股室，分别为：办公室、科学普及与学会部。怀化市鹤城区科学技术协会二级机构1个：科学技术普及服务中心。</w:t>
      </w:r>
    </w:p>
    <w:p w14:paraId="6BBD52FF">
      <w:pPr>
        <w:widowControl w:val="0"/>
        <w:kinsoku/>
        <w:overflowPunct w:val="0"/>
        <w:spacing w:line="600" w:lineRule="exact"/>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eastAsia="zh-CN"/>
        </w:rPr>
        <w:t>二</w:t>
      </w:r>
      <w:r>
        <w:rPr>
          <w:rFonts w:ascii="楷体" w:hAnsi="楷体" w:eastAsia="楷体" w:cs="楷体"/>
          <w:spacing w:val="11"/>
          <w:sz w:val="32"/>
          <w:szCs w:val="32"/>
          <w:lang w:eastAsia="zh-CN"/>
        </w:rPr>
        <w:t>)人员编制情况</w:t>
      </w:r>
    </w:p>
    <w:p w14:paraId="57D0E29C">
      <w:pPr>
        <w:spacing w:line="600" w:lineRule="exact"/>
        <w:ind w:firstLine="632" w:firstLineChars="200"/>
        <w:rPr>
          <w:rFonts w:eastAsia="仿宋_GB2312"/>
          <w:sz w:val="32"/>
          <w:szCs w:val="32"/>
          <w:lang w:eastAsia="zh-CN"/>
        </w:rPr>
      </w:pPr>
      <w:r>
        <w:rPr>
          <w:rFonts w:hint="eastAsia" w:ascii="仿宋" w:hAnsi="仿宋" w:eastAsia="仿宋" w:cs="仿宋"/>
          <w:spacing w:val="-2"/>
          <w:sz w:val="32"/>
          <w:szCs w:val="32"/>
          <w:lang w:eastAsia="zh-CN"/>
        </w:rPr>
        <w:t>截至2023年12月31日，鹤城区</w:t>
      </w:r>
      <w:r>
        <w:rPr>
          <w:rFonts w:hint="eastAsia" w:ascii="仿宋" w:hAnsi="仿宋" w:eastAsia="仿宋" w:cs="仿宋"/>
          <w:sz w:val="32"/>
          <w:szCs w:val="32"/>
          <w:lang w:eastAsia="zh-CN"/>
        </w:rPr>
        <w:t>科协现有编制数5名，离退休人员4人。本协会实有人员4人（其中：全额拨款在职人员4人）；科学技术普及服务中心编制数6名，实有人员6人（其中：全额拨款2人，自收自支人员4人）,离退休人员1人。</w:t>
      </w:r>
    </w:p>
    <w:p w14:paraId="0BDFFFB4">
      <w:pPr>
        <w:widowControl w:val="0"/>
        <w:kinsoku/>
        <w:overflowPunct w:val="0"/>
        <w:spacing w:line="600" w:lineRule="exact"/>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eastAsia="zh-CN"/>
        </w:rPr>
        <w:t>三</w:t>
      </w:r>
      <w:r>
        <w:rPr>
          <w:rFonts w:ascii="楷体" w:hAnsi="楷体" w:eastAsia="楷体" w:cs="楷体"/>
          <w:spacing w:val="11"/>
          <w:sz w:val="32"/>
          <w:szCs w:val="32"/>
          <w:lang w:eastAsia="zh-CN"/>
        </w:rPr>
        <w:t>)主要职能职责</w:t>
      </w:r>
    </w:p>
    <w:p w14:paraId="34637C44">
      <w:pPr>
        <w:spacing w:line="60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14:paraId="0B1546D4">
      <w:pPr>
        <w:widowControl w:val="0"/>
        <w:kinsoku/>
        <w:overflowPunct w:val="0"/>
        <w:spacing w:line="600" w:lineRule="exact"/>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w:t>
      </w:r>
      <w:r>
        <w:rPr>
          <w:rFonts w:hint="eastAsia" w:ascii="楷体" w:hAnsi="楷体" w:eastAsia="楷体" w:cs="楷体"/>
          <w:spacing w:val="11"/>
          <w:sz w:val="32"/>
          <w:szCs w:val="32"/>
          <w:lang w:eastAsia="zh-CN"/>
        </w:rPr>
        <w:t>四</w:t>
      </w:r>
      <w:r>
        <w:rPr>
          <w:rFonts w:ascii="楷体" w:hAnsi="楷体" w:eastAsia="楷体" w:cs="楷体"/>
          <w:spacing w:val="11"/>
          <w:sz w:val="32"/>
          <w:szCs w:val="32"/>
          <w:lang w:eastAsia="zh-CN"/>
        </w:rPr>
        <w:t>)绩效目标设定情况</w:t>
      </w:r>
    </w:p>
    <w:p w14:paraId="035D89EB">
      <w:pPr>
        <w:shd w:val="clear" w:color="auto" w:fill="FFFFFF"/>
        <w:kinsoku/>
        <w:autoSpaceDE/>
        <w:autoSpaceDN/>
        <w:adjustRightInd/>
        <w:spacing w:line="560" w:lineRule="exact"/>
        <w:ind w:firstLine="632" w:firstLineChars="200"/>
        <w:textAlignment w:val="auto"/>
        <w:rPr>
          <w:rFonts w:ascii="仿宋" w:hAnsi="仿宋" w:eastAsia="仿宋" w:cs="Times New Roman"/>
          <w:spacing w:val="-2"/>
          <w:sz w:val="32"/>
          <w:szCs w:val="32"/>
          <w:lang w:eastAsia="zh-CN"/>
        </w:rPr>
      </w:pPr>
      <w:r>
        <w:rPr>
          <w:rFonts w:hint="eastAsia" w:ascii="仿宋" w:hAnsi="仿宋" w:eastAsia="仿宋" w:cs="Times New Roman"/>
          <w:spacing w:val="-2"/>
          <w:sz w:val="32"/>
          <w:szCs w:val="32"/>
          <w:lang w:eastAsia="zh-CN"/>
        </w:rPr>
        <w:t>根据单位职责职能，确定各项具体工作分工，并结合单位中长期规划和年度工作计划，明确年度主要工作任务，确定单位总体目标，以定量和定性相结合的方式目标设定，从中概括、提炼出最能反映工作任务预期实现程度的关键性指标，确定为相应的绩效指标，通过收集基准数据，结合年度预算安排等情况实现目标计划。</w:t>
      </w:r>
    </w:p>
    <w:p w14:paraId="63AFDB1B">
      <w:pPr>
        <w:shd w:val="clear" w:color="auto" w:fill="FFFFFF"/>
        <w:kinsoku/>
        <w:autoSpaceDE/>
        <w:autoSpaceDN/>
        <w:adjustRightInd/>
        <w:spacing w:line="560" w:lineRule="exact"/>
        <w:ind w:firstLine="632" w:firstLineChars="200"/>
        <w:textAlignment w:val="auto"/>
        <w:rPr>
          <w:rFonts w:ascii="仿宋" w:hAnsi="仿宋" w:eastAsia="仿宋" w:cs="Times New Roman"/>
          <w:color w:val="auto"/>
          <w:spacing w:val="-2"/>
          <w:sz w:val="32"/>
          <w:szCs w:val="32"/>
          <w:lang w:eastAsia="zh-CN"/>
        </w:rPr>
      </w:pPr>
      <w:r>
        <w:rPr>
          <w:rFonts w:hint="eastAsia" w:ascii="仿宋" w:hAnsi="仿宋" w:eastAsia="仿宋" w:cs="Times New Roman"/>
          <w:color w:val="auto"/>
          <w:spacing w:val="-2"/>
          <w:sz w:val="32"/>
          <w:szCs w:val="32"/>
          <w:lang w:eastAsia="zh-CN"/>
        </w:rPr>
        <w:t>2023年我单位设定的总体绩效目标为：</w:t>
      </w:r>
    </w:p>
    <w:p w14:paraId="25683D03">
      <w:pPr>
        <w:widowControl w:val="0"/>
        <w:kinsoku/>
        <w:overflowPunct w:val="0"/>
        <w:spacing w:line="600" w:lineRule="exact"/>
        <w:ind w:firstLine="640" w:firstLineChars="200"/>
        <w:outlineLvl w:val="6"/>
        <w:rPr>
          <w:rFonts w:ascii="仿宋" w:hAnsi="仿宋" w:eastAsia="仿宋" w:cs="仿宋"/>
          <w:sz w:val="32"/>
          <w:szCs w:val="32"/>
          <w:lang w:eastAsia="zh-CN"/>
        </w:rPr>
      </w:pPr>
      <w:r>
        <w:rPr>
          <w:rFonts w:hint="eastAsia" w:ascii="仿宋" w:hAnsi="仿宋" w:eastAsia="仿宋" w:cs="仿宋"/>
          <w:color w:val="000000" w:themeColor="text1"/>
          <w:kern w:val="2"/>
          <w:sz w:val="32"/>
          <w:szCs w:val="32"/>
          <w:lang w:eastAsia="zh-CN"/>
        </w:rPr>
        <w:t>以习近平新时代中国特色社会主义思想为指导，在区委、区政府坚强领导下，在市科协大力指导支持下，围绕中心、服务大局，坚持党建带会建，融合发展建设“三型”组织，真抓实干深化“四个服务”，</w:t>
      </w:r>
      <w:r>
        <w:rPr>
          <w:rFonts w:hint="eastAsia" w:ascii="仿宋" w:hAnsi="仿宋" w:eastAsia="仿宋" w:cs="仿宋"/>
          <w:sz w:val="32"/>
          <w:szCs w:val="32"/>
          <w:lang w:eastAsia="zh-CN"/>
        </w:rPr>
        <w:t>为全面建设社会主义现代化新鹤城贡献科协力量。</w:t>
      </w:r>
    </w:p>
    <w:p w14:paraId="3B55C64A">
      <w:pPr>
        <w:widowControl w:val="0"/>
        <w:kinsoku/>
        <w:overflowPunct w:val="0"/>
        <w:spacing w:line="600" w:lineRule="exact"/>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5B786311">
      <w:pPr>
        <w:widowControl w:val="0"/>
        <w:kinsoku/>
        <w:overflowPunct w:val="0"/>
        <w:spacing w:line="600" w:lineRule="exact"/>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5550A29A">
      <w:pPr>
        <w:spacing w:line="60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1.年初预算部门收支情况</w:t>
      </w:r>
    </w:p>
    <w:p w14:paraId="1A655FBC">
      <w:pPr>
        <w:spacing w:line="600" w:lineRule="exact"/>
        <w:ind w:firstLine="640" w:firstLineChars="200"/>
        <w:rPr>
          <w:rFonts w:ascii="仿宋" w:hAnsi="仿宋" w:eastAsia="仿宋" w:cs="仿宋"/>
          <w:color w:val="auto"/>
          <w:sz w:val="32"/>
          <w:szCs w:val="32"/>
          <w:lang w:eastAsia="zh-CN"/>
        </w:rPr>
      </w:pPr>
      <w:r>
        <w:rPr>
          <w:rFonts w:hint="eastAsia" w:ascii="仿宋" w:hAnsi="仿宋" w:eastAsia="仿宋" w:cs="仿宋"/>
          <w:sz w:val="32"/>
          <w:szCs w:val="32"/>
          <w:lang w:eastAsia="zh-CN"/>
        </w:rPr>
        <w:t>2023年部门年初预算收入169.32万元，其中，一般公共预算拨款收入169.32万元。年初支出总预算169.32万元，其中：基本支出120.13万元（工资福利支出102.98万元，商品和服务支出6.57万元，对个人和家庭的补助10.58万元）</w:t>
      </w:r>
      <w:r>
        <w:rPr>
          <w:rFonts w:hint="eastAsia" w:ascii="仿宋" w:hAnsi="仿宋" w:eastAsia="仿宋" w:cs="仿宋"/>
          <w:color w:val="auto"/>
          <w:sz w:val="32"/>
          <w:szCs w:val="32"/>
          <w:lang w:eastAsia="zh-CN"/>
        </w:rPr>
        <w:t>，项目支出49.19万元。</w:t>
      </w:r>
    </w:p>
    <w:p w14:paraId="1EE616AE">
      <w:pPr>
        <w:spacing w:line="60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2.部门决算收支情况</w:t>
      </w:r>
    </w:p>
    <w:p w14:paraId="51BC8C29">
      <w:pPr>
        <w:spacing w:line="60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2023年度决算总收入186.66万元。2023年度决算总支出186.66万元，其中：基本支出165.26万元，占总支出的88.54%；项目支出21.40万元，占总支出的11.46%。2023年年末无结转和结余。</w:t>
      </w:r>
    </w:p>
    <w:p w14:paraId="74E69D19">
      <w:pPr>
        <w:widowControl w:val="0"/>
        <w:kinsoku/>
        <w:overflowPunct w:val="0"/>
        <w:spacing w:line="600" w:lineRule="exact"/>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4E946843">
      <w:pPr>
        <w:pStyle w:val="3"/>
        <w:widowControl w:val="0"/>
        <w:kinsoku/>
        <w:overflowPunct w:val="0"/>
        <w:spacing w:line="600" w:lineRule="exact"/>
        <w:ind w:firstLine="620" w:firstLineChars="200"/>
        <w:rPr>
          <w:spacing w:val="-5"/>
          <w:sz w:val="32"/>
          <w:szCs w:val="32"/>
          <w:lang w:eastAsia="zh-CN"/>
        </w:rPr>
      </w:pPr>
      <w:r>
        <w:rPr>
          <w:spacing w:val="-5"/>
          <w:sz w:val="32"/>
          <w:szCs w:val="32"/>
          <w:lang w:eastAsia="zh-CN"/>
        </w:rPr>
        <w:t>1.基本支出情况</w:t>
      </w:r>
    </w:p>
    <w:p w14:paraId="068B0A5C">
      <w:pPr>
        <w:shd w:val="clear" w:color="auto" w:fill="FFFFFF"/>
        <w:kinsoku/>
        <w:autoSpaceDE/>
        <w:autoSpaceDN/>
        <w:adjustRightInd/>
        <w:spacing w:line="560" w:lineRule="exact"/>
        <w:ind w:firstLine="640"/>
        <w:textAlignment w:val="auto"/>
        <w:rPr>
          <w:color w:val="auto"/>
          <w:lang w:eastAsia="zh-CN"/>
        </w:rPr>
      </w:pPr>
      <w:r>
        <w:rPr>
          <w:rFonts w:ascii="仿宋" w:hAnsi="仿宋" w:eastAsia="仿宋" w:cs="仿宋"/>
          <w:color w:val="auto"/>
          <w:spacing w:val="-2"/>
          <w:kern w:val="2"/>
          <w:sz w:val="32"/>
          <w:szCs w:val="32"/>
          <w:lang w:eastAsia="zh-CN"/>
        </w:rPr>
        <w:t>基本支出系保障</w:t>
      </w:r>
      <w:r>
        <w:rPr>
          <w:rFonts w:hint="eastAsia" w:ascii="仿宋" w:hAnsi="仿宋" w:eastAsia="仿宋" w:cs="仿宋"/>
          <w:color w:val="auto"/>
          <w:spacing w:val="-2"/>
          <w:kern w:val="2"/>
          <w:sz w:val="32"/>
          <w:szCs w:val="32"/>
          <w:lang w:eastAsia="zh-CN"/>
        </w:rPr>
        <w:t>本单位</w:t>
      </w:r>
      <w:r>
        <w:rPr>
          <w:rFonts w:ascii="仿宋" w:hAnsi="仿宋" w:eastAsia="仿宋" w:cs="仿宋"/>
          <w:color w:val="auto"/>
          <w:spacing w:val="-2"/>
          <w:kern w:val="2"/>
          <w:sz w:val="32"/>
          <w:szCs w:val="32"/>
          <w:lang w:eastAsia="zh-CN"/>
        </w:rPr>
        <w:t>正常运转、完成日常工作任务而发生的</w:t>
      </w:r>
      <w:r>
        <w:rPr>
          <w:rFonts w:hint="eastAsia" w:ascii="仿宋" w:hAnsi="仿宋" w:eastAsia="仿宋" w:cs="仿宋"/>
          <w:color w:val="auto"/>
          <w:spacing w:val="-2"/>
          <w:kern w:val="2"/>
          <w:sz w:val="32"/>
          <w:lang w:eastAsia="zh-CN"/>
        </w:rPr>
        <w:t>人员经费和日常公用经费。</w:t>
      </w:r>
      <w:r>
        <w:rPr>
          <w:rFonts w:hint="eastAsia" w:ascii="仿宋" w:hAnsi="仿宋" w:eastAsia="仿宋" w:cs="Times New Roman"/>
          <w:color w:val="0000FF"/>
          <w:spacing w:val="-2"/>
          <w:sz w:val="32"/>
          <w:szCs w:val="32"/>
          <w:lang w:eastAsia="zh-CN"/>
        </w:rPr>
        <w:t>2023年基本支出165.26万元，</w:t>
      </w:r>
      <w:r>
        <w:rPr>
          <w:rFonts w:ascii="仿宋" w:hAnsi="仿宋" w:eastAsia="仿宋" w:cs="仿宋"/>
          <w:color w:val="0000FF"/>
          <w:spacing w:val="-2"/>
          <w:kern w:val="2"/>
          <w:sz w:val="32"/>
          <w:szCs w:val="32"/>
          <w:lang w:eastAsia="zh-CN"/>
        </w:rPr>
        <w:t>较上年</w:t>
      </w:r>
      <w:r>
        <w:rPr>
          <w:rFonts w:hint="eastAsia" w:ascii="仿宋" w:hAnsi="仿宋" w:eastAsia="仿宋" w:cs="仿宋"/>
          <w:color w:val="0000FF"/>
          <w:spacing w:val="-2"/>
          <w:kern w:val="2"/>
          <w:sz w:val="32"/>
          <w:szCs w:val="32"/>
          <w:lang w:eastAsia="zh-CN"/>
        </w:rPr>
        <w:t>增加35.75</w:t>
      </w:r>
      <w:r>
        <w:rPr>
          <w:rFonts w:ascii="仿宋" w:hAnsi="仿宋" w:eastAsia="仿宋" w:cs="仿宋"/>
          <w:color w:val="0000FF"/>
          <w:spacing w:val="-2"/>
          <w:kern w:val="2"/>
          <w:sz w:val="32"/>
          <w:szCs w:val="32"/>
          <w:lang w:eastAsia="zh-CN"/>
        </w:rPr>
        <w:t>万元，</w:t>
      </w:r>
      <w:r>
        <w:rPr>
          <w:rFonts w:hint="eastAsia" w:ascii="仿宋" w:hAnsi="仿宋" w:eastAsia="仿宋" w:cs="仿宋"/>
          <w:color w:val="0000FF"/>
          <w:spacing w:val="-2"/>
          <w:kern w:val="2"/>
          <w:sz w:val="32"/>
          <w:szCs w:val="32"/>
          <w:lang w:eastAsia="zh-CN"/>
        </w:rPr>
        <w:t>提升27.61%，主要</w:t>
      </w:r>
      <w:r>
        <w:rPr>
          <w:rFonts w:hint="eastAsia" w:ascii="仿宋" w:hAnsi="仿宋" w:eastAsia="仿宋" w:cs="仿宋"/>
          <w:color w:val="0000FF"/>
          <w:spacing w:val="-2"/>
          <w:sz w:val="32"/>
          <w:szCs w:val="32"/>
          <w:lang w:eastAsia="zh-CN"/>
        </w:rPr>
        <w:t>是因为商品和服务支出、对个人和家庭的补助等支出增加</w:t>
      </w:r>
      <w:r>
        <w:rPr>
          <w:rFonts w:ascii="仿宋" w:hAnsi="仿宋" w:eastAsia="仿宋" w:cs="仿宋"/>
          <w:color w:val="0000FF"/>
          <w:spacing w:val="-2"/>
          <w:kern w:val="2"/>
          <w:sz w:val="32"/>
          <w:szCs w:val="32"/>
          <w:lang w:eastAsia="zh-CN"/>
        </w:rPr>
        <w:t>。</w:t>
      </w:r>
      <w:r>
        <w:rPr>
          <w:rFonts w:hint="eastAsia" w:ascii="仿宋" w:hAnsi="仿宋" w:eastAsia="仿宋" w:cs="仿宋"/>
          <w:color w:val="auto"/>
          <w:spacing w:val="-2"/>
          <w:kern w:val="2"/>
          <w:sz w:val="32"/>
          <w:szCs w:val="32"/>
          <w:lang w:eastAsia="zh-CN"/>
        </w:rPr>
        <w:t>具体情况如下：</w:t>
      </w:r>
    </w:p>
    <w:p w14:paraId="204BC261">
      <w:pPr>
        <w:shd w:val="clear" w:color="auto" w:fill="FFFFFF"/>
        <w:kinsoku/>
        <w:autoSpaceDE/>
        <w:autoSpaceDN/>
        <w:adjustRightInd/>
        <w:spacing w:line="560" w:lineRule="exact"/>
        <w:ind w:firstLine="640"/>
        <w:textAlignment w:val="auto"/>
        <w:rPr>
          <w:color w:val="auto"/>
          <w:lang w:eastAsia="zh-CN"/>
        </w:rPr>
      </w:pPr>
      <w:r>
        <w:rPr>
          <w:rFonts w:hint="eastAsia" w:ascii="仿宋" w:hAnsi="仿宋" w:eastAsia="仿宋" w:cs="仿宋"/>
          <w:color w:val="auto"/>
          <w:spacing w:val="-2"/>
          <w:kern w:val="2"/>
          <w:sz w:val="32"/>
          <w:szCs w:val="32"/>
          <w:lang w:eastAsia="zh-CN"/>
        </w:rPr>
        <w:t>（1）</w:t>
      </w:r>
      <w:r>
        <w:rPr>
          <w:rFonts w:hint="eastAsia" w:ascii="仿宋" w:hAnsi="仿宋" w:eastAsia="仿宋" w:cs="仿宋"/>
          <w:spacing w:val="-2"/>
          <w:sz w:val="32"/>
          <w:szCs w:val="32"/>
          <w:lang w:eastAsia="zh-CN"/>
        </w:rPr>
        <w:t>人员经费</w:t>
      </w:r>
      <w:r>
        <w:rPr>
          <w:rFonts w:hint="eastAsia" w:ascii="仿宋" w:hAnsi="仿宋" w:eastAsia="仿宋" w:cs="仿宋"/>
          <w:color w:val="auto"/>
          <w:spacing w:val="-2"/>
          <w:kern w:val="2"/>
          <w:sz w:val="32"/>
          <w:szCs w:val="32"/>
          <w:lang w:eastAsia="zh-CN"/>
        </w:rPr>
        <w:t>134.72万</w:t>
      </w:r>
      <w:r>
        <w:rPr>
          <w:rFonts w:hint="eastAsia" w:ascii="仿宋" w:hAnsi="仿宋" w:eastAsia="仿宋" w:cs="仿宋"/>
          <w:spacing w:val="-2"/>
          <w:sz w:val="32"/>
          <w:szCs w:val="32"/>
          <w:lang w:eastAsia="zh-CN"/>
        </w:rPr>
        <w:t>元，占基本支出的</w:t>
      </w:r>
      <w:r>
        <w:rPr>
          <w:rFonts w:hint="eastAsia" w:ascii="仿宋" w:hAnsi="仿宋" w:eastAsia="仿宋" w:cs="仿宋"/>
          <w:color w:val="auto"/>
          <w:spacing w:val="-2"/>
          <w:kern w:val="2"/>
          <w:sz w:val="32"/>
          <w:szCs w:val="32"/>
          <w:lang w:eastAsia="zh-CN"/>
        </w:rPr>
        <w:t>81.52%</w:t>
      </w:r>
      <w:r>
        <w:rPr>
          <w:rFonts w:hint="eastAsia" w:ascii="仿宋" w:hAnsi="仿宋" w:eastAsia="仿宋" w:cs="仿宋"/>
          <w:spacing w:val="-2"/>
          <w:sz w:val="32"/>
          <w:szCs w:val="32"/>
          <w:lang w:eastAsia="zh-CN"/>
        </w:rPr>
        <w:t>，较</w:t>
      </w:r>
      <w:r>
        <w:rPr>
          <w:rFonts w:hint="eastAsia" w:ascii="仿宋" w:hAnsi="仿宋" w:eastAsia="仿宋" w:cs="仿宋"/>
          <w:color w:val="auto"/>
          <w:spacing w:val="-2"/>
          <w:sz w:val="32"/>
          <w:szCs w:val="32"/>
          <w:lang w:eastAsia="zh-CN"/>
        </w:rPr>
        <w:t>上年减少24.38万元，下降22.09%</w:t>
      </w:r>
      <w:r>
        <w:rPr>
          <w:rFonts w:hint="eastAsia" w:ascii="仿宋" w:hAnsi="仿宋" w:eastAsia="仿宋" w:cs="仿宋"/>
          <w:spacing w:val="-2"/>
          <w:sz w:val="32"/>
          <w:szCs w:val="32"/>
          <w:lang w:eastAsia="zh-CN"/>
        </w:rPr>
        <w:t>，主要是</w:t>
      </w:r>
      <w:r>
        <w:rPr>
          <w:rFonts w:hint="eastAsia" w:ascii="仿宋" w:hAnsi="仿宋" w:eastAsia="仿宋" w:cs="仿宋"/>
          <w:color w:val="auto"/>
          <w:spacing w:val="-2"/>
          <w:sz w:val="32"/>
          <w:szCs w:val="32"/>
          <w:lang w:eastAsia="zh-CN"/>
        </w:rPr>
        <w:t>因为工资福利支出和</w:t>
      </w:r>
      <w:r>
        <w:rPr>
          <w:rFonts w:hint="eastAsia" w:ascii="仿宋" w:hAnsi="仿宋" w:eastAsia="仿宋" w:cs="仿宋"/>
          <w:spacing w:val="-2"/>
          <w:sz w:val="32"/>
          <w:szCs w:val="32"/>
          <w:lang w:eastAsia="zh-CN"/>
        </w:rPr>
        <w:t>对个人和家庭补助支出</w:t>
      </w:r>
      <w:r>
        <w:rPr>
          <w:rFonts w:hint="eastAsia" w:ascii="仿宋" w:hAnsi="仿宋" w:eastAsia="仿宋" w:cs="仿宋"/>
          <w:color w:val="auto"/>
          <w:spacing w:val="-2"/>
          <w:sz w:val="32"/>
          <w:szCs w:val="32"/>
          <w:lang w:eastAsia="zh-CN"/>
        </w:rPr>
        <w:t>减少。</w:t>
      </w:r>
    </w:p>
    <w:p w14:paraId="617EACE8">
      <w:pPr>
        <w:shd w:val="clear" w:color="auto" w:fill="FFFFFF"/>
        <w:kinsoku/>
        <w:autoSpaceDE/>
        <w:autoSpaceDN/>
        <w:adjustRightInd/>
        <w:spacing w:line="560" w:lineRule="exact"/>
        <w:ind w:firstLine="640"/>
        <w:textAlignment w:val="auto"/>
        <w:rPr>
          <w:rFonts w:hAnsi="仿宋" w:eastAsia="仿宋"/>
          <w:spacing w:val="-2"/>
          <w:sz w:val="32"/>
          <w:szCs w:val="32"/>
          <w:lang w:eastAsia="zh-CN"/>
        </w:rPr>
      </w:pPr>
      <w:r>
        <w:rPr>
          <w:rFonts w:hint="eastAsia" w:ascii="仿宋" w:hAnsi="仿宋" w:eastAsia="仿宋" w:cs="仿宋"/>
          <w:spacing w:val="-2"/>
          <w:sz w:val="32"/>
          <w:szCs w:val="32"/>
          <w:lang w:eastAsia="zh-CN"/>
        </w:rPr>
        <w:t>①工资福利支出</w:t>
      </w:r>
      <w:r>
        <w:rPr>
          <w:rFonts w:hint="eastAsia" w:ascii="仿宋" w:hAnsi="仿宋" w:eastAsia="仿宋" w:cs="仿宋"/>
          <w:color w:val="auto"/>
          <w:spacing w:val="-2"/>
          <w:kern w:val="2"/>
          <w:sz w:val="32"/>
          <w:szCs w:val="32"/>
          <w:lang w:eastAsia="zh-CN"/>
        </w:rPr>
        <w:t>98.90</w:t>
      </w:r>
      <w:r>
        <w:rPr>
          <w:rFonts w:hint="eastAsia" w:ascii="仿宋" w:hAnsi="仿宋" w:eastAsia="仿宋" w:cs="仿宋"/>
          <w:spacing w:val="-2"/>
          <w:sz w:val="32"/>
          <w:szCs w:val="32"/>
          <w:lang w:eastAsia="zh-CN"/>
        </w:rPr>
        <w:t>万元，主要包括</w:t>
      </w:r>
      <w:r>
        <w:rPr>
          <w:rFonts w:hint="eastAsia" w:ascii="仿宋" w:hAnsi="仿宋" w:eastAsia="仿宋" w:cs="仿宋"/>
          <w:color w:val="auto"/>
          <w:spacing w:val="-2"/>
          <w:sz w:val="32"/>
          <w:szCs w:val="32"/>
          <w:lang w:eastAsia="zh-CN"/>
        </w:rPr>
        <w:t>在职人员</w:t>
      </w:r>
      <w:r>
        <w:rPr>
          <w:rFonts w:hint="eastAsia" w:hAnsi="仿宋" w:eastAsia="仿宋"/>
          <w:color w:val="auto"/>
          <w:spacing w:val="-2"/>
          <w:sz w:val="32"/>
          <w:szCs w:val="32"/>
          <w:lang w:eastAsia="zh-CN"/>
        </w:rPr>
        <w:t>基本工资、津贴补贴、奖金、机关事业单位基本养老保险缴费、职业年金缴费、职工基本医疗保险缴费、其他社会保障缴费、住房公积金</w:t>
      </w:r>
      <w:r>
        <w:rPr>
          <w:rFonts w:hint="eastAsia" w:hAnsi="仿宋" w:eastAsia="仿宋"/>
          <w:spacing w:val="-2"/>
          <w:sz w:val="32"/>
          <w:szCs w:val="32"/>
          <w:lang w:eastAsia="zh-CN"/>
        </w:rPr>
        <w:t>。</w:t>
      </w:r>
      <w:bookmarkStart w:id="0" w:name="_GoBack"/>
      <w:bookmarkEnd w:id="0"/>
    </w:p>
    <w:p w14:paraId="2805058B">
      <w:pPr>
        <w:shd w:val="clear" w:color="auto" w:fill="FFFFFF"/>
        <w:kinsoku/>
        <w:autoSpaceDE/>
        <w:autoSpaceDN/>
        <w:adjustRightInd/>
        <w:spacing w:line="560" w:lineRule="exact"/>
        <w:ind w:firstLine="640"/>
        <w:textAlignment w:val="auto"/>
        <w:rPr>
          <w:rFonts w:ascii="仿宋" w:hAnsi="仿宋" w:eastAsia="仿宋" w:cs="仿宋"/>
          <w:color w:val="0000FF"/>
          <w:spacing w:val="-2"/>
          <w:sz w:val="32"/>
          <w:szCs w:val="32"/>
          <w:lang w:eastAsia="zh-CN"/>
        </w:rPr>
      </w:pPr>
      <w:r>
        <w:rPr>
          <w:rFonts w:hint="eastAsia" w:ascii="仿宋" w:hAnsi="仿宋" w:eastAsia="仿宋" w:cs="仿宋"/>
          <w:color w:val="0000FF"/>
          <w:spacing w:val="-2"/>
          <w:sz w:val="32"/>
          <w:szCs w:val="32"/>
          <w:lang w:eastAsia="zh-CN"/>
        </w:rPr>
        <w:t>②对个人和家庭补助支出</w:t>
      </w:r>
      <w:r>
        <w:rPr>
          <w:rFonts w:hint="eastAsia" w:ascii="仿宋" w:hAnsi="仿宋" w:eastAsia="仿宋" w:cs="仿宋"/>
          <w:color w:val="0000FF"/>
          <w:spacing w:val="-2"/>
          <w:kern w:val="2"/>
          <w:sz w:val="32"/>
          <w:szCs w:val="32"/>
          <w:lang w:eastAsia="zh-CN"/>
        </w:rPr>
        <w:t>35.82</w:t>
      </w:r>
      <w:r>
        <w:rPr>
          <w:rFonts w:hint="eastAsia" w:ascii="仿宋" w:hAnsi="仿宋" w:eastAsia="仿宋" w:cs="仿宋"/>
          <w:color w:val="0000FF"/>
          <w:spacing w:val="-2"/>
          <w:sz w:val="32"/>
          <w:szCs w:val="32"/>
          <w:lang w:eastAsia="zh-CN"/>
        </w:rPr>
        <w:t>万元。主要包括抚恤金、其他对个人和家庭的补助等支出。</w:t>
      </w:r>
    </w:p>
    <w:p w14:paraId="4FE39B0F">
      <w:pPr>
        <w:shd w:val="clear" w:color="auto" w:fill="FFFFFF"/>
        <w:kinsoku/>
        <w:autoSpaceDE/>
        <w:autoSpaceDN/>
        <w:adjustRightInd/>
        <w:spacing w:line="560" w:lineRule="exact"/>
        <w:ind w:firstLine="632" w:firstLineChars="200"/>
        <w:textAlignment w:val="auto"/>
        <w:rPr>
          <w:rFonts w:ascii="仿宋" w:hAnsi="仿宋" w:eastAsia="仿宋" w:cs="仿宋"/>
          <w:color w:val="auto"/>
          <w:spacing w:val="-2"/>
          <w:sz w:val="32"/>
          <w:szCs w:val="32"/>
          <w:highlight w:val="yellow"/>
          <w:lang w:eastAsia="zh-CN"/>
        </w:rPr>
      </w:pPr>
      <w:r>
        <w:rPr>
          <w:rFonts w:hint="eastAsia" w:ascii="仿宋" w:hAnsi="仿宋" w:eastAsia="仿宋" w:cs="仿宋"/>
          <w:color w:val="0000FF"/>
          <w:spacing w:val="-2"/>
          <w:kern w:val="2"/>
          <w:sz w:val="32"/>
          <w:szCs w:val="32"/>
          <w:lang w:eastAsia="zh-CN"/>
        </w:rPr>
        <w:t>（2）</w:t>
      </w:r>
      <w:r>
        <w:rPr>
          <w:rFonts w:hint="eastAsia" w:ascii="仿宋" w:hAnsi="仿宋" w:eastAsia="仿宋" w:cs="仿宋"/>
          <w:color w:val="0000FF"/>
          <w:spacing w:val="-2"/>
          <w:sz w:val="32"/>
          <w:szCs w:val="32"/>
          <w:lang w:eastAsia="zh-CN"/>
        </w:rPr>
        <w:t>日常公用经费30.54万元，占基本支出的18.48</w:t>
      </w:r>
      <w:r>
        <w:rPr>
          <w:rFonts w:hint="eastAsia" w:ascii="仿宋" w:hAnsi="仿宋" w:eastAsia="仿宋" w:cs="仿宋"/>
          <w:color w:val="0000FF"/>
          <w:spacing w:val="-2"/>
          <w:kern w:val="2"/>
          <w:sz w:val="32"/>
          <w:szCs w:val="32"/>
          <w:lang w:eastAsia="zh-CN"/>
        </w:rPr>
        <w:t>%</w:t>
      </w:r>
      <w:r>
        <w:rPr>
          <w:rFonts w:hint="eastAsia" w:ascii="仿宋" w:hAnsi="仿宋" w:eastAsia="仿宋" w:cs="仿宋"/>
          <w:color w:val="0000FF"/>
          <w:spacing w:val="-2"/>
          <w:sz w:val="32"/>
          <w:szCs w:val="32"/>
          <w:lang w:eastAsia="zh-CN"/>
        </w:rPr>
        <w:t>，</w:t>
      </w:r>
      <w:r>
        <w:rPr>
          <w:rFonts w:hint="eastAsia" w:ascii="仿宋" w:hAnsi="仿宋" w:eastAsia="仿宋" w:cs="仿宋"/>
          <w:color w:val="0000FF"/>
          <w:spacing w:val="-2"/>
          <w:kern w:val="2"/>
          <w:sz w:val="32"/>
          <w:szCs w:val="32"/>
          <w:lang w:eastAsia="zh-CN"/>
        </w:rPr>
        <w:t>较上年增加11.38万元，提升59.38%，</w:t>
      </w:r>
      <w:r>
        <w:rPr>
          <w:rFonts w:hint="eastAsia" w:ascii="仿宋" w:hAnsi="仿宋" w:eastAsia="仿宋" w:cs="仿宋"/>
          <w:color w:val="0000FF"/>
          <w:spacing w:val="-2"/>
          <w:sz w:val="32"/>
          <w:szCs w:val="32"/>
          <w:lang w:eastAsia="zh-CN"/>
        </w:rPr>
        <w:t>主要是2023年办公费、培训费、工会经费等增加。</w:t>
      </w:r>
    </w:p>
    <w:p w14:paraId="21FEF8D0">
      <w:pPr>
        <w:shd w:val="clear" w:color="auto" w:fill="FFFFFF"/>
        <w:kinsoku/>
        <w:autoSpaceDE/>
        <w:autoSpaceDN/>
        <w:adjustRightInd/>
        <w:spacing w:line="560" w:lineRule="exact"/>
        <w:ind w:firstLine="632" w:firstLineChars="200"/>
        <w:textAlignment w:val="auto"/>
        <w:rPr>
          <w:lang w:eastAsia="zh-CN"/>
        </w:rPr>
      </w:pPr>
      <w:r>
        <w:rPr>
          <w:rFonts w:hint="eastAsia" w:ascii="仿宋" w:hAnsi="仿宋" w:eastAsia="仿宋" w:cs="仿宋"/>
          <w:spacing w:val="-2"/>
          <w:sz w:val="32"/>
          <w:szCs w:val="32"/>
          <w:lang w:eastAsia="zh-CN"/>
        </w:rPr>
        <w:t>①商品和服务支出30.54万元。主要包括维护日常运行的办公费、印刷费、电费、差旅费、会议费、培训费、公务接待费、工会经费、福利费、其他交通费用、其他商品和服务支出等。</w:t>
      </w:r>
    </w:p>
    <w:p w14:paraId="6923DA3D">
      <w:pPr>
        <w:pStyle w:val="3"/>
        <w:widowControl w:val="0"/>
        <w:kinsoku/>
        <w:overflowPunct w:val="0"/>
        <w:spacing w:line="600" w:lineRule="exact"/>
        <w:ind w:firstLine="632" w:firstLineChars="200"/>
        <w:rPr>
          <w:spacing w:val="-2"/>
          <w:sz w:val="32"/>
          <w:szCs w:val="32"/>
          <w:lang w:eastAsia="zh-CN"/>
        </w:rPr>
      </w:pPr>
      <w:r>
        <w:rPr>
          <w:spacing w:val="-2"/>
          <w:sz w:val="32"/>
          <w:szCs w:val="32"/>
          <w:lang w:eastAsia="zh-CN"/>
        </w:rPr>
        <w:t>2.项目支出情况</w:t>
      </w:r>
    </w:p>
    <w:p w14:paraId="258EE94C">
      <w:pPr>
        <w:shd w:val="clear" w:color="auto" w:fill="FFFFFF"/>
        <w:kinsoku/>
        <w:autoSpaceDE/>
        <w:autoSpaceDN/>
        <w:adjustRightInd/>
        <w:spacing w:line="560" w:lineRule="exact"/>
        <w:ind w:firstLine="632" w:firstLineChars="200"/>
        <w:textAlignment w:val="auto"/>
        <w:rPr>
          <w:rFonts w:ascii="仿宋" w:hAnsi="仿宋" w:eastAsia="仿宋" w:cs="仿宋"/>
          <w:spacing w:val="-2"/>
          <w:sz w:val="32"/>
          <w:szCs w:val="32"/>
          <w:lang w:eastAsia="zh-CN"/>
        </w:rPr>
      </w:pPr>
      <w:r>
        <w:rPr>
          <w:rFonts w:hint="eastAsia" w:ascii="仿宋" w:hAnsi="仿宋" w:eastAsia="仿宋" w:cs="仿宋"/>
          <w:spacing w:val="-2"/>
          <w:sz w:val="32"/>
          <w:szCs w:val="32"/>
          <w:lang w:eastAsia="zh-CN"/>
        </w:rPr>
        <w:t>项目支出系我单位为完成事业发展目标而发生的支出，包括科普工作经费11.80万元，老科协工作经费9.60万元。2023年项目支出21.40万元</w:t>
      </w:r>
      <w:r>
        <w:rPr>
          <w:rFonts w:ascii="仿宋" w:hAnsi="仿宋" w:eastAsia="仿宋" w:cs="仿宋"/>
          <w:spacing w:val="-2"/>
          <w:sz w:val="32"/>
          <w:szCs w:val="32"/>
          <w:lang w:eastAsia="zh-CN"/>
        </w:rPr>
        <w:t>。</w:t>
      </w:r>
      <w:r>
        <w:rPr>
          <w:rFonts w:hint="eastAsia" w:ascii="仿宋" w:hAnsi="仿宋" w:eastAsia="仿宋" w:cs="仿宋"/>
          <w:spacing w:val="-2"/>
          <w:sz w:val="32"/>
          <w:szCs w:val="32"/>
          <w:lang w:eastAsia="zh-CN"/>
        </w:rPr>
        <w:t>2023年项目总支出21.40万元，较上年24.50万元，减少3.10万元，降低12.65%，主要是压减老科协工作经费。</w:t>
      </w:r>
    </w:p>
    <w:p w14:paraId="635849F0">
      <w:pPr>
        <w:widowControl w:val="0"/>
        <w:kinsoku/>
        <w:overflowPunct w:val="0"/>
        <w:spacing w:line="600" w:lineRule="exact"/>
        <w:ind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w:t>
      </w:r>
      <w:r>
        <w:rPr>
          <w:rFonts w:hint="eastAsia" w:ascii="楷体" w:hAnsi="楷体" w:eastAsia="楷体" w:cs="楷体"/>
          <w:spacing w:val="9"/>
          <w:sz w:val="32"/>
          <w:szCs w:val="32"/>
          <w:lang w:eastAsia="zh-CN"/>
        </w:rPr>
        <w:t>三</w:t>
      </w:r>
      <w:r>
        <w:rPr>
          <w:rFonts w:ascii="楷体" w:hAnsi="楷体" w:eastAsia="楷体" w:cs="楷体"/>
          <w:spacing w:val="9"/>
          <w:sz w:val="32"/>
          <w:szCs w:val="32"/>
          <w:lang w:eastAsia="zh-CN"/>
        </w:rPr>
        <w:t>)"三公"经费使用和管理情况</w:t>
      </w:r>
    </w:p>
    <w:p w14:paraId="2D019202">
      <w:pPr>
        <w:pStyle w:val="3"/>
        <w:spacing w:line="600" w:lineRule="exact"/>
        <w:ind w:firstLine="632" w:firstLineChars="200"/>
        <w:rPr>
          <w:rFonts w:cs="Times New Roman"/>
          <w:spacing w:val="-2"/>
          <w:sz w:val="32"/>
          <w:szCs w:val="32"/>
          <w:lang w:eastAsia="zh-CN"/>
        </w:rPr>
      </w:pPr>
      <w:r>
        <w:rPr>
          <w:rFonts w:hint="eastAsia" w:cs="Times New Roman"/>
          <w:spacing w:val="-2"/>
          <w:sz w:val="32"/>
          <w:szCs w:val="32"/>
          <w:lang w:eastAsia="zh-CN"/>
        </w:rPr>
        <w:t xml:space="preserve"> 2023年“三公”经费预算为1.20万元,其中:因公出国(境)费预算0.00万元，公务用车运行维护费0.00万元，公务接待费1.20万元。</w:t>
      </w:r>
    </w:p>
    <w:p w14:paraId="0DFE3649">
      <w:pPr>
        <w:pStyle w:val="4"/>
        <w:spacing w:line="600" w:lineRule="exact"/>
        <w:ind w:left="0" w:leftChars="0" w:firstLine="632" w:firstLineChars="200"/>
        <w:rPr>
          <w:rFonts w:ascii="仿宋" w:hAnsi="仿宋" w:eastAsia="仿宋" w:cs="Times New Roman"/>
          <w:spacing w:val="-2"/>
          <w:sz w:val="32"/>
          <w:szCs w:val="32"/>
          <w:lang w:eastAsia="zh-CN"/>
        </w:rPr>
      </w:pPr>
      <w:r>
        <w:rPr>
          <w:rFonts w:hint="eastAsia" w:ascii="仿宋" w:hAnsi="仿宋" w:eastAsia="仿宋" w:cs="Times New Roman"/>
          <w:spacing w:val="-2"/>
          <w:sz w:val="32"/>
          <w:szCs w:val="32"/>
          <w:lang w:eastAsia="zh-CN"/>
        </w:rPr>
        <w:t>2023年“三公”经费决算为</w:t>
      </w:r>
      <w:r>
        <w:rPr>
          <w:rFonts w:hint="eastAsia" w:cs="Times New Roman"/>
          <w:spacing w:val="-2"/>
          <w:sz w:val="32"/>
          <w:szCs w:val="32"/>
          <w:lang w:eastAsia="zh-CN"/>
        </w:rPr>
        <w:t>0.25</w:t>
      </w:r>
      <w:r>
        <w:rPr>
          <w:rFonts w:hint="eastAsia" w:ascii="仿宋" w:hAnsi="仿宋" w:eastAsia="仿宋" w:cs="Times New Roman"/>
          <w:spacing w:val="-2"/>
          <w:sz w:val="32"/>
          <w:szCs w:val="32"/>
          <w:lang w:eastAsia="zh-CN"/>
        </w:rPr>
        <w:t>万元,其中:因公出国(境)费预算0.00万元，公务用车运行维护费0.00万元，公务接待费0.25万元。</w:t>
      </w:r>
    </w:p>
    <w:p w14:paraId="0DE43D72">
      <w:pPr>
        <w:spacing w:line="600" w:lineRule="exact"/>
        <w:ind w:firstLine="632" w:firstLineChars="200"/>
        <w:rPr>
          <w:rFonts w:ascii="仿宋" w:hAnsi="仿宋" w:eastAsia="仿宋" w:cs="Times New Roman"/>
          <w:spacing w:val="-2"/>
          <w:sz w:val="32"/>
          <w:szCs w:val="32"/>
          <w:lang w:eastAsia="zh-CN"/>
        </w:rPr>
      </w:pPr>
      <w:r>
        <w:rPr>
          <w:rFonts w:hint="eastAsia" w:ascii="仿宋" w:hAnsi="仿宋" w:eastAsia="仿宋" w:cs="Times New Roman"/>
          <w:spacing w:val="-2"/>
          <w:sz w:val="32"/>
          <w:szCs w:val="32"/>
          <w:lang w:eastAsia="zh-CN"/>
        </w:rPr>
        <w:t>决算数小于预算数的主要原因是落实过“紧日子”要求，严格执行开支标准，厉行节约。</w:t>
      </w:r>
    </w:p>
    <w:p w14:paraId="1025CB65">
      <w:pPr>
        <w:widowControl w:val="0"/>
        <w:numPr>
          <w:ilvl w:val="0"/>
          <w:numId w:val="1"/>
        </w:numPr>
        <w:kinsoku/>
        <w:overflowPunct w:val="0"/>
        <w:spacing w:line="600" w:lineRule="exact"/>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p>
    <w:p w14:paraId="60E20EB9">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spacing w:val="-2"/>
          <w:kern w:val="2"/>
          <w:sz w:val="32"/>
          <w:szCs w:val="32"/>
        </w:rPr>
      </w:pPr>
      <w:r>
        <w:rPr>
          <w:rFonts w:ascii="仿宋" w:hAnsi="仿宋" w:eastAsia="仿宋"/>
          <w:spacing w:val="-2"/>
          <w:kern w:val="2"/>
          <w:sz w:val="32"/>
          <w:szCs w:val="32"/>
        </w:rPr>
        <w:t>2023</w:t>
      </w:r>
      <w:r>
        <w:rPr>
          <w:rFonts w:hint="eastAsia" w:ascii="仿宋" w:hAnsi="仿宋" w:eastAsia="仿宋"/>
          <w:spacing w:val="-2"/>
          <w:kern w:val="2"/>
          <w:sz w:val="32"/>
          <w:szCs w:val="32"/>
        </w:rPr>
        <w:t>年，</w:t>
      </w:r>
      <w:r>
        <w:rPr>
          <w:rFonts w:hint="eastAsia" w:eastAsia="仿宋_GB2312"/>
          <w:sz w:val="32"/>
          <w:szCs w:val="32"/>
        </w:rPr>
        <w:t>怀化市鹤城区科学技术协会</w:t>
      </w:r>
      <w:r>
        <w:rPr>
          <w:rFonts w:hint="eastAsia" w:ascii="仿宋" w:hAnsi="仿宋" w:eastAsia="仿宋"/>
          <w:spacing w:val="-2"/>
          <w:kern w:val="2"/>
          <w:sz w:val="32"/>
          <w:szCs w:val="32"/>
        </w:rPr>
        <w:t>无政府性基金预算支出。</w:t>
      </w:r>
    </w:p>
    <w:p w14:paraId="25422B23">
      <w:pPr>
        <w:widowControl w:val="0"/>
        <w:numPr>
          <w:ilvl w:val="0"/>
          <w:numId w:val="1"/>
        </w:numPr>
        <w:kinsoku/>
        <w:overflowPunct w:val="0"/>
        <w:spacing w:line="600" w:lineRule="exact"/>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7944A39B">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spacing w:val="-2"/>
          <w:kern w:val="2"/>
          <w:sz w:val="32"/>
          <w:szCs w:val="32"/>
        </w:rPr>
      </w:pPr>
      <w:r>
        <w:rPr>
          <w:rFonts w:ascii="仿宋" w:hAnsi="仿宋" w:eastAsia="仿宋"/>
          <w:spacing w:val="-2"/>
          <w:kern w:val="2"/>
          <w:sz w:val="32"/>
          <w:szCs w:val="32"/>
        </w:rPr>
        <w:t>2023</w:t>
      </w:r>
      <w:r>
        <w:rPr>
          <w:rFonts w:hint="eastAsia" w:ascii="仿宋" w:hAnsi="仿宋" w:eastAsia="仿宋"/>
          <w:spacing w:val="-2"/>
          <w:kern w:val="2"/>
          <w:sz w:val="32"/>
          <w:szCs w:val="32"/>
        </w:rPr>
        <w:t>年，</w:t>
      </w:r>
      <w:r>
        <w:rPr>
          <w:rFonts w:hint="eastAsia" w:eastAsia="仿宋_GB2312"/>
          <w:sz w:val="32"/>
          <w:szCs w:val="32"/>
        </w:rPr>
        <w:t>怀化市鹤城区科学技术协会</w:t>
      </w:r>
      <w:r>
        <w:rPr>
          <w:rFonts w:hint="eastAsia" w:ascii="仿宋" w:hAnsi="仿宋" w:eastAsia="仿宋"/>
          <w:spacing w:val="-2"/>
          <w:kern w:val="2"/>
          <w:sz w:val="32"/>
          <w:szCs w:val="32"/>
        </w:rPr>
        <w:t>无国有资本经营预算支出。</w:t>
      </w:r>
    </w:p>
    <w:p w14:paraId="512AD10B">
      <w:pPr>
        <w:widowControl w:val="0"/>
        <w:numPr>
          <w:ilvl w:val="0"/>
          <w:numId w:val="1"/>
        </w:numPr>
        <w:kinsoku/>
        <w:overflowPunct w:val="0"/>
        <w:spacing w:line="600" w:lineRule="exact"/>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529AB3B1">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spacing w:val="-2"/>
          <w:kern w:val="2"/>
          <w:sz w:val="32"/>
          <w:szCs w:val="32"/>
        </w:rPr>
      </w:pPr>
      <w:r>
        <w:rPr>
          <w:rFonts w:ascii="仿宋" w:hAnsi="仿宋" w:eastAsia="仿宋"/>
          <w:spacing w:val="-2"/>
          <w:kern w:val="2"/>
          <w:sz w:val="32"/>
          <w:szCs w:val="32"/>
        </w:rPr>
        <w:t>2023</w:t>
      </w:r>
      <w:r>
        <w:rPr>
          <w:rFonts w:hint="eastAsia" w:ascii="仿宋" w:hAnsi="仿宋" w:eastAsia="仿宋"/>
          <w:spacing w:val="-2"/>
          <w:kern w:val="2"/>
          <w:sz w:val="32"/>
          <w:szCs w:val="32"/>
        </w:rPr>
        <w:t>年，</w:t>
      </w:r>
      <w:r>
        <w:rPr>
          <w:rFonts w:hint="eastAsia" w:eastAsia="仿宋_GB2312"/>
          <w:sz w:val="32"/>
          <w:szCs w:val="32"/>
        </w:rPr>
        <w:t>怀化市鹤城区科学技术协会</w:t>
      </w:r>
      <w:r>
        <w:rPr>
          <w:rFonts w:hint="eastAsia" w:ascii="仿宋" w:hAnsi="仿宋" w:eastAsia="仿宋"/>
          <w:spacing w:val="-2"/>
          <w:kern w:val="2"/>
          <w:sz w:val="32"/>
          <w:szCs w:val="32"/>
        </w:rPr>
        <w:t>无社会保险基金预算支出。</w:t>
      </w:r>
    </w:p>
    <w:p w14:paraId="7C0DB742">
      <w:pPr>
        <w:widowControl w:val="0"/>
        <w:kinsoku/>
        <w:overflowPunct w:val="0"/>
        <w:spacing w:line="600" w:lineRule="exact"/>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74B68FA0">
      <w:pPr>
        <w:pStyle w:val="3"/>
        <w:widowControl w:val="0"/>
        <w:kinsoku/>
        <w:overflowPunct w:val="0"/>
        <w:spacing w:line="600" w:lineRule="exact"/>
        <w:ind w:firstLine="620" w:firstLineChars="200"/>
        <w:rPr>
          <w:spacing w:val="-5"/>
          <w:sz w:val="32"/>
          <w:szCs w:val="32"/>
          <w:lang w:eastAsia="zh-CN"/>
        </w:rPr>
      </w:pPr>
      <w:r>
        <w:rPr>
          <w:rFonts w:ascii="楷体" w:hAnsi="楷体" w:eastAsia="楷体" w:cs="楷体"/>
          <w:spacing w:val="-5"/>
          <w:sz w:val="32"/>
          <w:szCs w:val="32"/>
          <w:lang w:eastAsia="zh-CN"/>
        </w:rPr>
        <w:t>(一)综合评价结论。</w:t>
      </w:r>
    </w:p>
    <w:p w14:paraId="0C405FD4">
      <w:pPr>
        <w:pStyle w:val="8"/>
        <w:shd w:val="clear" w:color="auto" w:fill="FFFFFF"/>
        <w:kinsoku/>
        <w:autoSpaceDE/>
        <w:autoSpaceDN/>
        <w:adjustRightInd/>
        <w:spacing w:beforeAutospacing="0" w:afterAutospacing="0" w:line="560" w:lineRule="exact"/>
        <w:ind w:firstLine="632" w:firstLineChars="200"/>
        <w:textAlignment w:val="auto"/>
      </w:pPr>
      <w:r>
        <w:rPr>
          <w:rFonts w:ascii="仿宋" w:hAnsi="仿宋" w:eastAsia="仿宋"/>
          <w:spacing w:val="-2"/>
          <w:kern w:val="2"/>
          <w:sz w:val="32"/>
          <w:szCs w:val="32"/>
        </w:rPr>
        <w:t>根据本次自评情况，</w:t>
      </w:r>
      <w:r>
        <w:rPr>
          <w:rFonts w:hint="eastAsia" w:ascii="仿宋" w:hAnsi="仿宋" w:eastAsia="仿宋"/>
          <w:spacing w:val="-2"/>
          <w:kern w:val="2"/>
          <w:sz w:val="32"/>
          <w:szCs w:val="32"/>
        </w:rPr>
        <w:t>本单位</w:t>
      </w:r>
      <w:r>
        <w:rPr>
          <w:rFonts w:ascii="仿宋" w:hAnsi="仿宋" w:eastAsia="仿宋"/>
          <w:spacing w:val="-2"/>
          <w:kern w:val="2"/>
          <w:sz w:val="32"/>
          <w:szCs w:val="32"/>
        </w:rPr>
        <w:t>整体支出绩效评价得分</w:t>
      </w:r>
      <w:r>
        <w:rPr>
          <w:rFonts w:ascii="仿宋" w:hAnsi="仿宋" w:eastAsia="仿宋"/>
          <w:color w:val="auto"/>
          <w:spacing w:val="-2"/>
          <w:kern w:val="2"/>
          <w:sz w:val="32"/>
          <w:szCs w:val="32"/>
        </w:rPr>
        <w:t>为</w:t>
      </w:r>
      <w:r>
        <w:rPr>
          <w:rFonts w:hint="eastAsia" w:ascii="仿宋" w:hAnsi="仿宋" w:eastAsia="仿宋"/>
          <w:color w:val="auto"/>
          <w:spacing w:val="-2"/>
          <w:kern w:val="2"/>
          <w:sz w:val="32"/>
          <w:szCs w:val="32"/>
        </w:rPr>
        <w:t>97</w:t>
      </w:r>
      <w:r>
        <w:rPr>
          <w:rFonts w:ascii="仿宋" w:hAnsi="仿宋" w:eastAsia="仿宋"/>
          <w:color w:val="auto"/>
          <w:spacing w:val="-2"/>
          <w:kern w:val="2"/>
          <w:sz w:val="32"/>
          <w:szCs w:val="32"/>
        </w:rPr>
        <w:t>分，</w:t>
      </w:r>
      <w:r>
        <w:rPr>
          <w:rFonts w:ascii="仿宋" w:hAnsi="仿宋" w:eastAsia="仿宋"/>
          <w:spacing w:val="-2"/>
          <w:kern w:val="2"/>
          <w:sz w:val="32"/>
          <w:szCs w:val="32"/>
        </w:rPr>
        <w:t>自评等级为优。</w:t>
      </w:r>
    </w:p>
    <w:p w14:paraId="2B2ADE25">
      <w:pPr>
        <w:pStyle w:val="3"/>
        <w:widowControl w:val="0"/>
        <w:numPr>
          <w:ilvl w:val="0"/>
          <w:numId w:val="2"/>
        </w:numPr>
        <w:kinsoku/>
        <w:overflowPunct w:val="0"/>
        <w:spacing w:line="600" w:lineRule="exact"/>
        <w:ind w:firstLine="676" w:firstLineChars="200"/>
        <w:jc w:val="both"/>
        <w:rPr>
          <w:rFonts w:ascii="楷体" w:hAnsi="楷体" w:eastAsia="楷体" w:cs="楷体"/>
          <w:spacing w:val="9"/>
          <w:sz w:val="32"/>
          <w:szCs w:val="32"/>
          <w:lang w:eastAsia="zh-CN"/>
        </w:rPr>
      </w:pPr>
      <w:r>
        <w:rPr>
          <w:rFonts w:ascii="楷体" w:hAnsi="楷体" w:eastAsia="楷体" w:cs="楷体"/>
          <w:spacing w:val="9"/>
          <w:sz w:val="32"/>
          <w:szCs w:val="32"/>
          <w:lang w:eastAsia="zh-CN"/>
        </w:rPr>
        <w:t>评价指标分析(或综合评价情况)。</w:t>
      </w:r>
    </w:p>
    <w:p w14:paraId="4955411E">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hint="eastAsia" w:ascii="仿宋" w:hAnsi="仿宋" w:eastAsia="仿宋" w:cs="仿宋"/>
          <w:spacing w:val="-2"/>
          <w:sz w:val="32"/>
          <w:szCs w:val="32"/>
        </w:rPr>
        <w:t>绩效目标设定方面：本单位严格按照绩效目标制定的相关规定，</w:t>
      </w:r>
      <w:r>
        <w:rPr>
          <w:rFonts w:ascii="仿宋" w:hAnsi="仿宋" w:eastAsia="仿宋" w:cs="仿宋"/>
          <w:spacing w:val="-2"/>
          <w:sz w:val="32"/>
          <w:szCs w:val="32"/>
        </w:rPr>
        <w:t>围绕部门职责、行业发展规划</w:t>
      </w:r>
      <w:r>
        <w:rPr>
          <w:rFonts w:hint="eastAsia" w:ascii="仿宋" w:hAnsi="仿宋" w:eastAsia="仿宋" w:cs="仿宋"/>
          <w:spacing w:val="-2"/>
          <w:sz w:val="32"/>
          <w:szCs w:val="32"/>
        </w:rPr>
        <w:t>，完整、合理地制定整体绩效目标，绩效指标基本做到细化量化。</w:t>
      </w:r>
    </w:p>
    <w:p w14:paraId="2810C01F">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highlight w:val="yellow"/>
        </w:rPr>
      </w:pPr>
      <w:r>
        <w:rPr>
          <w:rFonts w:hint="eastAsia" w:ascii="仿宋" w:hAnsi="仿宋" w:eastAsia="仿宋" w:cs="仿宋"/>
          <w:spacing w:val="-2"/>
          <w:sz w:val="32"/>
          <w:szCs w:val="32"/>
        </w:rPr>
        <w:t>预算配置方面：本单位年度预算与履职目标衔接紧密，预算编制依据充分、数据详实、结构优化、细化可执行。基本支出保障单位正常运转，行使单位职能，完成日常工作。及时对人员、资产等信息进行动态更新工作，确保基础信息数据的及时性、准确性和完整性，确保基本支出预算无缺口。</w:t>
      </w:r>
    </w:p>
    <w:p w14:paraId="6EDA16F6">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highlight w:val="yellow"/>
        </w:rPr>
      </w:pPr>
      <w:r>
        <w:rPr>
          <w:rFonts w:ascii="仿宋" w:hAnsi="仿宋" w:eastAsia="仿宋" w:cs="仿宋"/>
          <w:spacing w:val="-2"/>
          <w:sz w:val="32"/>
          <w:szCs w:val="32"/>
        </w:rPr>
        <w:t>预算执行</w:t>
      </w:r>
      <w:r>
        <w:rPr>
          <w:rFonts w:hint="eastAsia" w:ascii="仿宋" w:hAnsi="仿宋" w:eastAsia="仿宋" w:cs="仿宋"/>
          <w:spacing w:val="-2"/>
          <w:sz w:val="32"/>
          <w:szCs w:val="32"/>
        </w:rPr>
        <w:t>方面：严格执行批复的各项支出预算，不擅自扩大支出范围、提高开支标准，严格按照预算批复的支出用途使用资金。采取有效措施，加快预算执行进度，全年预算执行率达到100%。</w:t>
      </w:r>
    </w:p>
    <w:p w14:paraId="287F21D8">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ascii="仿宋" w:hAnsi="仿宋" w:eastAsia="仿宋" w:cs="仿宋"/>
          <w:spacing w:val="-2"/>
          <w:sz w:val="32"/>
          <w:szCs w:val="32"/>
        </w:rPr>
        <w:t>预算管理</w:t>
      </w:r>
      <w:r>
        <w:rPr>
          <w:rFonts w:hint="eastAsia" w:ascii="仿宋" w:hAnsi="仿宋" w:eastAsia="仿宋" w:cs="仿宋"/>
          <w:spacing w:val="-2"/>
          <w:sz w:val="32"/>
          <w:szCs w:val="32"/>
        </w:rPr>
        <w:t>方面：本单位按照预算法要求进行“一上”申报，在“一下”的基础上进行修改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科室进行反馈，以采取措施纠正执行偏差，促进预算目标的全面完成。</w:t>
      </w:r>
    </w:p>
    <w:p w14:paraId="4B1B77E5">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highlight w:val="yellow"/>
        </w:rPr>
      </w:pPr>
      <w:r>
        <w:rPr>
          <w:rFonts w:ascii="仿宋" w:hAnsi="仿宋" w:eastAsia="仿宋" w:cs="仿宋"/>
          <w:spacing w:val="-2"/>
          <w:sz w:val="32"/>
          <w:szCs w:val="32"/>
        </w:rPr>
        <w:t>资产管理</w:t>
      </w:r>
      <w:r>
        <w:rPr>
          <w:rFonts w:hint="eastAsia" w:ascii="仿宋" w:hAnsi="仿宋" w:eastAsia="仿宋" w:cs="仿宋"/>
          <w:spacing w:val="-2"/>
          <w:sz w:val="32"/>
          <w:szCs w:val="32"/>
        </w:rPr>
        <w:t>方面：本单位严格执行资产配置、使用、处置管理办法，做到购置有预算，实物有专人管理，处置按流程，定期盘点清理资产，掌握固定资产的使用情况，确保设备完好提高利用率。资产账务管理合规、账实相符、处置规范。</w:t>
      </w:r>
    </w:p>
    <w:p w14:paraId="69D30990">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ascii="仿宋" w:hAnsi="仿宋" w:eastAsia="仿宋" w:cs="仿宋"/>
          <w:spacing w:val="-2"/>
          <w:sz w:val="32"/>
          <w:szCs w:val="32"/>
        </w:rPr>
        <w:t>职责履行</w:t>
      </w:r>
      <w:r>
        <w:rPr>
          <w:rFonts w:hint="eastAsia" w:ascii="仿宋" w:hAnsi="仿宋" w:eastAsia="仿宋" w:cs="仿宋"/>
          <w:spacing w:val="-2"/>
          <w:sz w:val="32"/>
          <w:szCs w:val="32"/>
        </w:rPr>
        <w:t>方面：本单位2023年严格落实各项工作，按照市局下达的任务及本单位的目标任务，积极推进了各项工作平稳、有序的开展。</w:t>
      </w:r>
    </w:p>
    <w:p w14:paraId="31F7C9C8">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hint="eastAsia" w:ascii="仿宋" w:hAnsi="仿宋" w:eastAsia="仿宋" w:cs="仿宋"/>
          <w:spacing w:val="-2"/>
          <w:sz w:val="32"/>
          <w:szCs w:val="32"/>
        </w:rPr>
        <w:t>2.目标完成情况及</w:t>
      </w:r>
      <w:r>
        <w:rPr>
          <w:rFonts w:ascii="仿宋" w:hAnsi="仿宋" w:eastAsia="仿宋" w:cs="仿宋"/>
          <w:spacing w:val="-2"/>
          <w:sz w:val="32"/>
          <w:szCs w:val="32"/>
        </w:rPr>
        <w:t>指标分析</w:t>
      </w:r>
    </w:p>
    <w:p w14:paraId="467C754E">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highlight w:val="yellow"/>
        </w:rPr>
      </w:pPr>
      <w:r>
        <w:rPr>
          <w:rFonts w:hint="eastAsia" w:ascii="仿宋" w:hAnsi="仿宋" w:eastAsia="仿宋" w:cs="仿宋"/>
          <w:spacing w:val="-2"/>
          <w:sz w:val="32"/>
          <w:szCs w:val="32"/>
        </w:rPr>
        <w:t>本单位</w:t>
      </w:r>
      <w:r>
        <w:rPr>
          <w:rFonts w:hint="eastAsia" w:ascii="仿宋" w:hAnsi="仿宋" w:eastAsia="仿宋" w:cs="仿宋"/>
          <w:color w:val="auto"/>
          <w:spacing w:val="-2"/>
          <w:sz w:val="32"/>
          <w:szCs w:val="32"/>
        </w:rPr>
        <w:t>2023</w:t>
      </w:r>
      <w:r>
        <w:rPr>
          <w:rFonts w:hint="eastAsia" w:ascii="仿宋" w:hAnsi="仿宋" w:eastAsia="仿宋" w:cs="仿宋"/>
          <w:spacing w:val="-2"/>
          <w:sz w:val="32"/>
          <w:szCs w:val="32"/>
        </w:rPr>
        <w:t>年一般公共预算资金总体目标完成较好，维护单位工作正常运行，带动其他各项工作的开展，</w:t>
      </w:r>
      <w:r>
        <w:rPr>
          <w:rFonts w:hint="eastAsia" w:ascii="仿宋" w:hAnsi="仿宋" w:eastAsia="仿宋" w:cs="仿宋"/>
          <w:sz w:val="32"/>
          <w:szCs w:val="32"/>
        </w:rPr>
        <w:t>认真抓好学习贯彻党的二十大精神专题研讨班培训工作和主题教育活动，坚决贯彻落实区委区政府的工作部署，教育引导党员、干部在以学铸魂、以学增智、以学正风、以学促干上下功夫见实效。</w:t>
      </w:r>
    </w:p>
    <w:p w14:paraId="5BDB3E6F">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hint="eastAsia" w:ascii="仿宋" w:hAnsi="仿宋" w:eastAsia="仿宋" w:cs="仿宋"/>
          <w:spacing w:val="-2"/>
          <w:sz w:val="32"/>
          <w:szCs w:val="32"/>
        </w:rPr>
        <w:t>（1）产出指标分析</w:t>
      </w:r>
    </w:p>
    <w:p w14:paraId="3ED53064">
      <w:pPr>
        <w:widowControl w:val="0"/>
        <w:kinsoku/>
        <w:autoSpaceDE/>
        <w:autoSpaceDN/>
        <w:adjustRightInd/>
        <w:snapToGrid/>
        <w:spacing w:line="580" w:lineRule="exact"/>
        <w:ind w:firstLine="640" w:firstLineChars="200"/>
        <w:textAlignment w:val="auto"/>
        <w:rPr>
          <w:rFonts w:ascii="仿宋" w:hAnsi="仿宋" w:eastAsia="仿宋" w:cs="仿宋"/>
          <w:sz w:val="32"/>
          <w:szCs w:val="32"/>
          <w:lang w:eastAsia="zh-CN"/>
        </w:rPr>
      </w:pPr>
      <w:r>
        <w:rPr>
          <w:rFonts w:hint="eastAsia" w:ascii="楷体" w:hAnsi="楷体" w:eastAsia="楷体" w:cs="楷体"/>
          <w:kern w:val="2"/>
          <w:sz w:val="32"/>
          <w:szCs w:val="40"/>
          <w:lang w:eastAsia="zh-CN"/>
        </w:rPr>
        <w:t>加大科普工作力度，提升全民科学素质。</w:t>
      </w:r>
      <w:r>
        <w:rPr>
          <w:rFonts w:hint="eastAsia" w:ascii="仿宋" w:hAnsi="仿宋" w:eastAsia="仿宋" w:cs="仿宋"/>
          <w:kern w:val="2"/>
          <w:sz w:val="32"/>
          <w:szCs w:val="32"/>
          <w:lang w:eastAsia="zh-CN"/>
        </w:rPr>
        <w:t>一是</w:t>
      </w:r>
      <w:r>
        <w:rPr>
          <w:rFonts w:hint="eastAsia" w:ascii="仿宋" w:hAnsi="仿宋" w:eastAsia="仿宋" w:cs="仿宋"/>
          <w:sz w:val="32"/>
          <w:szCs w:val="32"/>
          <w:lang w:eastAsia="zh-CN"/>
        </w:rPr>
        <w:t>认真贯彻落实《全民科学素质行动规划纲要（2021-2035年）》，开展新时代文明实践中心志愿服务活动，组织开展科技志愿服务活动项目9个，举行活动10次。积极组织开展“鹤城区第二届机器人大赛”、“科技三下乡”、“2023年科技活动周”、“全国科普日”和“百万院士进校园 万名科技工作者上讲台”等主题科普宣传活动，发放科普资料5万余份。</w:t>
      </w:r>
      <w:r>
        <w:rPr>
          <w:rFonts w:hint="eastAsia" w:ascii="仿宋" w:hAnsi="仿宋" w:eastAsia="仿宋" w:cs="仿宋"/>
          <w:kern w:val="2"/>
          <w:sz w:val="32"/>
          <w:szCs w:val="32"/>
          <w:lang w:eastAsia="zh-CN"/>
        </w:rPr>
        <w:t>二是</w:t>
      </w:r>
      <w:r>
        <w:rPr>
          <w:rFonts w:hint="eastAsia" w:ascii="仿宋" w:hAnsi="仿宋" w:eastAsia="仿宋" w:cs="仿宋"/>
          <w:sz w:val="32"/>
          <w:szCs w:val="32"/>
          <w:lang w:eastAsia="zh-CN"/>
        </w:rPr>
        <w:t>积极参加怀化市第一届农民科学素质大赛、第44届湖南省青少年科技创新大赛、“怀化市第三届机器人大赛”等活动，荣获80余项奖项。全区参加网络竞赛5万多人次，“科普中国”，传播量130万余次。三是利用科普资源助推“双减”工作。通过组织鹤城区各中小学参加第44届湖南省青少年科技创新大赛、“从小爱科学”系列活动，在怀化市集贤学校开展“全国科普日-校园科普周”等活动以及指导设计课后科普活动等方式推动“双减工作”全面落地落实。四是我们积极推荐城中街道三角坪社区向湖南省科协争取到2023年度国家“基层科普行动计划”的项目。</w:t>
      </w:r>
    </w:p>
    <w:p w14:paraId="100072AC">
      <w:pPr>
        <w:widowControl w:val="0"/>
        <w:kinsoku/>
        <w:autoSpaceDE/>
        <w:autoSpaceDN/>
        <w:adjustRightInd/>
        <w:snapToGrid/>
        <w:spacing w:line="580" w:lineRule="exact"/>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实施助力工程，推动乡村振兴。一是围绕我区农村特色产业（黄精、中蜂、蔬菜）发展，充分依托科技专家服务团，主动对接职责，为我区湖南特昌生态农业、振鑫牧业、九丰农博园等农村特色产业做大做强，提供高层次的优质科技服务。二是联合市科协、区科技局等开展各种技术培训。三是帮助凉亭坳乡曹家坡村开展乡村振兴工作，科协全体干部职工共联系14户农户。</w:t>
      </w:r>
    </w:p>
    <w:p w14:paraId="07CDF04B">
      <w:pPr>
        <w:widowControl w:val="0"/>
        <w:kinsoku/>
        <w:autoSpaceDE/>
        <w:autoSpaceDN/>
        <w:adjustRightInd/>
        <w:snapToGrid/>
        <w:spacing w:line="580" w:lineRule="exact"/>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认真实施“一迎三创”工作。一是加强组织领导。由区科协主要领导亲自抓，任领导小组组长。二是加强宣传引领。在区科协办公场地拉宣传横幅，号召各科普示范基地广泛宣传“一迎三创”工作。三是认真落实交通劝导工作。区科协全体干部职工按照排班表认真开展交通劝导工作。四是组织开展创文集中帮扶月活动。区科协于每周五在本单位的责任区域内的进行环境卫生大清扫活动。联合巡察办对责任区的墙面进行美化亮化，改善居民购物环境。</w:t>
      </w:r>
    </w:p>
    <w:p w14:paraId="3659AAE8">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hint="eastAsia" w:ascii="仿宋" w:hAnsi="仿宋" w:eastAsia="仿宋" w:cs="仿宋"/>
          <w:spacing w:val="-2"/>
          <w:sz w:val="32"/>
          <w:szCs w:val="32"/>
        </w:rPr>
        <w:t>（2）效益指标分析</w:t>
      </w:r>
    </w:p>
    <w:p w14:paraId="5498D73B">
      <w:pPr>
        <w:widowControl w:val="0"/>
        <w:kinsoku/>
        <w:autoSpaceDE/>
        <w:autoSpaceDN/>
        <w:adjustRightInd/>
        <w:snapToGrid/>
        <w:spacing w:line="580" w:lineRule="exact"/>
        <w:ind w:firstLine="632" w:firstLineChars="200"/>
        <w:textAlignment w:val="auto"/>
        <w:rPr>
          <w:rFonts w:ascii="仿宋" w:hAnsi="仿宋" w:eastAsia="仿宋" w:cs="仿宋"/>
          <w:spacing w:val="-2"/>
          <w:sz w:val="32"/>
          <w:szCs w:val="32"/>
          <w:lang w:eastAsia="zh-CN"/>
        </w:rPr>
      </w:pPr>
      <w:r>
        <w:rPr>
          <w:rFonts w:hint="eastAsia" w:ascii="仿宋" w:hAnsi="仿宋" w:eastAsia="仿宋" w:cs="仿宋"/>
          <w:spacing w:val="-2"/>
          <w:sz w:val="32"/>
          <w:szCs w:val="32"/>
          <w:lang w:eastAsia="zh-CN"/>
        </w:rPr>
        <w:t>进一步加强了本单位相关工作的有效管理，</w:t>
      </w:r>
      <w:r>
        <w:rPr>
          <w:rFonts w:hint="eastAsia" w:ascii="仿宋" w:hAnsi="仿宋" w:eastAsia="仿宋" w:cs="仿宋"/>
          <w:sz w:val="32"/>
          <w:szCs w:val="32"/>
          <w:lang w:eastAsia="zh-CN"/>
        </w:rPr>
        <w:t>提升了科协组织服务能力和水平，更好的贯彻落实区委区政府“三高四新”战略定位和使命任务，主动扛起“五新四城”战略主城区责任担当，按照区委“聚焦‘一个目标’、贯穿‘两条主线’、实施‘六大行动’”发展思路，全力推动高水平开放高质量发展，奋力在“抢抓历史机遇、奋起二次创业”中走在前列、干出精彩，为全面建设社会主义现代化新鹤城而贡献科协力量。</w:t>
      </w:r>
    </w:p>
    <w:p w14:paraId="5FA7C608">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spacing w:val="-2"/>
          <w:sz w:val="32"/>
          <w:szCs w:val="32"/>
        </w:rPr>
      </w:pPr>
      <w:r>
        <w:rPr>
          <w:rFonts w:hint="eastAsia" w:ascii="仿宋" w:hAnsi="仿宋" w:eastAsia="仿宋" w:cs="仿宋"/>
          <w:spacing w:val="-2"/>
          <w:sz w:val="32"/>
          <w:szCs w:val="32"/>
        </w:rPr>
        <w:t>（3）满意度指标分析</w:t>
      </w:r>
    </w:p>
    <w:p w14:paraId="0594B7E2">
      <w:pPr>
        <w:widowControl w:val="0"/>
        <w:kinsoku/>
        <w:autoSpaceDE/>
        <w:autoSpaceDN/>
        <w:adjustRightInd/>
        <w:spacing w:line="560" w:lineRule="exact"/>
        <w:ind w:firstLine="640" w:firstLineChars="200"/>
        <w:textAlignment w:val="auto"/>
        <w:rPr>
          <w:lang w:eastAsia="zh-CN"/>
        </w:rPr>
      </w:pPr>
      <w:r>
        <w:rPr>
          <w:rFonts w:hint="eastAsia" w:ascii="仿宋" w:hAnsi="仿宋" w:eastAsia="仿宋" w:cstheme="minorBidi"/>
          <w:kern w:val="2"/>
          <w:sz w:val="32"/>
          <w:szCs w:val="32"/>
          <w:lang w:eastAsia="zh-CN"/>
        </w:rPr>
        <w:t>满意度指标：服务对象满意度95%以上。</w:t>
      </w:r>
    </w:p>
    <w:p w14:paraId="1E071233">
      <w:pPr>
        <w:widowControl w:val="0"/>
        <w:kinsoku/>
        <w:overflowPunct w:val="0"/>
        <w:spacing w:line="600" w:lineRule="exact"/>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313F577B">
      <w:pPr>
        <w:pStyle w:val="8"/>
        <w:shd w:val="clear" w:color="auto" w:fill="FFFFFF"/>
        <w:kinsoku/>
        <w:autoSpaceDE/>
        <w:autoSpaceDN/>
        <w:adjustRightInd/>
        <w:spacing w:beforeAutospacing="0" w:afterAutospacing="0" w:line="560" w:lineRule="exact"/>
        <w:ind w:firstLine="632" w:firstLineChars="200"/>
        <w:textAlignment w:val="auto"/>
        <w:rPr>
          <w:rFonts w:ascii="黑体" w:hAnsi="黑体" w:eastAsia="黑体" w:cs="黑体"/>
          <w:color w:val="auto"/>
          <w:sz w:val="32"/>
          <w:szCs w:val="32"/>
          <w:shd w:val="clear" w:color="auto" w:fill="FFFFFF"/>
        </w:rPr>
      </w:pPr>
      <w:r>
        <w:rPr>
          <w:rFonts w:hint="eastAsia" w:ascii="仿宋" w:hAnsi="仿宋" w:eastAsia="仿宋" w:cs="仿宋"/>
          <w:color w:val="auto"/>
          <w:spacing w:val="-2"/>
          <w:sz w:val="32"/>
          <w:szCs w:val="32"/>
        </w:rPr>
        <w:t>项目经费预决算有差异，主要原因是结合本单位2023年度实际工作情况，故追加预算。</w:t>
      </w:r>
    </w:p>
    <w:p w14:paraId="05C429AB">
      <w:pPr>
        <w:widowControl w:val="0"/>
        <w:numPr>
          <w:ilvl w:val="0"/>
          <w:numId w:val="1"/>
        </w:numPr>
        <w:kinsoku/>
        <w:overflowPunct w:val="0"/>
        <w:spacing w:line="600" w:lineRule="exact"/>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下一步改进措施</w:t>
      </w:r>
    </w:p>
    <w:p w14:paraId="7B94CCE2">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color w:val="auto"/>
          <w:spacing w:val="-2"/>
          <w:sz w:val="32"/>
          <w:szCs w:val="32"/>
        </w:rPr>
      </w:pPr>
      <w:r>
        <w:rPr>
          <w:rFonts w:hint="eastAsia" w:ascii="仿宋" w:hAnsi="仿宋" w:eastAsia="仿宋" w:cs="仿宋"/>
          <w:color w:val="auto"/>
          <w:spacing w:val="-2"/>
          <w:sz w:val="32"/>
          <w:szCs w:val="32"/>
        </w:rPr>
        <w:t>加强预算编制。确定编制标准，统一预决算口径，增强预算编制的科学性。</w:t>
      </w:r>
    </w:p>
    <w:p w14:paraId="2055E84C">
      <w:pPr>
        <w:widowControl w:val="0"/>
        <w:numPr>
          <w:ilvl w:val="0"/>
          <w:numId w:val="1"/>
        </w:numPr>
        <w:kinsoku/>
        <w:overflowPunct w:val="0"/>
        <w:spacing w:line="600" w:lineRule="exact"/>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九、其他需要说明的情况</w:t>
      </w:r>
    </w:p>
    <w:p w14:paraId="5D4BFC68">
      <w:pPr>
        <w:pStyle w:val="8"/>
        <w:shd w:val="clear" w:color="auto" w:fill="FFFFFF"/>
        <w:kinsoku/>
        <w:autoSpaceDE/>
        <w:autoSpaceDN/>
        <w:adjustRightInd/>
        <w:spacing w:beforeAutospacing="0" w:afterAutospacing="0" w:line="560" w:lineRule="exact"/>
        <w:ind w:firstLine="632" w:firstLineChars="200"/>
        <w:textAlignment w:val="auto"/>
        <w:rPr>
          <w:rFonts w:ascii="仿宋" w:hAnsi="仿宋" w:eastAsia="仿宋" w:cs="仿宋"/>
          <w:color w:val="auto"/>
          <w:spacing w:val="-2"/>
          <w:sz w:val="32"/>
          <w:szCs w:val="32"/>
        </w:rPr>
      </w:pPr>
      <w:r>
        <w:rPr>
          <w:rFonts w:hint="eastAsia" w:ascii="仿宋" w:hAnsi="仿宋" w:eastAsia="仿宋" w:cs="仿宋"/>
          <w:color w:val="auto"/>
          <w:spacing w:val="-2"/>
          <w:sz w:val="32"/>
          <w:szCs w:val="32"/>
        </w:rPr>
        <w:t>无其他需要说明的情况。</w:t>
      </w:r>
    </w:p>
    <w:p w14:paraId="0E710561">
      <w:pPr>
        <w:widowControl w:val="0"/>
        <w:kinsoku/>
        <w:overflowPunct w:val="0"/>
        <w:spacing w:line="600" w:lineRule="exact"/>
        <w:ind w:firstLine="640" w:firstLineChars="200"/>
        <w:rPr>
          <w:sz w:val="32"/>
          <w:szCs w:val="32"/>
          <w:lang w:eastAsia="zh-CN"/>
        </w:rPr>
      </w:pPr>
    </w:p>
    <w:p w14:paraId="6EDE659E">
      <w:pPr>
        <w:widowControl w:val="0"/>
        <w:kinsoku/>
        <w:overflowPunct w:val="0"/>
        <w:spacing w:line="600" w:lineRule="exact"/>
        <w:ind w:firstLine="640" w:firstLineChars="200"/>
        <w:rPr>
          <w:sz w:val="32"/>
          <w:szCs w:val="32"/>
          <w:lang w:eastAsia="zh-CN"/>
        </w:rPr>
      </w:pPr>
    </w:p>
    <w:p w14:paraId="737A5D3A">
      <w:pPr>
        <w:widowControl w:val="0"/>
        <w:kinsoku/>
        <w:overflowPunct w:val="0"/>
        <w:spacing w:line="600" w:lineRule="exact"/>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11448839">
      <w:pPr>
        <w:pStyle w:val="3"/>
        <w:spacing w:before="75" w:line="222" w:lineRule="auto"/>
        <w:rPr>
          <w:sz w:val="24"/>
          <w:szCs w:val="24"/>
          <w:lang w:eastAsia="zh-CN"/>
        </w:rPr>
      </w:pPr>
      <w:r>
        <w:rPr>
          <w:spacing w:val="15"/>
          <w:sz w:val="24"/>
          <w:szCs w:val="24"/>
          <w:lang w:eastAsia="zh-CN"/>
        </w:rPr>
        <w:t>附件1-1</w:t>
      </w:r>
    </w:p>
    <w:p w14:paraId="2711347D">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45B8C949">
      <w:pPr>
        <w:spacing w:line="219" w:lineRule="auto"/>
        <w:ind w:left="545"/>
        <w:rPr>
          <w:rFonts w:ascii="宋体" w:hAnsi="宋体" w:eastAsia="宋体" w:cs="宋体"/>
          <w:spacing w:val="-1"/>
          <w:lang w:eastAsia="zh-CN"/>
        </w:rPr>
      </w:pPr>
    </w:p>
    <w:p w14:paraId="309DCB54">
      <w:pPr>
        <w:spacing w:line="219" w:lineRule="auto"/>
        <w:ind w:left="545"/>
        <w:rPr>
          <w:rFonts w:ascii="宋体" w:hAnsi="宋体" w:eastAsia="宋体" w:cs="宋体"/>
          <w:spacing w:val="-1"/>
          <w:lang w:eastAsia="zh-CN"/>
        </w:rPr>
      </w:pPr>
      <w:r>
        <w:rPr>
          <w:rFonts w:ascii="宋体" w:hAnsi="宋体" w:eastAsia="宋体" w:cs="宋体"/>
          <w:spacing w:val="-1"/>
          <w:lang w:eastAsia="zh-CN"/>
        </w:rPr>
        <w:t>填报单位：</w:t>
      </w:r>
      <w:r>
        <w:rPr>
          <w:rFonts w:hint="eastAsia" w:ascii="宋体" w:hAnsi="宋体" w:eastAsia="宋体" w:cs="宋体"/>
          <w:spacing w:val="-1"/>
          <w:lang w:eastAsia="zh-CN"/>
        </w:rPr>
        <w:t>怀化市鹤城区科学技术协会</w:t>
      </w:r>
    </w:p>
    <w:p w14:paraId="0EB8C452">
      <w:pPr>
        <w:spacing w:line="219" w:lineRule="auto"/>
        <w:ind w:left="545"/>
        <w:jc w:val="right"/>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4BB2AF78">
      <w:pPr>
        <w:spacing w:line="37" w:lineRule="exact"/>
      </w:pPr>
    </w:p>
    <w:tbl>
      <w:tblPr>
        <w:tblStyle w:val="11"/>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47"/>
        <w:gridCol w:w="1053"/>
        <w:gridCol w:w="849"/>
        <w:gridCol w:w="1109"/>
        <w:gridCol w:w="1088"/>
        <w:gridCol w:w="969"/>
        <w:gridCol w:w="874"/>
      </w:tblGrid>
      <w:tr w14:paraId="17B83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447" w:type="dxa"/>
            <w:vMerge w:val="restart"/>
            <w:tcBorders>
              <w:bottom w:val="nil"/>
            </w:tcBorders>
          </w:tcPr>
          <w:p w14:paraId="26D22B72">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1902" w:type="dxa"/>
            <w:gridSpan w:val="2"/>
          </w:tcPr>
          <w:p w14:paraId="5D25C10D">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772F6C46">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5691761D">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40C74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447" w:type="dxa"/>
            <w:vMerge w:val="continue"/>
            <w:tcBorders>
              <w:top w:val="nil"/>
            </w:tcBorders>
          </w:tcPr>
          <w:p w14:paraId="3BD8412F">
            <w:pPr>
              <w:pStyle w:val="12"/>
            </w:pPr>
          </w:p>
        </w:tc>
        <w:tc>
          <w:tcPr>
            <w:tcW w:w="1902" w:type="dxa"/>
            <w:gridSpan w:val="2"/>
            <w:vAlign w:val="center"/>
          </w:tcPr>
          <w:p w14:paraId="26D0AFC3">
            <w:pPr>
              <w:pStyle w:val="12"/>
              <w:jc w:val="center"/>
              <w:rPr>
                <w:rFonts w:eastAsia="宋体"/>
                <w:lang w:eastAsia="zh-CN"/>
              </w:rPr>
            </w:pPr>
            <w:r>
              <w:rPr>
                <w:rFonts w:hint="eastAsia" w:eastAsia="宋体"/>
                <w:lang w:eastAsia="zh-CN"/>
              </w:rPr>
              <w:t>11</w:t>
            </w:r>
          </w:p>
        </w:tc>
        <w:tc>
          <w:tcPr>
            <w:tcW w:w="2197" w:type="dxa"/>
            <w:gridSpan w:val="2"/>
            <w:vAlign w:val="center"/>
          </w:tcPr>
          <w:p w14:paraId="69EAFC97">
            <w:pPr>
              <w:pStyle w:val="12"/>
              <w:jc w:val="center"/>
              <w:rPr>
                <w:rFonts w:eastAsia="宋体"/>
                <w:lang w:eastAsia="zh-CN"/>
              </w:rPr>
            </w:pPr>
            <w:r>
              <w:rPr>
                <w:rFonts w:hint="eastAsia" w:eastAsia="宋体"/>
                <w:lang w:eastAsia="zh-CN"/>
              </w:rPr>
              <w:t>10</w:t>
            </w:r>
          </w:p>
        </w:tc>
        <w:tc>
          <w:tcPr>
            <w:tcW w:w="1843" w:type="dxa"/>
            <w:gridSpan w:val="2"/>
            <w:vAlign w:val="center"/>
          </w:tcPr>
          <w:p w14:paraId="4B911A54">
            <w:pPr>
              <w:pStyle w:val="12"/>
              <w:jc w:val="center"/>
              <w:rPr>
                <w:rFonts w:eastAsia="宋体"/>
                <w:lang w:eastAsia="zh-CN"/>
              </w:rPr>
            </w:pPr>
            <w:r>
              <w:rPr>
                <w:rFonts w:hint="eastAsia" w:eastAsia="宋体"/>
                <w:lang w:eastAsia="zh-CN"/>
              </w:rPr>
              <w:t>90.91%</w:t>
            </w:r>
          </w:p>
        </w:tc>
      </w:tr>
      <w:tr w14:paraId="05500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6D457AC2">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1902" w:type="dxa"/>
            <w:gridSpan w:val="2"/>
          </w:tcPr>
          <w:p w14:paraId="45E5F268">
            <w:pPr>
              <w:spacing w:before="99" w:line="219" w:lineRule="auto"/>
              <w:ind w:left="403"/>
              <w:jc w:val="center"/>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6626F81F">
            <w:pPr>
              <w:spacing w:before="99" w:line="219" w:lineRule="auto"/>
              <w:ind w:left="496"/>
              <w:jc w:val="center"/>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6C05FABC">
            <w:pPr>
              <w:spacing w:before="99" w:line="219" w:lineRule="auto"/>
              <w:ind w:left="318"/>
              <w:jc w:val="center"/>
              <w:rPr>
                <w:rFonts w:ascii="宋体" w:hAnsi="宋体" w:eastAsia="宋体" w:cs="宋体"/>
                <w:sz w:val="20"/>
                <w:szCs w:val="20"/>
              </w:rPr>
            </w:pPr>
            <w:r>
              <w:rPr>
                <w:rFonts w:ascii="宋体" w:hAnsi="宋体" w:eastAsia="宋体" w:cs="宋体"/>
                <w:spacing w:val="-2"/>
                <w:sz w:val="20"/>
                <w:szCs w:val="20"/>
              </w:rPr>
              <w:t>2023年决算数</w:t>
            </w:r>
          </w:p>
        </w:tc>
      </w:tr>
      <w:tr w14:paraId="16C3E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1566330C">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1902" w:type="dxa"/>
            <w:gridSpan w:val="2"/>
            <w:vAlign w:val="center"/>
          </w:tcPr>
          <w:p w14:paraId="291C55D0">
            <w:pPr>
              <w:pStyle w:val="12"/>
              <w:jc w:val="center"/>
              <w:rPr>
                <w:rFonts w:eastAsia="宋体"/>
                <w:lang w:eastAsia="zh-CN"/>
              </w:rPr>
            </w:pPr>
            <w:r>
              <w:rPr>
                <w:rFonts w:hint="eastAsia" w:eastAsia="宋体"/>
                <w:lang w:eastAsia="zh-CN"/>
              </w:rPr>
              <w:t>0.16</w:t>
            </w:r>
          </w:p>
        </w:tc>
        <w:tc>
          <w:tcPr>
            <w:tcW w:w="2197" w:type="dxa"/>
            <w:gridSpan w:val="2"/>
            <w:vAlign w:val="center"/>
          </w:tcPr>
          <w:p w14:paraId="77C62623">
            <w:pPr>
              <w:pStyle w:val="12"/>
              <w:jc w:val="center"/>
              <w:rPr>
                <w:rFonts w:eastAsia="宋体"/>
                <w:lang w:eastAsia="zh-CN"/>
              </w:rPr>
            </w:pPr>
            <w:r>
              <w:rPr>
                <w:rFonts w:hint="eastAsia" w:eastAsia="宋体"/>
                <w:lang w:eastAsia="zh-CN"/>
              </w:rPr>
              <w:t>1.20</w:t>
            </w:r>
          </w:p>
        </w:tc>
        <w:tc>
          <w:tcPr>
            <w:tcW w:w="1843" w:type="dxa"/>
            <w:gridSpan w:val="2"/>
            <w:vAlign w:val="center"/>
          </w:tcPr>
          <w:p w14:paraId="7B39CEE1">
            <w:pPr>
              <w:pStyle w:val="12"/>
              <w:jc w:val="center"/>
              <w:rPr>
                <w:rFonts w:eastAsia="宋体"/>
                <w:lang w:eastAsia="zh-CN"/>
              </w:rPr>
            </w:pPr>
            <w:r>
              <w:rPr>
                <w:rFonts w:hint="eastAsia" w:eastAsia="宋体"/>
                <w:lang w:eastAsia="zh-CN"/>
              </w:rPr>
              <w:t>0.25</w:t>
            </w:r>
          </w:p>
        </w:tc>
      </w:tr>
      <w:tr w14:paraId="3AB0C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447" w:type="dxa"/>
          </w:tcPr>
          <w:p w14:paraId="4824AA87">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1902" w:type="dxa"/>
            <w:gridSpan w:val="2"/>
            <w:vAlign w:val="center"/>
          </w:tcPr>
          <w:p w14:paraId="202CDDE1">
            <w:pPr>
              <w:pStyle w:val="12"/>
              <w:jc w:val="center"/>
              <w:rPr>
                <w:lang w:eastAsia="zh-CN"/>
              </w:rPr>
            </w:pPr>
          </w:p>
        </w:tc>
        <w:tc>
          <w:tcPr>
            <w:tcW w:w="2197" w:type="dxa"/>
            <w:gridSpan w:val="2"/>
            <w:vAlign w:val="center"/>
          </w:tcPr>
          <w:p w14:paraId="06AD08A5">
            <w:pPr>
              <w:pStyle w:val="12"/>
              <w:jc w:val="center"/>
              <w:rPr>
                <w:lang w:eastAsia="zh-CN"/>
              </w:rPr>
            </w:pPr>
          </w:p>
        </w:tc>
        <w:tc>
          <w:tcPr>
            <w:tcW w:w="1843" w:type="dxa"/>
            <w:gridSpan w:val="2"/>
            <w:vAlign w:val="center"/>
          </w:tcPr>
          <w:p w14:paraId="774DF6B8">
            <w:pPr>
              <w:pStyle w:val="12"/>
              <w:jc w:val="center"/>
              <w:rPr>
                <w:lang w:eastAsia="zh-CN"/>
              </w:rPr>
            </w:pPr>
          </w:p>
        </w:tc>
      </w:tr>
      <w:tr w14:paraId="6DB23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447" w:type="dxa"/>
          </w:tcPr>
          <w:p w14:paraId="0862CE2D">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1902" w:type="dxa"/>
            <w:gridSpan w:val="2"/>
            <w:vAlign w:val="center"/>
          </w:tcPr>
          <w:p w14:paraId="5598C174">
            <w:pPr>
              <w:pStyle w:val="12"/>
              <w:jc w:val="center"/>
            </w:pPr>
          </w:p>
        </w:tc>
        <w:tc>
          <w:tcPr>
            <w:tcW w:w="2197" w:type="dxa"/>
            <w:gridSpan w:val="2"/>
            <w:vAlign w:val="center"/>
          </w:tcPr>
          <w:p w14:paraId="68FFA674">
            <w:pPr>
              <w:pStyle w:val="12"/>
              <w:jc w:val="center"/>
            </w:pPr>
          </w:p>
        </w:tc>
        <w:tc>
          <w:tcPr>
            <w:tcW w:w="1843" w:type="dxa"/>
            <w:gridSpan w:val="2"/>
            <w:vAlign w:val="center"/>
          </w:tcPr>
          <w:p w14:paraId="0F796D52">
            <w:pPr>
              <w:pStyle w:val="12"/>
              <w:jc w:val="center"/>
            </w:pPr>
          </w:p>
        </w:tc>
      </w:tr>
      <w:tr w14:paraId="12B6C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447" w:type="dxa"/>
          </w:tcPr>
          <w:p w14:paraId="463F5EF6">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1902" w:type="dxa"/>
            <w:gridSpan w:val="2"/>
            <w:vAlign w:val="center"/>
          </w:tcPr>
          <w:p w14:paraId="492133AB">
            <w:pPr>
              <w:pStyle w:val="12"/>
              <w:jc w:val="center"/>
            </w:pPr>
          </w:p>
        </w:tc>
        <w:tc>
          <w:tcPr>
            <w:tcW w:w="2197" w:type="dxa"/>
            <w:gridSpan w:val="2"/>
            <w:vAlign w:val="center"/>
          </w:tcPr>
          <w:p w14:paraId="0D5E9220">
            <w:pPr>
              <w:pStyle w:val="12"/>
              <w:jc w:val="center"/>
            </w:pPr>
          </w:p>
        </w:tc>
        <w:tc>
          <w:tcPr>
            <w:tcW w:w="1843" w:type="dxa"/>
            <w:gridSpan w:val="2"/>
            <w:vAlign w:val="center"/>
          </w:tcPr>
          <w:p w14:paraId="6613363F">
            <w:pPr>
              <w:pStyle w:val="12"/>
              <w:jc w:val="center"/>
            </w:pPr>
          </w:p>
        </w:tc>
      </w:tr>
      <w:tr w14:paraId="0D6ED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5ED588E4">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1902" w:type="dxa"/>
            <w:gridSpan w:val="2"/>
            <w:vAlign w:val="center"/>
          </w:tcPr>
          <w:p w14:paraId="416F562F">
            <w:pPr>
              <w:pStyle w:val="12"/>
              <w:jc w:val="center"/>
            </w:pPr>
          </w:p>
        </w:tc>
        <w:tc>
          <w:tcPr>
            <w:tcW w:w="2197" w:type="dxa"/>
            <w:gridSpan w:val="2"/>
            <w:vAlign w:val="center"/>
          </w:tcPr>
          <w:p w14:paraId="495F708C">
            <w:pPr>
              <w:pStyle w:val="12"/>
              <w:jc w:val="center"/>
            </w:pPr>
          </w:p>
        </w:tc>
        <w:tc>
          <w:tcPr>
            <w:tcW w:w="1843" w:type="dxa"/>
            <w:gridSpan w:val="2"/>
            <w:vAlign w:val="center"/>
          </w:tcPr>
          <w:p w14:paraId="54811554">
            <w:pPr>
              <w:pStyle w:val="12"/>
              <w:jc w:val="center"/>
            </w:pPr>
          </w:p>
        </w:tc>
      </w:tr>
      <w:tr w14:paraId="7DAEA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447" w:type="dxa"/>
          </w:tcPr>
          <w:p w14:paraId="37BB75BB">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1902" w:type="dxa"/>
            <w:gridSpan w:val="2"/>
            <w:vAlign w:val="center"/>
          </w:tcPr>
          <w:p w14:paraId="6BD277B7">
            <w:pPr>
              <w:pStyle w:val="12"/>
              <w:jc w:val="center"/>
              <w:rPr>
                <w:rFonts w:eastAsia="宋体"/>
                <w:lang w:eastAsia="zh-CN"/>
              </w:rPr>
            </w:pPr>
            <w:r>
              <w:rPr>
                <w:rFonts w:hint="eastAsia" w:eastAsia="宋体"/>
                <w:lang w:eastAsia="zh-CN"/>
              </w:rPr>
              <w:t>0.16</w:t>
            </w:r>
          </w:p>
        </w:tc>
        <w:tc>
          <w:tcPr>
            <w:tcW w:w="2197" w:type="dxa"/>
            <w:gridSpan w:val="2"/>
            <w:vAlign w:val="center"/>
          </w:tcPr>
          <w:p w14:paraId="4E185C55">
            <w:pPr>
              <w:pStyle w:val="12"/>
              <w:jc w:val="center"/>
              <w:rPr>
                <w:rFonts w:eastAsia="宋体"/>
                <w:lang w:eastAsia="zh-CN"/>
              </w:rPr>
            </w:pPr>
            <w:r>
              <w:rPr>
                <w:rFonts w:hint="eastAsia" w:eastAsia="宋体"/>
                <w:lang w:eastAsia="zh-CN"/>
              </w:rPr>
              <w:t>1.20</w:t>
            </w:r>
          </w:p>
        </w:tc>
        <w:tc>
          <w:tcPr>
            <w:tcW w:w="1843" w:type="dxa"/>
            <w:gridSpan w:val="2"/>
            <w:vAlign w:val="center"/>
          </w:tcPr>
          <w:p w14:paraId="280E05C6">
            <w:pPr>
              <w:pStyle w:val="12"/>
              <w:jc w:val="center"/>
              <w:rPr>
                <w:rFonts w:eastAsia="宋体"/>
                <w:lang w:eastAsia="zh-CN"/>
              </w:rPr>
            </w:pPr>
            <w:r>
              <w:rPr>
                <w:rFonts w:hint="eastAsia" w:eastAsia="宋体"/>
                <w:lang w:eastAsia="zh-CN"/>
              </w:rPr>
              <w:t>0.25</w:t>
            </w:r>
          </w:p>
        </w:tc>
      </w:tr>
      <w:tr w14:paraId="59FD4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3D62D78C">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1902" w:type="dxa"/>
            <w:gridSpan w:val="2"/>
            <w:vAlign w:val="center"/>
          </w:tcPr>
          <w:p w14:paraId="368C9707">
            <w:pPr>
              <w:pStyle w:val="12"/>
              <w:jc w:val="center"/>
              <w:rPr>
                <w:rFonts w:eastAsia="宋体"/>
                <w:lang w:eastAsia="zh-CN"/>
              </w:rPr>
            </w:pPr>
            <w:r>
              <w:rPr>
                <w:rFonts w:hint="eastAsia"/>
                <w:lang w:eastAsia="zh-CN"/>
              </w:rPr>
              <w:t>24.50</w:t>
            </w:r>
          </w:p>
        </w:tc>
        <w:tc>
          <w:tcPr>
            <w:tcW w:w="2197" w:type="dxa"/>
            <w:gridSpan w:val="2"/>
            <w:vAlign w:val="center"/>
          </w:tcPr>
          <w:p w14:paraId="3BD31763">
            <w:pPr>
              <w:pStyle w:val="12"/>
              <w:jc w:val="center"/>
              <w:rPr>
                <w:rFonts w:eastAsia="宋体"/>
                <w:lang w:eastAsia="zh-CN"/>
              </w:rPr>
            </w:pPr>
            <w:r>
              <w:rPr>
                <w:rFonts w:eastAsia="宋体"/>
                <w:lang w:eastAsia="zh-CN"/>
              </w:rPr>
              <w:t>49.19</w:t>
            </w:r>
          </w:p>
        </w:tc>
        <w:tc>
          <w:tcPr>
            <w:tcW w:w="1843" w:type="dxa"/>
            <w:gridSpan w:val="2"/>
            <w:vAlign w:val="center"/>
          </w:tcPr>
          <w:p w14:paraId="06D840AF">
            <w:pPr>
              <w:pStyle w:val="12"/>
              <w:jc w:val="center"/>
              <w:rPr>
                <w:rFonts w:eastAsia="宋体"/>
                <w:lang w:eastAsia="zh-CN"/>
              </w:rPr>
            </w:pPr>
            <w:r>
              <w:rPr>
                <w:rFonts w:hint="eastAsia" w:eastAsia="宋体"/>
                <w:lang w:eastAsia="zh-CN"/>
              </w:rPr>
              <w:t>21.40</w:t>
            </w:r>
          </w:p>
        </w:tc>
      </w:tr>
      <w:tr w14:paraId="48882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6FE6105C">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1902" w:type="dxa"/>
            <w:gridSpan w:val="2"/>
            <w:vAlign w:val="center"/>
          </w:tcPr>
          <w:p w14:paraId="150C6722">
            <w:pPr>
              <w:pStyle w:val="12"/>
              <w:jc w:val="center"/>
            </w:pPr>
          </w:p>
        </w:tc>
        <w:tc>
          <w:tcPr>
            <w:tcW w:w="2197" w:type="dxa"/>
            <w:gridSpan w:val="2"/>
            <w:vAlign w:val="center"/>
          </w:tcPr>
          <w:p w14:paraId="08DEDBA0">
            <w:pPr>
              <w:pStyle w:val="12"/>
              <w:jc w:val="center"/>
            </w:pPr>
          </w:p>
        </w:tc>
        <w:tc>
          <w:tcPr>
            <w:tcW w:w="1843" w:type="dxa"/>
            <w:gridSpan w:val="2"/>
            <w:vAlign w:val="center"/>
          </w:tcPr>
          <w:p w14:paraId="14379617">
            <w:pPr>
              <w:pStyle w:val="12"/>
              <w:jc w:val="center"/>
            </w:pPr>
          </w:p>
        </w:tc>
      </w:tr>
      <w:tr w14:paraId="42CF4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3447" w:type="dxa"/>
          </w:tcPr>
          <w:p w14:paraId="5C196E08">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1902" w:type="dxa"/>
            <w:gridSpan w:val="2"/>
            <w:vAlign w:val="center"/>
          </w:tcPr>
          <w:p w14:paraId="40694D8F">
            <w:pPr>
              <w:pStyle w:val="12"/>
              <w:jc w:val="center"/>
            </w:pPr>
          </w:p>
        </w:tc>
        <w:tc>
          <w:tcPr>
            <w:tcW w:w="2197" w:type="dxa"/>
            <w:gridSpan w:val="2"/>
            <w:vAlign w:val="center"/>
          </w:tcPr>
          <w:p w14:paraId="55ACF06B">
            <w:pPr>
              <w:pStyle w:val="12"/>
              <w:jc w:val="center"/>
            </w:pPr>
          </w:p>
        </w:tc>
        <w:tc>
          <w:tcPr>
            <w:tcW w:w="1843" w:type="dxa"/>
            <w:gridSpan w:val="2"/>
            <w:vAlign w:val="center"/>
          </w:tcPr>
          <w:p w14:paraId="11AF1D58">
            <w:pPr>
              <w:pStyle w:val="12"/>
              <w:jc w:val="center"/>
            </w:pPr>
          </w:p>
        </w:tc>
      </w:tr>
      <w:tr w14:paraId="77900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47" w:type="dxa"/>
            <w:tcBorders>
              <w:bottom w:val="nil"/>
            </w:tcBorders>
          </w:tcPr>
          <w:p w14:paraId="475C616C">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r>
              <w:rPr>
                <w:rFonts w:ascii="宋体" w:hAnsi="宋体" w:eastAsia="宋体" w:cs="宋体"/>
                <w:spacing w:val="5"/>
                <w:sz w:val="20"/>
                <w:szCs w:val="20"/>
                <w:lang w:eastAsia="zh-CN"/>
              </w:rPr>
              <w:t>(一个专项一行)</w:t>
            </w:r>
          </w:p>
        </w:tc>
        <w:tc>
          <w:tcPr>
            <w:tcW w:w="1902" w:type="dxa"/>
            <w:gridSpan w:val="2"/>
            <w:vAlign w:val="center"/>
          </w:tcPr>
          <w:p w14:paraId="412E5CEF">
            <w:pPr>
              <w:pStyle w:val="12"/>
              <w:jc w:val="center"/>
              <w:rPr>
                <w:lang w:eastAsia="zh-CN"/>
              </w:rPr>
            </w:pPr>
            <w:r>
              <w:rPr>
                <w:rFonts w:hint="eastAsia"/>
                <w:lang w:eastAsia="zh-CN"/>
              </w:rPr>
              <w:t>24.50</w:t>
            </w:r>
          </w:p>
        </w:tc>
        <w:tc>
          <w:tcPr>
            <w:tcW w:w="2197" w:type="dxa"/>
            <w:gridSpan w:val="2"/>
            <w:vAlign w:val="center"/>
          </w:tcPr>
          <w:p w14:paraId="4BB5B6E7">
            <w:pPr>
              <w:pStyle w:val="12"/>
              <w:jc w:val="center"/>
              <w:rPr>
                <w:lang w:eastAsia="zh-CN"/>
              </w:rPr>
            </w:pPr>
            <w:r>
              <w:rPr>
                <w:rFonts w:hint="eastAsia"/>
                <w:lang w:eastAsia="zh-CN"/>
              </w:rPr>
              <w:t>49.19</w:t>
            </w:r>
          </w:p>
        </w:tc>
        <w:tc>
          <w:tcPr>
            <w:tcW w:w="1843" w:type="dxa"/>
            <w:gridSpan w:val="2"/>
            <w:tcBorders>
              <w:bottom w:val="nil"/>
            </w:tcBorders>
            <w:vAlign w:val="center"/>
          </w:tcPr>
          <w:p w14:paraId="57907537">
            <w:pPr>
              <w:pStyle w:val="12"/>
              <w:jc w:val="center"/>
              <w:rPr>
                <w:lang w:eastAsia="zh-CN"/>
              </w:rPr>
            </w:pPr>
            <w:r>
              <w:rPr>
                <w:rFonts w:hint="eastAsia" w:eastAsia="宋体"/>
                <w:lang w:eastAsia="zh-CN"/>
              </w:rPr>
              <w:t>21.40</w:t>
            </w:r>
          </w:p>
        </w:tc>
      </w:tr>
      <w:tr w14:paraId="0D222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47" w:type="dxa"/>
            <w:tcBorders>
              <w:bottom w:val="nil"/>
            </w:tcBorders>
            <w:vAlign w:val="center"/>
          </w:tcPr>
          <w:p w14:paraId="0ABDAE49">
            <w:pPr>
              <w:jc w:val="center"/>
              <w:textAlignment w:val="center"/>
              <w:rPr>
                <w:rFonts w:ascii="宋体" w:hAnsi="宋体" w:eastAsia="宋体" w:cs="宋体"/>
                <w:spacing w:val="1"/>
                <w:sz w:val="20"/>
                <w:szCs w:val="20"/>
                <w:highlight w:val="yellow"/>
                <w:lang w:eastAsia="zh-CN"/>
              </w:rPr>
            </w:pPr>
            <w:r>
              <w:rPr>
                <w:rFonts w:ascii="宋体" w:hAnsi="宋体" w:eastAsia="宋体" w:cs="宋体"/>
                <w:sz w:val="18"/>
                <w:szCs w:val="18"/>
                <w:lang w:eastAsia="zh-CN"/>
              </w:rPr>
              <w:t>科普工作经费</w:t>
            </w:r>
          </w:p>
        </w:tc>
        <w:tc>
          <w:tcPr>
            <w:tcW w:w="1902" w:type="dxa"/>
            <w:gridSpan w:val="2"/>
            <w:vAlign w:val="center"/>
          </w:tcPr>
          <w:p w14:paraId="35637C69">
            <w:pPr>
              <w:jc w:val="center"/>
              <w:textAlignment w:val="center"/>
              <w:rPr>
                <w:lang w:eastAsia="zh-CN"/>
              </w:rPr>
            </w:pPr>
            <w:r>
              <w:rPr>
                <w:rFonts w:hint="eastAsia" w:ascii="宋体" w:hAnsi="宋体" w:eastAsia="宋体" w:cs="宋体"/>
                <w:sz w:val="22"/>
                <w:szCs w:val="22"/>
                <w:lang w:eastAsia="zh-CN"/>
              </w:rPr>
              <w:t>11.80</w:t>
            </w:r>
          </w:p>
        </w:tc>
        <w:tc>
          <w:tcPr>
            <w:tcW w:w="2197" w:type="dxa"/>
            <w:gridSpan w:val="2"/>
            <w:vAlign w:val="center"/>
          </w:tcPr>
          <w:p w14:paraId="695713FD">
            <w:pPr>
              <w:pStyle w:val="12"/>
              <w:jc w:val="center"/>
              <w:rPr>
                <w:lang w:eastAsia="zh-CN"/>
              </w:rPr>
            </w:pPr>
            <w:r>
              <w:rPr>
                <w:rFonts w:hint="eastAsia"/>
                <w:lang w:eastAsia="zh-CN"/>
              </w:rPr>
              <w:t>39.59</w:t>
            </w:r>
          </w:p>
        </w:tc>
        <w:tc>
          <w:tcPr>
            <w:tcW w:w="1843" w:type="dxa"/>
            <w:gridSpan w:val="2"/>
            <w:tcBorders>
              <w:bottom w:val="nil"/>
            </w:tcBorders>
            <w:vAlign w:val="center"/>
          </w:tcPr>
          <w:p w14:paraId="59337BF0">
            <w:pPr>
              <w:pStyle w:val="12"/>
              <w:jc w:val="center"/>
              <w:rPr>
                <w:lang w:eastAsia="zh-CN"/>
              </w:rPr>
            </w:pPr>
            <w:r>
              <w:rPr>
                <w:rFonts w:hint="eastAsia"/>
                <w:lang w:eastAsia="zh-CN"/>
              </w:rPr>
              <w:t>11.80</w:t>
            </w:r>
          </w:p>
        </w:tc>
      </w:tr>
      <w:tr w14:paraId="29363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447" w:type="dxa"/>
            <w:tcBorders>
              <w:bottom w:val="nil"/>
            </w:tcBorders>
            <w:vAlign w:val="center"/>
          </w:tcPr>
          <w:p w14:paraId="09D335FD">
            <w:pPr>
              <w:jc w:val="center"/>
              <w:textAlignment w:val="center"/>
              <w:rPr>
                <w:rFonts w:ascii="宋体" w:hAnsi="宋体" w:eastAsia="宋体" w:cs="宋体"/>
                <w:spacing w:val="1"/>
                <w:sz w:val="20"/>
                <w:szCs w:val="20"/>
                <w:highlight w:val="yellow"/>
                <w:lang w:eastAsia="zh-CN"/>
              </w:rPr>
            </w:pPr>
            <w:r>
              <w:rPr>
                <w:rFonts w:ascii="宋体" w:hAnsi="宋体" w:eastAsia="宋体" w:cs="宋体"/>
                <w:sz w:val="18"/>
                <w:szCs w:val="18"/>
                <w:lang w:eastAsia="zh-CN"/>
              </w:rPr>
              <w:t>老科协工作经费</w:t>
            </w:r>
          </w:p>
        </w:tc>
        <w:tc>
          <w:tcPr>
            <w:tcW w:w="1902" w:type="dxa"/>
            <w:gridSpan w:val="2"/>
            <w:vAlign w:val="center"/>
          </w:tcPr>
          <w:p w14:paraId="2E54798F">
            <w:pPr>
              <w:jc w:val="center"/>
              <w:textAlignment w:val="center"/>
              <w:rPr>
                <w:lang w:eastAsia="zh-CN"/>
              </w:rPr>
            </w:pPr>
            <w:r>
              <w:rPr>
                <w:rFonts w:hint="eastAsia" w:ascii="宋体" w:hAnsi="宋体" w:eastAsia="宋体" w:cs="宋体"/>
                <w:sz w:val="22"/>
                <w:szCs w:val="22"/>
                <w:lang w:eastAsia="zh-CN"/>
              </w:rPr>
              <w:t>12.70</w:t>
            </w:r>
          </w:p>
        </w:tc>
        <w:tc>
          <w:tcPr>
            <w:tcW w:w="2197" w:type="dxa"/>
            <w:gridSpan w:val="2"/>
            <w:vAlign w:val="center"/>
          </w:tcPr>
          <w:p w14:paraId="04C3784E">
            <w:pPr>
              <w:pStyle w:val="12"/>
              <w:jc w:val="center"/>
              <w:rPr>
                <w:lang w:eastAsia="zh-CN"/>
              </w:rPr>
            </w:pPr>
            <w:r>
              <w:rPr>
                <w:rFonts w:hint="eastAsia"/>
                <w:lang w:eastAsia="zh-CN"/>
              </w:rPr>
              <w:t>9.60</w:t>
            </w:r>
          </w:p>
        </w:tc>
        <w:tc>
          <w:tcPr>
            <w:tcW w:w="1843" w:type="dxa"/>
            <w:gridSpan w:val="2"/>
            <w:tcBorders>
              <w:bottom w:val="nil"/>
            </w:tcBorders>
            <w:vAlign w:val="center"/>
          </w:tcPr>
          <w:p w14:paraId="16A3A33F">
            <w:pPr>
              <w:pStyle w:val="12"/>
              <w:jc w:val="center"/>
              <w:rPr>
                <w:lang w:eastAsia="zh-CN"/>
              </w:rPr>
            </w:pPr>
            <w:r>
              <w:rPr>
                <w:rFonts w:hint="eastAsia"/>
                <w:lang w:eastAsia="zh-CN"/>
              </w:rPr>
              <w:t>9.60</w:t>
            </w:r>
          </w:p>
        </w:tc>
      </w:tr>
      <w:tr w14:paraId="7074F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447" w:type="dxa"/>
          </w:tcPr>
          <w:p w14:paraId="30D7D115">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1902" w:type="dxa"/>
            <w:gridSpan w:val="2"/>
            <w:vAlign w:val="center"/>
          </w:tcPr>
          <w:p w14:paraId="1079C8BD">
            <w:pPr>
              <w:pStyle w:val="12"/>
              <w:jc w:val="center"/>
              <w:rPr>
                <w:lang w:eastAsia="zh-CN"/>
              </w:rPr>
            </w:pPr>
          </w:p>
        </w:tc>
        <w:tc>
          <w:tcPr>
            <w:tcW w:w="2197" w:type="dxa"/>
            <w:gridSpan w:val="2"/>
            <w:vAlign w:val="center"/>
          </w:tcPr>
          <w:p w14:paraId="7A84A209">
            <w:pPr>
              <w:pStyle w:val="12"/>
              <w:jc w:val="center"/>
              <w:rPr>
                <w:lang w:eastAsia="zh-CN"/>
              </w:rPr>
            </w:pPr>
          </w:p>
        </w:tc>
        <w:tc>
          <w:tcPr>
            <w:tcW w:w="1843" w:type="dxa"/>
            <w:gridSpan w:val="2"/>
            <w:vAlign w:val="center"/>
          </w:tcPr>
          <w:p w14:paraId="1186D948">
            <w:pPr>
              <w:pStyle w:val="12"/>
              <w:jc w:val="center"/>
              <w:rPr>
                <w:lang w:eastAsia="zh-CN"/>
              </w:rPr>
            </w:pPr>
          </w:p>
        </w:tc>
      </w:tr>
      <w:tr w14:paraId="07AFD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447" w:type="dxa"/>
          </w:tcPr>
          <w:p w14:paraId="760EBB7C">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1902" w:type="dxa"/>
            <w:gridSpan w:val="2"/>
            <w:vAlign w:val="center"/>
          </w:tcPr>
          <w:p w14:paraId="29012ED9">
            <w:pPr>
              <w:pStyle w:val="12"/>
              <w:jc w:val="center"/>
            </w:pPr>
          </w:p>
        </w:tc>
        <w:tc>
          <w:tcPr>
            <w:tcW w:w="2197" w:type="dxa"/>
            <w:gridSpan w:val="2"/>
            <w:vAlign w:val="center"/>
          </w:tcPr>
          <w:p w14:paraId="13F68DFB">
            <w:pPr>
              <w:pStyle w:val="12"/>
              <w:jc w:val="center"/>
            </w:pPr>
          </w:p>
        </w:tc>
        <w:tc>
          <w:tcPr>
            <w:tcW w:w="1843" w:type="dxa"/>
            <w:gridSpan w:val="2"/>
            <w:vAlign w:val="center"/>
          </w:tcPr>
          <w:p w14:paraId="40E11A4F">
            <w:pPr>
              <w:pStyle w:val="12"/>
              <w:jc w:val="center"/>
            </w:pPr>
          </w:p>
        </w:tc>
      </w:tr>
      <w:tr w14:paraId="34730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1C66FE3F">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1902" w:type="dxa"/>
            <w:gridSpan w:val="2"/>
            <w:vAlign w:val="center"/>
          </w:tcPr>
          <w:p w14:paraId="600D2FF9">
            <w:pPr>
              <w:pStyle w:val="12"/>
              <w:jc w:val="center"/>
              <w:rPr>
                <w:rFonts w:eastAsia="宋体"/>
                <w:lang w:eastAsia="zh-CN"/>
              </w:rPr>
            </w:pPr>
            <w:r>
              <w:rPr>
                <w:rFonts w:hint="eastAsia" w:eastAsia="宋体"/>
                <w:lang w:eastAsia="zh-CN"/>
              </w:rPr>
              <w:t>2.84</w:t>
            </w:r>
          </w:p>
        </w:tc>
        <w:tc>
          <w:tcPr>
            <w:tcW w:w="2197" w:type="dxa"/>
            <w:gridSpan w:val="2"/>
            <w:vAlign w:val="center"/>
          </w:tcPr>
          <w:p w14:paraId="5A68646D">
            <w:pPr>
              <w:pStyle w:val="12"/>
              <w:jc w:val="center"/>
              <w:rPr>
                <w:rFonts w:eastAsia="宋体"/>
                <w:lang w:eastAsia="zh-CN"/>
              </w:rPr>
            </w:pPr>
            <w:r>
              <w:rPr>
                <w:rFonts w:hint="eastAsia" w:eastAsia="宋体"/>
                <w:lang w:eastAsia="zh-CN"/>
              </w:rPr>
              <w:t>1.00</w:t>
            </w:r>
          </w:p>
        </w:tc>
        <w:tc>
          <w:tcPr>
            <w:tcW w:w="1843" w:type="dxa"/>
            <w:gridSpan w:val="2"/>
            <w:vAlign w:val="center"/>
          </w:tcPr>
          <w:p w14:paraId="389EDAE9">
            <w:pPr>
              <w:pStyle w:val="12"/>
              <w:jc w:val="center"/>
              <w:rPr>
                <w:rFonts w:eastAsia="宋体"/>
                <w:lang w:eastAsia="zh-CN"/>
              </w:rPr>
            </w:pPr>
            <w:r>
              <w:rPr>
                <w:rFonts w:hint="eastAsia" w:eastAsia="宋体"/>
                <w:lang w:eastAsia="zh-CN"/>
              </w:rPr>
              <w:t>21.78</w:t>
            </w:r>
          </w:p>
        </w:tc>
      </w:tr>
      <w:tr w14:paraId="08A55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447" w:type="dxa"/>
          </w:tcPr>
          <w:p w14:paraId="621078BD">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1902" w:type="dxa"/>
            <w:gridSpan w:val="2"/>
            <w:vAlign w:val="center"/>
          </w:tcPr>
          <w:p w14:paraId="2A3C5AD0">
            <w:pPr>
              <w:pStyle w:val="12"/>
              <w:jc w:val="center"/>
              <w:rPr>
                <w:rFonts w:eastAsia="宋体"/>
                <w:lang w:eastAsia="zh-CN"/>
              </w:rPr>
            </w:pPr>
            <w:r>
              <w:rPr>
                <w:rFonts w:hint="eastAsia" w:eastAsia="宋体"/>
                <w:lang w:eastAsia="zh-CN"/>
              </w:rPr>
              <w:t>2.00</w:t>
            </w:r>
          </w:p>
        </w:tc>
        <w:tc>
          <w:tcPr>
            <w:tcW w:w="2197" w:type="dxa"/>
            <w:gridSpan w:val="2"/>
            <w:vAlign w:val="center"/>
          </w:tcPr>
          <w:p w14:paraId="3FCC0A61">
            <w:pPr>
              <w:pStyle w:val="12"/>
              <w:jc w:val="center"/>
              <w:rPr>
                <w:rFonts w:eastAsia="宋体"/>
                <w:lang w:eastAsia="zh-CN"/>
              </w:rPr>
            </w:pPr>
            <w:r>
              <w:rPr>
                <w:rFonts w:hint="eastAsia" w:eastAsia="宋体"/>
                <w:lang w:eastAsia="zh-CN"/>
              </w:rPr>
              <w:t>0.80</w:t>
            </w:r>
          </w:p>
        </w:tc>
        <w:tc>
          <w:tcPr>
            <w:tcW w:w="1843" w:type="dxa"/>
            <w:gridSpan w:val="2"/>
            <w:vAlign w:val="center"/>
          </w:tcPr>
          <w:p w14:paraId="6D9E5DD6">
            <w:pPr>
              <w:pStyle w:val="12"/>
              <w:jc w:val="center"/>
              <w:rPr>
                <w:rFonts w:eastAsia="宋体"/>
                <w:lang w:eastAsia="zh-CN"/>
              </w:rPr>
            </w:pPr>
            <w:r>
              <w:rPr>
                <w:rFonts w:hint="eastAsia" w:eastAsia="宋体"/>
                <w:lang w:eastAsia="zh-CN"/>
              </w:rPr>
              <w:t>12.00</w:t>
            </w:r>
          </w:p>
        </w:tc>
      </w:tr>
      <w:tr w14:paraId="50712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05A8EB48">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1902" w:type="dxa"/>
            <w:gridSpan w:val="2"/>
            <w:vAlign w:val="center"/>
          </w:tcPr>
          <w:p w14:paraId="1E342FFD">
            <w:pPr>
              <w:pStyle w:val="12"/>
              <w:jc w:val="center"/>
              <w:rPr>
                <w:rFonts w:eastAsia="宋体"/>
                <w:lang w:eastAsia="zh-CN"/>
              </w:rPr>
            </w:pPr>
            <w:r>
              <w:rPr>
                <w:rFonts w:hint="eastAsia" w:eastAsia="宋体"/>
                <w:lang w:eastAsia="zh-CN"/>
              </w:rPr>
              <w:t>0.84</w:t>
            </w:r>
          </w:p>
        </w:tc>
        <w:tc>
          <w:tcPr>
            <w:tcW w:w="2197" w:type="dxa"/>
            <w:gridSpan w:val="2"/>
            <w:vAlign w:val="center"/>
          </w:tcPr>
          <w:p w14:paraId="55184510">
            <w:pPr>
              <w:pStyle w:val="12"/>
              <w:jc w:val="center"/>
              <w:rPr>
                <w:rFonts w:eastAsia="宋体"/>
                <w:lang w:eastAsia="zh-CN"/>
              </w:rPr>
            </w:pPr>
            <w:r>
              <w:rPr>
                <w:rFonts w:hint="eastAsia" w:eastAsia="宋体"/>
                <w:lang w:eastAsia="zh-CN"/>
              </w:rPr>
              <w:t>0.20</w:t>
            </w:r>
          </w:p>
        </w:tc>
        <w:tc>
          <w:tcPr>
            <w:tcW w:w="1843" w:type="dxa"/>
            <w:gridSpan w:val="2"/>
            <w:vAlign w:val="center"/>
          </w:tcPr>
          <w:p w14:paraId="6AE48912">
            <w:pPr>
              <w:pStyle w:val="12"/>
              <w:jc w:val="center"/>
              <w:rPr>
                <w:rFonts w:eastAsia="宋体"/>
                <w:lang w:eastAsia="zh-CN"/>
              </w:rPr>
            </w:pPr>
            <w:r>
              <w:rPr>
                <w:rFonts w:hint="eastAsia" w:eastAsia="宋体"/>
                <w:lang w:eastAsia="zh-CN"/>
              </w:rPr>
              <w:t>2.08</w:t>
            </w:r>
          </w:p>
        </w:tc>
      </w:tr>
      <w:tr w14:paraId="0C68A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447" w:type="dxa"/>
          </w:tcPr>
          <w:p w14:paraId="167A2DF8">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1902" w:type="dxa"/>
            <w:gridSpan w:val="2"/>
            <w:vAlign w:val="center"/>
          </w:tcPr>
          <w:p w14:paraId="65729316">
            <w:pPr>
              <w:pStyle w:val="12"/>
              <w:jc w:val="center"/>
              <w:rPr>
                <w:rFonts w:eastAsia="宋体"/>
                <w:lang w:eastAsia="zh-CN"/>
              </w:rPr>
            </w:pPr>
            <w:r>
              <w:rPr>
                <w:rFonts w:hint="eastAsia" w:eastAsia="宋体"/>
                <w:lang w:eastAsia="zh-CN"/>
              </w:rPr>
              <w:t>0.00</w:t>
            </w:r>
          </w:p>
        </w:tc>
        <w:tc>
          <w:tcPr>
            <w:tcW w:w="2197" w:type="dxa"/>
            <w:gridSpan w:val="2"/>
            <w:vAlign w:val="center"/>
          </w:tcPr>
          <w:p w14:paraId="0E655BCC">
            <w:pPr>
              <w:pStyle w:val="12"/>
              <w:jc w:val="center"/>
              <w:rPr>
                <w:rFonts w:eastAsia="宋体"/>
                <w:lang w:eastAsia="zh-CN"/>
              </w:rPr>
            </w:pPr>
            <w:r>
              <w:rPr>
                <w:rFonts w:hint="eastAsia" w:eastAsia="宋体"/>
                <w:lang w:eastAsia="zh-CN"/>
              </w:rPr>
              <w:t>0.00</w:t>
            </w:r>
          </w:p>
        </w:tc>
        <w:tc>
          <w:tcPr>
            <w:tcW w:w="1843" w:type="dxa"/>
            <w:gridSpan w:val="2"/>
            <w:vAlign w:val="center"/>
          </w:tcPr>
          <w:p w14:paraId="5D21074E">
            <w:pPr>
              <w:pStyle w:val="12"/>
              <w:jc w:val="center"/>
              <w:rPr>
                <w:rFonts w:eastAsia="宋体"/>
                <w:lang w:eastAsia="zh-CN"/>
              </w:rPr>
            </w:pPr>
            <w:r>
              <w:rPr>
                <w:rFonts w:hint="eastAsia" w:eastAsia="宋体"/>
                <w:lang w:eastAsia="zh-CN"/>
              </w:rPr>
              <w:t>7.70</w:t>
            </w:r>
          </w:p>
        </w:tc>
      </w:tr>
      <w:tr w14:paraId="586C1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5DFA1483">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1902" w:type="dxa"/>
            <w:gridSpan w:val="2"/>
            <w:vAlign w:val="center"/>
          </w:tcPr>
          <w:p w14:paraId="50D9312B">
            <w:pPr>
              <w:pStyle w:val="12"/>
              <w:jc w:val="center"/>
              <w:rPr>
                <w:rFonts w:eastAsia="宋体"/>
                <w:lang w:eastAsia="zh-CN"/>
              </w:rPr>
            </w:pPr>
          </w:p>
        </w:tc>
        <w:tc>
          <w:tcPr>
            <w:tcW w:w="2197" w:type="dxa"/>
            <w:gridSpan w:val="2"/>
            <w:vAlign w:val="center"/>
          </w:tcPr>
          <w:p w14:paraId="2EAFB14F">
            <w:pPr>
              <w:pStyle w:val="12"/>
              <w:jc w:val="center"/>
              <w:rPr>
                <w:rFonts w:eastAsia="宋体"/>
                <w:lang w:eastAsia="zh-CN"/>
              </w:rPr>
            </w:pPr>
          </w:p>
        </w:tc>
        <w:tc>
          <w:tcPr>
            <w:tcW w:w="1843" w:type="dxa"/>
            <w:gridSpan w:val="2"/>
            <w:vAlign w:val="center"/>
          </w:tcPr>
          <w:p w14:paraId="59B13682">
            <w:pPr>
              <w:pStyle w:val="12"/>
              <w:jc w:val="center"/>
            </w:pPr>
          </w:p>
        </w:tc>
      </w:tr>
      <w:tr w14:paraId="19E54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7" w:type="dxa"/>
          </w:tcPr>
          <w:p w14:paraId="1D4A8AB8">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1902" w:type="dxa"/>
            <w:gridSpan w:val="2"/>
            <w:vAlign w:val="center"/>
          </w:tcPr>
          <w:p w14:paraId="7CE37C4F">
            <w:pPr>
              <w:pStyle w:val="12"/>
              <w:jc w:val="center"/>
              <w:rPr>
                <w:lang w:eastAsia="zh-CN"/>
              </w:rPr>
            </w:pPr>
          </w:p>
        </w:tc>
        <w:tc>
          <w:tcPr>
            <w:tcW w:w="2197" w:type="dxa"/>
            <w:gridSpan w:val="2"/>
            <w:vAlign w:val="center"/>
          </w:tcPr>
          <w:p w14:paraId="552F8D3C">
            <w:pPr>
              <w:pStyle w:val="12"/>
              <w:jc w:val="center"/>
              <w:rPr>
                <w:lang w:eastAsia="zh-CN"/>
              </w:rPr>
            </w:pPr>
          </w:p>
        </w:tc>
        <w:tc>
          <w:tcPr>
            <w:tcW w:w="1843" w:type="dxa"/>
            <w:gridSpan w:val="2"/>
            <w:vAlign w:val="center"/>
          </w:tcPr>
          <w:p w14:paraId="2688E496">
            <w:pPr>
              <w:pStyle w:val="12"/>
              <w:jc w:val="center"/>
              <w:rPr>
                <w:lang w:eastAsia="zh-CN"/>
              </w:rPr>
            </w:pPr>
          </w:p>
        </w:tc>
      </w:tr>
      <w:tr w14:paraId="68CF5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447" w:type="dxa"/>
            <w:vMerge w:val="restart"/>
            <w:tcBorders>
              <w:bottom w:val="nil"/>
            </w:tcBorders>
          </w:tcPr>
          <w:p w14:paraId="7899726F">
            <w:pPr>
              <w:pStyle w:val="12"/>
              <w:spacing w:line="269" w:lineRule="auto"/>
              <w:rPr>
                <w:lang w:eastAsia="zh-CN"/>
              </w:rPr>
            </w:pPr>
          </w:p>
          <w:p w14:paraId="3E721FFB">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053" w:type="dxa"/>
          </w:tcPr>
          <w:p w14:paraId="3ADC1A8A">
            <w:pPr>
              <w:spacing w:before="195" w:line="233" w:lineRule="auto"/>
              <w:ind w:left="323" w:right="191" w:hanging="149"/>
              <w:jc w:val="center"/>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3375A4E1">
            <w:pPr>
              <w:spacing w:before="196" w:line="225" w:lineRule="auto"/>
              <w:ind w:left="64" w:right="30" w:firstLine="49"/>
              <w:jc w:val="center"/>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39D38A68">
            <w:pPr>
              <w:spacing w:before="195" w:line="236" w:lineRule="auto"/>
              <w:ind w:left="444" w:right="135" w:hanging="299"/>
              <w:jc w:val="center"/>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511468C3">
            <w:pPr>
              <w:spacing w:before="196" w:line="219" w:lineRule="auto"/>
              <w:ind w:left="136"/>
              <w:jc w:val="center"/>
              <w:rPr>
                <w:rFonts w:ascii="宋体" w:hAnsi="宋体" w:eastAsia="宋体" w:cs="宋体"/>
                <w:sz w:val="20"/>
                <w:szCs w:val="20"/>
              </w:rPr>
            </w:pPr>
            <w:r>
              <w:rPr>
                <w:rFonts w:ascii="宋体" w:hAnsi="宋体" w:eastAsia="宋体" w:cs="宋体"/>
                <w:spacing w:val="3"/>
                <w:sz w:val="20"/>
                <w:szCs w:val="20"/>
              </w:rPr>
              <w:t>预算投资</w:t>
            </w:r>
          </w:p>
          <w:p w14:paraId="099C8312">
            <w:pPr>
              <w:spacing w:before="23" w:line="220" w:lineRule="auto"/>
              <w:ind w:left="236"/>
              <w:jc w:val="center"/>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2727A75E">
            <w:pPr>
              <w:spacing w:before="77" w:line="212" w:lineRule="auto"/>
              <w:ind w:left="179"/>
              <w:jc w:val="center"/>
              <w:rPr>
                <w:rFonts w:ascii="宋体" w:hAnsi="宋体" w:eastAsia="宋体" w:cs="宋体"/>
                <w:sz w:val="20"/>
                <w:szCs w:val="20"/>
              </w:rPr>
            </w:pPr>
            <w:r>
              <w:rPr>
                <w:rFonts w:ascii="宋体" w:hAnsi="宋体" w:eastAsia="宋体" w:cs="宋体"/>
                <w:spacing w:val="2"/>
                <w:sz w:val="20"/>
                <w:szCs w:val="20"/>
              </w:rPr>
              <w:t>实际投</w:t>
            </w:r>
          </w:p>
          <w:p w14:paraId="689C2358">
            <w:pPr>
              <w:spacing w:line="220" w:lineRule="auto"/>
              <w:ind w:left="179"/>
              <w:jc w:val="center"/>
              <w:rPr>
                <w:rFonts w:ascii="宋体" w:hAnsi="宋体" w:eastAsia="宋体" w:cs="宋体"/>
                <w:sz w:val="20"/>
                <w:szCs w:val="20"/>
              </w:rPr>
            </w:pPr>
            <w:r>
              <w:rPr>
                <w:rFonts w:ascii="宋体" w:hAnsi="宋体" w:eastAsia="宋体" w:cs="宋体"/>
                <w:spacing w:val="-20"/>
                <w:sz w:val="20"/>
                <w:szCs w:val="20"/>
              </w:rPr>
              <w:t>资(万</w:t>
            </w:r>
          </w:p>
          <w:p w14:paraId="1B0CF8B9">
            <w:pPr>
              <w:spacing w:before="31" w:line="220" w:lineRule="auto"/>
              <w:ind w:left="328"/>
              <w:jc w:val="center"/>
              <w:rPr>
                <w:rFonts w:ascii="宋体" w:hAnsi="宋体" w:eastAsia="宋体" w:cs="宋体"/>
                <w:sz w:val="20"/>
                <w:szCs w:val="20"/>
              </w:rPr>
            </w:pPr>
            <w:r>
              <w:rPr>
                <w:rFonts w:ascii="宋体" w:hAnsi="宋体" w:eastAsia="宋体" w:cs="宋体"/>
                <w:spacing w:val="-5"/>
                <w:sz w:val="20"/>
                <w:szCs w:val="20"/>
              </w:rPr>
              <w:t>元)</w:t>
            </w:r>
          </w:p>
        </w:tc>
        <w:tc>
          <w:tcPr>
            <w:tcW w:w="874" w:type="dxa"/>
          </w:tcPr>
          <w:p w14:paraId="06EF760A">
            <w:pPr>
              <w:spacing w:before="86" w:line="212" w:lineRule="auto"/>
              <w:ind w:left="129"/>
              <w:jc w:val="center"/>
              <w:rPr>
                <w:rFonts w:ascii="宋体" w:hAnsi="宋体" w:eastAsia="宋体" w:cs="宋体"/>
                <w:sz w:val="20"/>
                <w:szCs w:val="20"/>
              </w:rPr>
            </w:pPr>
            <w:r>
              <w:rPr>
                <w:rFonts w:ascii="宋体" w:hAnsi="宋体" w:eastAsia="宋体" w:cs="宋体"/>
                <w:spacing w:val="-3"/>
                <w:sz w:val="20"/>
                <w:szCs w:val="20"/>
              </w:rPr>
              <w:t>投资概</w:t>
            </w:r>
          </w:p>
          <w:p w14:paraId="28D176CB">
            <w:pPr>
              <w:spacing w:line="219" w:lineRule="auto"/>
              <w:ind w:left="129"/>
              <w:jc w:val="center"/>
              <w:rPr>
                <w:rFonts w:ascii="宋体" w:hAnsi="宋体" w:eastAsia="宋体" w:cs="宋体"/>
                <w:sz w:val="20"/>
                <w:szCs w:val="20"/>
              </w:rPr>
            </w:pPr>
            <w:r>
              <w:rPr>
                <w:rFonts w:ascii="宋体" w:hAnsi="宋体" w:eastAsia="宋体" w:cs="宋体"/>
                <w:spacing w:val="5"/>
                <w:sz w:val="20"/>
                <w:szCs w:val="20"/>
              </w:rPr>
              <w:t>算控制</w:t>
            </w:r>
          </w:p>
          <w:p w14:paraId="4E3E9295">
            <w:pPr>
              <w:spacing w:before="32" w:line="219" w:lineRule="auto"/>
              <w:ind w:left="330"/>
              <w:jc w:val="center"/>
              <w:rPr>
                <w:rFonts w:ascii="宋体" w:hAnsi="宋体" w:eastAsia="宋体" w:cs="宋体"/>
                <w:sz w:val="20"/>
                <w:szCs w:val="20"/>
              </w:rPr>
            </w:pPr>
            <w:r>
              <w:rPr>
                <w:rFonts w:ascii="宋体" w:hAnsi="宋体" w:eastAsia="宋体" w:cs="宋体"/>
                <w:sz w:val="20"/>
                <w:szCs w:val="20"/>
              </w:rPr>
              <w:t>率</w:t>
            </w:r>
          </w:p>
        </w:tc>
      </w:tr>
      <w:tr w14:paraId="7202F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447" w:type="dxa"/>
            <w:vMerge w:val="continue"/>
            <w:tcBorders>
              <w:top w:val="nil"/>
            </w:tcBorders>
          </w:tcPr>
          <w:p w14:paraId="0F2F4516">
            <w:pPr>
              <w:pStyle w:val="12"/>
            </w:pPr>
          </w:p>
        </w:tc>
        <w:tc>
          <w:tcPr>
            <w:tcW w:w="1053" w:type="dxa"/>
          </w:tcPr>
          <w:p w14:paraId="4BDF3334">
            <w:pPr>
              <w:pStyle w:val="12"/>
              <w:jc w:val="center"/>
            </w:pPr>
          </w:p>
        </w:tc>
        <w:tc>
          <w:tcPr>
            <w:tcW w:w="849" w:type="dxa"/>
          </w:tcPr>
          <w:p w14:paraId="04453D5B">
            <w:pPr>
              <w:pStyle w:val="12"/>
              <w:jc w:val="center"/>
            </w:pPr>
          </w:p>
        </w:tc>
        <w:tc>
          <w:tcPr>
            <w:tcW w:w="1109" w:type="dxa"/>
          </w:tcPr>
          <w:p w14:paraId="58F2CB6E">
            <w:pPr>
              <w:pStyle w:val="12"/>
              <w:jc w:val="center"/>
            </w:pPr>
          </w:p>
        </w:tc>
        <w:tc>
          <w:tcPr>
            <w:tcW w:w="1088" w:type="dxa"/>
          </w:tcPr>
          <w:p w14:paraId="214A3BFE">
            <w:pPr>
              <w:pStyle w:val="12"/>
              <w:jc w:val="center"/>
            </w:pPr>
          </w:p>
        </w:tc>
        <w:tc>
          <w:tcPr>
            <w:tcW w:w="969" w:type="dxa"/>
          </w:tcPr>
          <w:p w14:paraId="1989B661">
            <w:pPr>
              <w:pStyle w:val="12"/>
              <w:jc w:val="center"/>
            </w:pPr>
          </w:p>
        </w:tc>
        <w:tc>
          <w:tcPr>
            <w:tcW w:w="874" w:type="dxa"/>
          </w:tcPr>
          <w:p w14:paraId="05F2187E">
            <w:pPr>
              <w:pStyle w:val="12"/>
              <w:jc w:val="center"/>
            </w:pPr>
          </w:p>
        </w:tc>
      </w:tr>
      <w:tr w14:paraId="69228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447" w:type="dxa"/>
          </w:tcPr>
          <w:p w14:paraId="0EDF0313">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5942" w:type="dxa"/>
            <w:gridSpan w:val="6"/>
            <w:vAlign w:val="center"/>
          </w:tcPr>
          <w:p w14:paraId="6C462A46">
            <w:pPr>
              <w:pStyle w:val="12"/>
              <w:jc w:val="center"/>
              <w:rPr>
                <w:lang w:eastAsia="zh-CN"/>
              </w:rPr>
            </w:pPr>
            <w:r>
              <w:rPr>
                <w:rFonts w:hint="eastAsia"/>
                <w:lang w:eastAsia="zh-CN"/>
              </w:rPr>
              <w:t>加强资金管理，严控办公费、差旅费、培训费等支出。</w:t>
            </w:r>
          </w:p>
        </w:tc>
      </w:tr>
    </w:tbl>
    <w:p w14:paraId="02645076">
      <w:pPr>
        <w:pStyle w:val="3"/>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7D465B56">
      <w:pPr>
        <w:pStyle w:val="3"/>
        <w:spacing w:before="12" w:line="285" w:lineRule="auto"/>
        <w:ind w:right="285" w:firstLine="420" w:firstLineChars="200"/>
        <w:rPr>
          <w:rFonts w:ascii="宋体" w:hAnsi="宋体" w:eastAsia="宋体" w:cs="宋体"/>
          <w:sz w:val="21"/>
          <w:szCs w:val="21"/>
          <w:lang w:eastAsia="zh-CN"/>
        </w:rPr>
      </w:pPr>
    </w:p>
    <w:p w14:paraId="6D96A3F6">
      <w:pPr>
        <w:pStyle w:val="3"/>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戴英伟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eastAsia="zh-CN"/>
        </w:rPr>
        <w:t>17670489993</w:t>
      </w:r>
    </w:p>
    <w:p w14:paraId="34627D11">
      <w:pPr>
        <w:pStyle w:val="3"/>
        <w:spacing w:before="100" w:line="222" w:lineRule="auto"/>
        <w:ind w:left="414"/>
        <w:rPr>
          <w:sz w:val="24"/>
          <w:szCs w:val="24"/>
          <w:lang w:eastAsia="zh-CN"/>
        </w:rPr>
      </w:pPr>
      <w:r>
        <w:rPr>
          <w:spacing w:val="15"/>
          <w:sz w:val="24"/>
          <w:szCs w:val="24"/>
          <w:lang w:eastAsia="zh-CN"/>
        </w:rPr>
        <w:t>附件1-2</w:t>
      </w:r>
    </w:p>
    <w:p w14:paraId="3B67BF72">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11"/>
        <w:tblW w:w="945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943"/>
        <w:gridCol w:w="637"/>
        <w:gridCol w:w="738"/>
        <w:gridCol w:w="1384"/>
      </w:tblGrid>
      <w:tr w14:paraId="277EB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2E9C176F">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307" w:type="dxa"/>
            <w:gridSpan w:val="8"/>
            <w:vAlign w:val="center"/>
          </w:tcPr>
          <w:p w14:paraId="2B1059C4">
            <w:pPr>
              <w:pStyle w:val="12"/>
              <w:jc w:val="center"/>
              <w:rPr>
                <w:lang w:eastAsia="zh-CN"/>
              </w:rPr>
            </w:pPr>
            <w:r>
              <w:rPr>
                <w:rFonts w:hint="eastAsia" w:ascii="宋体" w:hAnsi="宋体" w:eastAsia="宋体" w:cs="宋体"/>
                <w:spacing w:val="-1"/>
                <w:lang w:eastAsia="zh-CN"/>
              </w:rPr>
              <w:t>怀化市鹤城区科学技术协会</w:t>
            </w:r>
          </w:p>
        </w:tc>
      </w:tr>
      <w:tr w14:paraId="70B2F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E78AA39">
            <w:pPr>
              <w:pStyle w:val="12"/>
              <w:spacing w:line="244" w:lineRule="auto"/>
              <w:rPr>
                <w:lang w:eastAsia="zh-CN"/>
              </w:rPr>
            </w:pPr>
          </w:p>
          <w:p w14:paraId="48E3C4B7">
            <w:pPr>
              <w:pStyle w:val="12"/>
              <w:spacing w:line="244" w:lineRule="auto"/>
              <w:rPr>
                <w:lang w:eastAsia="zh-CN"/>
              </w:rPr>
            </w:pPr>
          </w:p>
          <w:p w14:paraId="4E9ACB85">
            <w:pPr>
              <w:pStyle w:val="12"/>
              <w:spacing w:line="245" w:lineRule="auto"/>
              <w:rPr>
                <w:lang w:eastAsia="zh-CN"/>
              </w:rPr>
            </w:pPr>
          </w:p>
          <w:p w14:paraId="496E8216">
            <w:pPr>
              <w:pStyle w:val="12"/>
              <w:spacing w:line="245" w:lineRule="auto"/>
              <w:rPr>
                <w:lang w:eastAsia="zh-CN"/>
              </w:rPr>
            </w:pPr>
          </w:p>
          <w:p w14:paraId="27D6D83E">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2BA5554A">
            <w:pPr>
              <w:pStyle w:val="12"/>
            </w:pPr>
          </w:p>
        </w:tc>
        <w:tc>
          <w:tcPr>
            <w:tcW w:w="1039" w:type="dxa"/>
          </w:tcPr>
          <w:p w14:paraId="670C0C5F">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7172B4C5">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943" w:type="dxa"/>
          </w:tcPr>
          <w:p w14:paraId="2738B825">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37" w:type="dxa"/>
          </w:tcPr>
          <w:p w14:paraId="27D725AF">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738" w:type="dxa"/>
            <w:textDirection w:val="tbRlV"/>
            <w:vAlign w:val="center"/>
          </w:tcPr>
          <w:p w14:paraId="4484CC61">
            <w:pPr>
              <w:spacing w:before="139" w:line="200" w:lineRule="auto"/>
              <w:ind w:left="50"/>
              <w:jc w:val="center"/>
              <w:rPr>
                <w:rFonts w:ascii="宋体" w:hAnsi="宋体" w:eastAsia="宋体" w:cs="宋体"/>
                <w:sz w:val="20"/>
                <w:szCs w:val="20"/>
              </w:rPr>
            </w:pPr>
            <w:r>
              <w:rPr>
                <w:rFonts w:ascii="宋体" w:hAnsi="宋体" w:eastAsia="宋体" w:cs="宋体"/>
                <w:sz w:val="20"/>
                <w:szCs w:val="20"/>
              </w:rPr>
              <w:t>执行率</w:t>
            </w:r>
          </w:p>
        </w:tc>
        <w:tc>
          <w:tcPr>
            <w:tcW w:w="1384" w:type="dxa"/>
          </w:tcPr>
          <w:p w14:paraId="1C962382">
            <w:pPr>
              <w:spacing w:before="269" w:line="219" w:lineRule="auto"/>
              <w:ind w:firstLine="400" w:firstLineChars="200"/>
              <w:jc w:val="both"/>
              <w:rPr>
                <w:rFonts w:ascii="宋体" w:hAnsi="宋体" w:eastAsia="宋体" w:cs="宋体"/>
                <w:sz w:val="20"/>
                <w:szCs w:val="20"/>
              </w:rPr>
            </w:pPr>
            <w:r>
              <w:rPr>
                <w:rFonts w:ascii="宋体" w:hAnsi="宋体" w:eastAsia="宋体" w:cs="宋体"/>
                <w:sz w:val="20"/>
                <w:szCs w:val="20"/>
              </w:rPr>
              <w:t>得分</w:t>
            </w:r>
          </w:p>
        </w:tc>
      </w:tr>
      <w:tr w14:paraId="43337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265AD7DF">
            <w:pPr>
              <w:pStyle w:val="12"/>
            </w:pPr>
          </w:p>
        </w:tc>
        <w:tc>
          <w:tcPr>
            <w:tcW w:w="2278" w:type="dxa"/>
            <w:gridSpan w:val="2"/>
          </w:tcPr>
          <w:p w14:paraId="0140757E">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vAlign w:val="center"/>
          </w:tcPr>
          <w:p w14:paraId="5E93C031">
            <w:pPr>
              <w:pStyle w:val="12"/>
              <w:jc w:val="center"/>
              <w:rPr>
                <w:rFonts w:eastAsia="宋体"/>
                <w:lang w:eastAsia="zh-CN"/>
              </w:rPr>
            </w:pPr>
            <w:r>
              <w:rPr>
                <w:rFonts w:hint="eastAsia" w:eastAsia="宋体"/>
                <w:lang w:eastAsia="zh-CN"/>
              </w:rPr>
              <w:t>169.32</w:t>
            </w:r>
          </w:p>
        </w:tc>
        <w:tc>
          <w:tcPr>
            <w:tcW w:w="1288" w:type="dxa"/>
            <w:vAlign w:val="center"/>
          </w:tcPr>
          <w:p w14:paraId="31D843B7">
            <w:pPr>
              <w:pStyle w:val="12"/>
              <w:jc w:val="center"/>
            </w:pPr>
            <w:r>
              <w:rPr>
                <w:rFonts w:hint="eastAsia"/>
              </w:rPr>
              <w:t>186.66</w:t>
            </w:r>
          </w:p>
        </w:tc>
        <w:tc>
          <w:tcPr>
            <w:tcW w:w="943" w:type="dxa"/>
            <w:vAlign w:val="center"/>
          </w:tcPr>
          <w:p w14:paraId="1AA6E2E3">
            <w:pPr>
              <w:pStyle w:val="12"/>
              <w:jc w:val="center"/>
            </w:pPr>
            <w:r>
              <w:rPr>
                <w:rFonts w:hint="eastAsia"/>
              </w:rPr>
              <w:t>186.66</w:t>
            </w:r>
          </w:p>
        </w:tc>
        <w:tc>
          <w:tcPr>
            <w:tcW w:w="637" w:type="dxa"/>
            <w:vAlign w:val="center"/>
          </w:tcPr>
          <w:p w14:paraId="5F8C74C3">
            <w:pPr>
              <w:spacing w:before="120" w:line="184" w:lineRule="auto"/>
              <w:ind w:firstLine="210" w:firstLineChars="100"/>
              <w:jc w:val="both"/>
              <w:rPr>
                <w:rFonts w:ascii="宋体" w:hAnsi="宋体" w:eastAsia="宋体" w:cs="宋体"/>
                <w:sz w:val="20"/>
                <w:szCs w:val="20"/>
                <w:lang w:eastAsia="zh-CN"/>
              </w:rPr>
            </w:pPr>
            <w:r>
              <w:rPr>
                <w:rFonts w:hint="eastAsia"/>
                <w:lang w:eastAsia="zh-CN"/>
              </w:rPr>
              <w:t>10</w:t>
            </w:r>
          </w:p>
        </w:tc>
        <w:tc>
          <w:tcPr>
            <w:tcW w:w="738" w:type="dxa"/>
            <w:vAlign w:val="center"/>
          </w:tcPr>
          <w:p w14:paraId="738B022A">
            <w:pPr>
              <w:pStyle w:val="12"/>
              <w:jc w:val="center"/>
            </w:pPr>
            <w:r>
              <w:rPr>
                <w:rFonts w:hint="eastAsia" w:eastAsia="宋体"/>
                <w:lang w:eastAsia="zh-CN"/>
              </w:rPr>
              <w:t>100</w:t>
            </w:r>
            <w:r>
              <w:rPr>
                <w:rFonts w:hint="eastAsia"/>
              </w:rPr>
              <w:t>%</w:t>
            </w:r>
          </w:p>
        </w:tc>
        <w:tc>
          <w:tcPr>
            <w:tcW w:w="1384" w:type="dxa"/>
            <w:vAlign w:val="center"/>
          </w:tcPr>
          <w:p w14:paraId="2DE6EC78">
            <w:pPr>
              <w:pStyle w:val="12"/>
              <w:jc w:val="center"/>
              <w:rPr>
                <w:rFonts w:eastAsia="宋体"/>
                <w:lang w:eastAsia="zh-CN"/>
              </w:rPr>
            </w:pPr>
            <w:r>
              <w:rPr>
                <w:rFonts w:hint="eastAsia" w:eastAsia="宋体"/>
                <w:lang w:eastAsia="zh-CN"/>
              </w:rPr>
              <w:t>10</w:t>
            </w:r>
          </w:p>
        </w:tc>
      </w:tr>
      <w:tr w14:paraId="37CCB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3105B0C2">
            <w:pPr>
              <w:pStyle w:val="12"/>
            </w:pPr>
          </w:p>
        </w:tc>
        <w:tc>
          <w:tcPr>
            <w:tcW w:w="4605" w:type="dxa"/>
            <w:gridSpan w:val="4"/>
          </w:tcPr>
          <w:p w14:paraId="0BE344E9">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702" w:type="dxa"/>
            <w:gridSpan w:val="4"/>
          </w:tcPr>
          <w:p w14:paraId="2E5F7709">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1D485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38FEEE63">
            <w:pPr>
              <w:pStyle w:val="12"/>
            </w:pPr>
          </w:p>
        </w:tc>
        <w:tc>
          <w:tcPr>
            <w:tcW w:w="4605" w:type="dxa"/>
            <w:gridSpan w:val="4"/>
          </w:tcPr>
          <w:p w14:paraId="20F8D82F">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lang w:eastAsia="zh-CN"/>
              </w:rPr>
              <w:t>186.66</w:t>
            </w:r>
          </w:p>
        </w:tc>
        <w:tc>
          <w:tcPr>
            <w:tcW w:w="3702" w:type="dxa"/>
            <w:gridSpan w:val="4"/>
          </w:tcPr>
          <w:p w14:paraId="14D4A73F">
            <w:pPr>
              <w:spacing w:before="68" w:line="219" w:lineRule="auto"/>
              <w:ind w:left="95"/>
              <w:rPr>
                <w:rFonts w:ascii="宋体" w:hAnsi="宋体" w:eastAsia="宋体" w:cs="宋体"/>
                <w:sz w:val="20"/>
                <w:szCs w:val="20"/>
              </w:rPr>
            </w:pPr>
            <w:r>
              <w:rPr>
                <w:rFonts w:ascii="宋体" w:hAnsi="宋体" w:eastAsia="宋体" w:cs="宋体"/>
                <w:sz w:val="20"/>
                <w:szCs w:val="20"/>
              </w:rPr>
              <w:t>其中：基本支出：</w:t>
            </w:r>
            <w:r>
              <w:rPr>
                <w:rFonts w:hint="eastAsia" w:ascii="宋体" w:hAnsi="宋体" w:eastAsia="宋体" w:cs="宋体"/>
                <w:sz w:val="20"/>
                <w:szCs w:val="20"/>
              </w:rPr>
              <w:t>165.26</w:t>
            </w:r>
          </w:p>
        </w:tc>
      </w:tr>
      <w:tr w14:paraId="79F45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A8487F8">
            <w:pPr>
              <w:pStyle w:val="12"/>
            </w:pPr>
          </w:p>
        </w:tc>
        <w:tc>
          <w:tcPr>
            <w:tcW w:w="4605" w:type="dxa"/>
            <w:gridSpan w:val="4"/>
          </w:tcPr>
          <w:p w14:paraId="3EB7E27C">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702" w:type="dxa"/>
            <w:gridSpan w:val="4"/>
          </w:tcPr>
          <w:p w14:paraId="0DDE6E2A">
            <w:pPr>
              <w:spacing w:before="70" w:line="220" w:lineRule="auto"/>
              <w:ind w:left="715"/>
              <w:rPr>
                <w:rFonts w:ascii="宋体" w:hAnsi="宋体" w:eastAsia="宋体" w:cs="宋体"/>
                <w:b/>
                <w:bCs/>
                <w:sz w:val="20"/>
                <w:szCs w:val="20"/>
                <w:lang w:eastAsia="zh-CN"/>
              </w:rPr>
            </w:pPr>
            <w:r>
              <w:rPr>
                <w:rFonts w:ascii="宋体" w:hAnsi="宋体" w:eastAsia="宋体" w:cs="宋体"/>
                <w:spacing w:val="-1"/>
                <w:sz w:val="20"/>
                <w:szCs w:val="20"/>
              </w:rPr>
              <w:t>项目支出：</w:t>
            </w:r>
            <w:r>
              <w:rPr>
                <w:rFonts w:hint="eastAsia" w:ascii="宋体" w:hAnsi="宋体" w:eastAsia="宋体" w:cs="宋体"/>
                <w:spacing w:val="-1"/>
                <w:sz w:val="20"/>
                <w:szCs w:val="20"/>
              </w:rPr>
              <w:t>21.4</w:t>
            </w:r>
            <w:r>
              <w:rPr>
                <w:rFonts w:hint="eastAsia" w:ascii="宋体" w:hAnsi="宋体" w:eastAsia="宋体" w:cs="宋体"/>
                <w:spacing w:val="-1"/>
                <w:sz w:val="20"/>
                <w:szCs w:val="20"/>
                <w:lang w:eastAsia="zh-CN"/>
              </w:rPr>
              <w:t>0</w:t>
            </w:r>
          </w:p>
        </w:tc>
      </w:tr>
      <w:tr w14:paraId="4A97A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C3E76E1">
            <w:pPr>
              <w:pStyle w:val="12"/>
            </w:pPr>
          </w:p>
        </w:tc>
        <w:tc>
          <w:tcPr>
            <w:tcW w:w="4605" w:type="dxa"/>
            <w:gridSpan w:val="4"/>
          </w:tcPr>
          <w:p w14:paraId="446635D6">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702" w:type="dxa"/>
            <w:gridSpan w:val="4"/>
          </w:tcPr>
          <w:p w14:paraId="2B2A24AA">
            <w:pPr>
              <w:pStyle w:val="12"/>
              <w:rPr>
                <w:lang w:eastAsia="zh-CN"/>
              </w:rPr>
            </w:pPr>
          </w:p>
        </w:tc>
      </w:tr>
      <w:tr w14:paraId="712E4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47226539">
            <w:pPr>
              <w:pStyle w:val="12"/>
              <w:rPr>
                <w:lang w:eastAsia="zh-CN"/>
              </w:rPr>
            </w:pPr>
          </w:p>
        </w:tc>
        <w:tc>
          <w:tcPr>
            <w:tcW w:w="4605" w:type="dxa"/>
            <w:gridSpan w:val="4"/>
          </w:tcPr>
          <w:p w14:paraId="295A8C84">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702" w:type="dxa"/>
            <w:gridSpan w:val="4"/>
          </w:tcPr>
          <w:p w14:paraId="71FE3292">
            <w:pPr>
              <w:pStyle w:val="12"/>
            </w:pPr>
          </w:p>
        </w:tc>
      </w:tr>
      <w:tr w14:paraId="0D524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1CD098AF">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49E01757">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702" w:type="dxa"/>
            <w:gridSpan w:val="4"/>
          </w:tcPr>
          <w:p w14:paraId="208DC61A">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50C36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atLeast"/>
        </w:trPr>
        <w:tc>
          <w:tcPr>
            <w:tcW w:w="1144" w:type="dxa"/>
            <w:vMerge w:val="continue"/>
            <w:tcBorders>
              <w:top w:val="nil"/>
            </w:tcBorders>
          </w:tcPr>
          <w:p w14:paraId="00422EA5">
            <w:pPr>
              <w:pStyle w:val="12"/>
            </w:pPr>
          </w:p>
        </w:tc>
        <w:tc>
          <w:tcPr>
            <w:tcW w:w="4605" w:type="dxa"/>
            <w:gridSpan w:val="4"/>
          </w:tcPr>
          <w:p w14:paraId="533A4E55">
            <w:pPr>
              <w:pStyle w:val="12"/>
              <w:spacing w:line="230" w:lineRule="exact"/>
              <w:jc w:val="center"/>
              <w:rPr>
                <w:rFonts w:eastAsia="宋体"/>
                <w:sz w:val="20"/>
                <w:highlight w:val="yellow"/>
                <w:lang w:eastAsia="zh-CN"/>
              </w:rPr>
            </w:pPr>
            <w:r>
              <w:rPr>
                <w:rFonts w:hint="eastAsia" w:ascii="宋体" w:hAnsi="宋体" w:eastAsia="宋体" w:cs="宋体"/>
                <w:sz w:val="20"/>
                <w:szCs w:val="20"/>
                <w:lang w:eastAsia="zh-CN"/>
              </w:rPr>
              <w:t>认真抓好学习贯彻党的二十大精神专题研讨班培训工作和主题教育活动，坚决贯彻落实区委区政府的工作部署，教育引导党员、干部在以学铸魂、以学增智、以学正风、以学促干上下功夫见实效。</w:t>
            </w:r>
          </w:p>
        </w:tc>
        <w:tc>
          <w:tcPr>
            <w:tcW w:w="3702" w:type="dxa"/>
            <w:gridSpan w:val="4"/>
          </w:tcPr>
          <w:p w14:paraId="5585B00F">
            <w:pPr>
              <w:pStyle w:val="12"/>
              <w:spacing w:line="230" w:lineRule="exact"/>
              <w:jc w:val="center"/>
              <w:rPr>
                <w:rFonts w:eastAsia="宋体"/>
                <w:sz w:val="20"/>
                <w:highlight w:val="yellow"/>
                <w:lang w:eastAsia="zh-CN"/>
              </w:rPr>
            </w:pPr>
            <w:r>
              <w:rPr>
                <w:rFonts w:hint="eastAsia" w:ascii="宋体" w:hAnsi="宋体" w:eastAsia="宋体" w:cs="宋体"/>
                <w:sz w:val="20"/>
                <w:szCs w:val="20"/>
                <w:lang w:eastAsia="zh-CN"/>
              </w:rPr>
              <w:t>认真抓好学习贯彻党的二十大精神专题研讨班培训工作和主题教育活动，坚决贯彻落实区委区政府的工作部署，教育引导党员、干部在以学铸魂、以学增智、以学正风、以学促干上下功夫见实效。</w:t>
            </w:r>
          </w:p>
        </w:tc>
      </w:tr>
      <w:tr w14:paraId="67E24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5B5666E3">
            <w:pPr>
              <w:pStyle w:val="12"/>
              <w:spacing w:line="396" w:lineRule="auto"/>
              <w:rPr>
                <w:lang w:eastAsia="zh-CN"/>
              </w:rPr>
            </w:pPr>
          </w:p>
          <w:p w14:paraId="68A1EF5F">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Pr>
          <w:p w14:paraId="345E6660">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6AB6348C">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2B1CF264">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2EE4F09B">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943" w:type="dxa"/>
          </w:tcPr>
          <w:p w14:paraId="56CC16A1">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37" w:type="dxa"/>
          </w:tcPr>
          <w:p w14:paraId="1E9A0702">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738" w:type="dxa"/>
            <w:textDirection w:val="tbRlV"/>
          </w:tcPr>
          <w:p w14:paraId="0CF5F635">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384" w:type="dxa"/>
          </w:tcPr>
          <w:p w14:paraId="3F61DC0A">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73B8E9D0">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65D42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extDirection w:val="tbRlV"/>
          </w:tcPr>
          <w:p w14:paraId="2A75D06A">
            <w:pPr>
              <w:pStyle w:val="12"/>
              <w:rPr>
                <w:lang w:eastAsia="zh-CN"/>
              </w:rPr>
            </w:pPr>
          </w:p>
        </w:tc>
        <w:tc>
          <w:tcPr>
            <w:tcW w:w="1169" w:type="dxa"/>
            <w:vMerge w:val="restart"/>
            <w:tcBorders>
              <w:bottom w:val="nil"/>
            </w:tcBorders>
          </w:tcPr>
          <w:p w14:paraId="2432CF5F">
            <w:pPr>
              <w:pStyle w:val="12"/>
              <w:spacing w:line="277" w:lineRule="auto"/>
              <w:rPr>
                <w:lang w:eastAsia="zh-CN"/>
              </w:rPr>
            </w:pPr>
          </w:p>
          <w:p w14:paraId="5A92B4D3">
            <w:pPr>
              <w:pStyle w:val="12"/>
              <w:spacing w:line="277" w:lineRule="auto"/>
              <w:rPr>
                <w:lang w:eastAsia="zh-CN"/>
              </w:rPr>
            </w:pPr>
          </w:p>
          <w:p w14:paraId="0CEA6CAB">
            <w:pPr>
              <w:pStyle w:val="12"/>
              <w:spacing w:line="278" w:lineRule="auto"/>
              <w:rPr>
                <w:lang w:eastAsia="zh-CN"/>
              </w:rPr>
            </w:pPr>
          </w:p>
          <w:p w14:paraId="6F155AA5">
            <w:pPr>
              <w:pStyle w:val="12"/>
              <w:spacing w:line="278" w:lineRule="auto"/>
              <w:rPr>
                <w:lang w:eastAsia="zh-CN"/>
              </w:rPr>
            </w:pPr>
          </w:p>
          <w:p w14:paraId="6DF32F71">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6AB7D767">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tcPr>
          <w:p w14:paraId="2AD2014D">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vAlign w:val="center"/>
          </w:tcPr>
          <w:p w14:paraId="3F54C034">
            <w:pPr>
              <w:pStyle w:val="12"/>
              <w:jc w:val="center"/>
              <w:rPr>
                <w:rFonts w:ascii="宋体" w:hAnsi="宋体" w:eastAsia="宋体" w:cs="宋体"/>
                <w:sz w:val="20"/>
                <w:szCs w:val="20"/>
                <w:highlight w:val="yellow"/>
                <w:lang w:eastAsia="zh-CN"/>
              </w:rPr>
            </w:pPr>
            <w:r>
              <w:rPr>
                <w:rFonts w:hint="eastAsia" w:asciiTheme="minorEastAsia" w:hAnsiTheme="minorEastAsia" w:eastAsiaTheme="minorEastAsia" w:cstheme="minorEastAsia"/>
                <w:sz w:val="20"/>
                <w:szCs w:val="20"/>
                <w:lang w:eastAsia="zh-CN"/>
              </w:rPr>
              <w:t>工作完成率</w:t>
            </w:r>
          </w:p>
        </w:tc>
        <w:tc>
          <w:tcPr>
            <w:tcW w:w="1288" w:type="dxa"/>
            <w:shd w:val="clear" w:color="auto" w:fill="auto"/>
            <w:vAlign w:val="center"/>
          </w:tcPr>
          <w:p w14:paraId="619BC52E">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100%</w:t>
            </w:r>
          </w:p>
        </w:tc>
        <w:tc>
          <w:tcPr>
            <w:tcW w:w="943" w:type="dxa"/>
            <w:shd w:val="clear" w:color="auto" w:fill="auto"/>
            <w:vAlign w:val="center"/>
          </w:tcPr>
          <w:p w14:paraId="48FCD10E">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100%</w:t>
            </w:r>
          </w:p>
        </w:tc>
        <w:tc>
          <w:tcPr>
            <w:tcW w:w="637" w:type="dxa"/>
            <w:vAlign w:val="center"/>
          </w:tcPr>
          <w:p w14:paraId="60C293E8">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738" w:type="dxa"/>
            <w:vAlign w:val="center"/>
          </w:tcPr>
          <w:p w14:paraId="634DCBC5">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1384" w:type="dxa"/>
            <w:vAlign w:val="center"/>
          </w:tcPr>
          <w:p w14:paraId="2E22E32B">
            <w:pPr>
              <w:pStyle w:val="12"/>
              <w:jc w:val="center"/>
              <w:rPr>
                <w:rFonts w:ascii="宋体" w:hAnsi="宋体" w:eastAsia="宋体" w:cs="宋体"/>
                <w:sz w:val="20"/>
                <w:szCs w:val="20"/>
              </w:rPr>
            </w:pPr>
          </w:p>
        </w:tc>
      </w:tr>
      <w:tr w14:paraId="6013A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1144" w:type="dxa"/>
            <w:vMerge w:val="continue"/>
            <w:tcBorders>
              <w:top w:val="nil"/>
              <w:bottom w:val="nil"/>
            </w:tcBorders>
            <w:textDirection w:val="tbRlV"/>
          </w:tcPr>
          <w:p w14:paraId="6016102B">
            <w:pPr>
              <w:pStyle w:val="12"/>
            </w:pPr>
          </w:p>
        </w:tc>
        <w:tc>
          <w:tcPr>
            <w:tcW w:w="1169" w:type="dxa"/>
            <w:vMerge w:val="continue"/>
            <w:tcBorders>
              <w:top w:val="nil"/>
              <w:bottom w:val="nil"/>
            </w:tcBorders>
          </w:tcPr>
          <w:p w14:paraId="2FA3AC8A">
            <w:pPr>
              <w:pStyle w:val="12"/>
            </w:pPr>
          </w:p>
        </w:tc>
        <w:tc>
          <w:tcPr>
            <w:tcW w:w="1109" w:type="dxa"/>
            <w:tcBorders>
              <w:bottom w:val="nil"/>
            </w:tcBorders>
          </w:tcPr>
          <w:p w14:paraId="7464E5BB">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shd w:val="clear" w:color="auto" w:fill="auto"/>
            <w:vAlign w:val="center"/>
          </w:tcPr>
          <w:p w14:paraId="5D878436">
            <w:pPr>
              <w:jc w:val="center"/>
              <w:rPr>
                <w:rFonts w:ascii="宋体" w:hAnsi="宋体" w:eastAsia="宋体" w:cs="宋体"/>
                <w:sz w:val="20"/>
                <w:szCs w:val="20"/>
                <w:highlight w:val="yellow"/>
                <w:lang w:eastAsia="zh-CN"/>
              </w:rPr>
            </w:pPr>
            <w:r>
              <w:rPr>
                <w:rFonts w:hint="eastAsia" w:asciiTheme="minorEastAsia" w:hAnsiTheme="minorEastAsia" w:eastAsiaTheme="minorEastAsia" w:cstheme="minorEastAsia"/>
                <w:sz w:val="20"/>
                <w:szCs w:val="20"/>
                <w:lang w:eastAsia="zh-CN"/>
              </w:rPr>
              <w:t>工作合格率</w:t>
            </w:r>
          </w:p>
        </w:tc>
        <w:tc>
          <w:tcPr>
            <w:tcW w:w="1288" w:type="dxa"/>
            <w:shd w:val="clear" w:color="auto" w:fill="auto"/>
            <w:vAlign w:val="center"/>
          </w:tcPr>
          <w:p w14:paraId="57FF8B02">
            <w:pPr>
              <w:pStyle w:val="12"/>
              <w:jc w:val="center"/>
              <w:rPr>
                <w:rFonts w:ascii="宋体" w:hAnsi="宋体" w:eastAsia="宋体" w:cs="宋体"/>
                <w:sz w:val="20"/>
                <w:szCs w:val="20"/>
                <w:highlight w:val="yellow"/>
                <w:lang w:eastAsia="zh-CN"/>
              </w:rPr>
            </w:pPr>
            <w:r>
              <w:rPr>
                <w:rFonts w:hint="eastAsia" w:ascii="宋体" w:hAnsi="宋体" w:eastAsia="宋体" w:cs="宋体"/>
                <w:sz w:val="20"/>
                <w:szCs w:val="20"/>
                <w:lang w:eastAsia="zh-CN"/>
              </w:rPr>
              <w:t>≥90%</w:t>
            </w:r>
          </w:p>
        </w:tc>
        <w:tc>
          <w:tcPr>
            <w:tcW w:w="943" w:type="dxa"/>
            <w:shd w:val="clear" w:color="auto" w:fill="auto"/>
            <w:vAlign w:val="center"/>
          </w:tcPr>
          <w:p w14:paraId="34986233">
            <w:pPr>
              <w:pStyle w:val="12"/>
              <w:jc w:val="center"/>
              <w:rPr>
                <w:rFonts w:ascii="宋体" w:hAnsi="宋体" w:eastAsia="宋体" w:cs="宋体"/>
                <w:sz w:val="20"/>
                <w:szCs w:val="20"/>
                <w:highlight w:val="yellow"/>
                <w:lang w:eastAsia="zh-CN"/>
              </w:rPr>
            </w:pPr>
            <w:r>
              <w:rPr>
                <w:rFonts w:hint="eastAsia" w:ascii="宋体" w:hAnsi="宋体" w:eastAsia="宋体" w:cs="宋体"/>
                <w:sz w:val="20"/>
                <w:szCs w:val="20"/>
                <w:lang w:eastAsia="zh-CN"/>
              </w:rPr>
              <w:t>100%</w:t>
            </w:r>
          </w:p>
        </w:tc>
        <w:tc>
          <w:tcPr>
            <w:tcW w:w="637" w:type="dxa"/>
            <w:vAlign w:val="center"/>
          </w:tcPr>
          <w:p w14:paraId="45C5CBEC">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w:t>
            </w:r>
          </w:p>
        </w:tc>
        <w:tc>
          <w:tcPr>
            <w:tcW w:w="738" w:type="dxa"/>
            <w:vAlign w:val="center"/>
          </w:tcPr>
          <w:p w14:paraId="046951F5">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9</w:t>
            </w:r>
          </w:p>
        </w:tc>
        <w:tc>
          <w:tcPr>
            <w:tcW w:w="1384" w:type="dxa"/>
            <w:vAlign w:val="center"/>
          </w:tcPr>
          <w:p w14:paraId="4C16831A">
            <w:pPr>
              <w:pStyle w:val="12"/>
              <w:jc w:val="center"/>
              <w:rPr>
                <w:rFonts w:ascii="宋体" w:hAnsi="宋体" w:eastAsia="宋体" w:cs="宋体"/>
                <w:sz w:val="20"/>
                <w:szCs w:val="20"/>
              </w:rPr>
            </w:pPr>
          </w:p>
        </w:tc>
      </w:tr>
      <w:tr w14:paraId="2CCC0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07220CAA">
            <w:pPr>
              <w:pStyle w:val="12"/>
            </w:pPr>
          </w:p>
        </w:tc>
        <w:tc>
          <w:tcPr>
            <w:tcW w:w="1169" w:type="dxa"/>
            <w:vMerge w:val="continue"/>
            <w:tcBorders>
              <w:top w:val="nil"/>
              <w:bottom w:val="nil"/>
            </w:tcBorders>
          </w:tcPr>
          <w:p w14:paraId="19B44745">
            <w:pPr>
              <w:pStyle w:val="12"/>
            </w:pPr>
          </w:p>
        </w:tc>
        <w:tc>
          <w:tcPr>
            <w:tcW w:w="1109" w:type="dxa"/>
            <w:tcBorders>
              <w:bottom w:val="nil"/>
            </w:tcBorders>
          </w:tcPr>
          <w:p w14:paraId="2D7A0793">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shd w:val="clear" w:color="auto" w:fill="auto"/>
            <w:vAlign w:val="center"/>
          </w:tcPr>
          <w:p w14:paraId="61CA3BD3">
            <w:pPr>
              <w:pStyle w:val="12"/>
              <w:jc w:val="center"/>
            </w:pPr>
            <w:r>
              <w:rPr>
                <w:rFonts w:hint="eastAsia" w:ascii="宋体" w:hAnsi="宋体" w:eastAsia="宋体" w:cs="宋体"/>
                <w:sz w:val="20"/>
                <w:szCs w:val="20"/>
              </w:rPr>
              <w:t>工作任务完成时间</w:t>
            </w:r>
          </w:p>
        </w:tc>
        <w:tc>
          <w:tcPr>
            <w:tcW w:w="1288" w:type="dxa"/>
            <w:shd w:val="clear" w:color="auto" w:fill="auto"/>
            <w:vAlign w:val="center"/>
          </w:tcPr>
          <w:p w14:paraId="3ECAC4A6">
            <w:pPr>
              <w:pStyle w:val="12"/>
              <w:jc w:val="center"/>
            </w:pPr>
            <w:r>
              <w:rPr>
                <w:rFonts w:hint="eastAsia" w:ascii="宋体" w:hAnsi="宋体" w:eastAsia="宋体" w:cs="宋体"/>
                <w:sz w:val="20"/>
                <w:szCs w:val="20"/>
              </w:rPr>
              <w:t>2023年12月31日之前完成</w:t>
            </w:r>
          </w:p>
        </w:tc>
        <w:tc>
          <w:tcPr>
            <w:tcW w:w="943" w:type="dxa"/>
            <w:shd w:val="clear" w:color="auto" w:fill="auto"/>
            <w:vAlign w:val="center"/>
          </w:tcPr>
          <w:p w14:paraId="521DE236">
            <w:pPr>
              <w:pStyle w:val="12"/>
              <w:jc w:val="center"/>
            </w:pPr>
            <w:r>
              <w:rPr>
                <w:rFonts w:hint="eastAsia" w:ascii="宋体" w:hAnsi="宋体" w:eastAsia="宋体" w:cs="宋体"/>
                <w:sz w:val="20"/>
                <w:szCs w:val="20"/>
              </w:rPr>
              <w:t>2023年12月31日之前完成</w:t>
            </w:r>
          </w:p>
        </w:tc>
        <w:tc>
          <w:tcPr>
            <w:tcW w:w="637" w:type="dxa"/>
            <w:vAlign w:val="center"/>
          </w:tcPr>
          <w:p w14:paraId="74957AA4">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w:t>
            </w:r>
          </w:p>
        </w:tc>
        <w:tc>
          <w:tcPr>
            <w:tcW w:w="738" w:type="dxa"/>
            <w:vAlign w:val="center"/>
          </w:tcPr>
          <w:p w14:paraId="032171F1">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w:t>
            </w:r>
          </w:p>
        </w:tc>
        <w:tc>
          <w:tcPr>
            <w:tcW w:w="1384" w:type="dxa"/>
            <w:vAlign w:val="center"/>
          </w:tcPr>
          <w:p w14:paraId="3EA08A73">
            <w:pPr>
              <w:pStyle w:val="12"/>
              <w:jc w:val="center"/>
              <w:rPr>
                <w:rFonts w:ascii="宋体" w:hAnsi="宋体" w:eastAsia="宋体" w:cs="宋体"/>
                <w:sz w:val="20"/>
                <w:szCs w:val="20"/>
              </w:rPr>
            </w:pPr>
          </w:p>
        </w:tc>
      </w:tr>
      <w:tr w14:paraId="2672C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2C4E50C3">
            <w:pPr>
              <w:pStyle w:val="12"/>
            </w:pPr>
          </w:p>
        </w:tc>
        <w:tc>
          <w:tcPr>
            <w:tcW w:w="1169" w:type="dxa"/>
            <w:vMerge w:val="continue"/>
            <w:tcBorders>
              <w:top w:val="nil"/>
              <w:bottom w:val="nil"/>
            </w:tcBorders>
          </w:tcPr>
          <w:p w14:paraId="77CCD1F6">
            <w:pPr>
              <w:pStyle w:val="12"/>
            </w:pPr>
          </w:p>
        </w:tc>
        <w:tc>
          <w:tcPr>
            <w:tcW w:w="1109" w:type="dxa"/>
            <w:tcBorders>
              <w:bottom w:val="nil"/>
            </w:tcBorders>
          </w:tcPr>
          <w:p w14:paraId="7063125C">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shd w:val="clear" w:color="auto" w:fill="auto"/>
            <w:vAlign w:val="center"/>
          </w:tcPr>
          <w:p w14:paraId="47B2B1FC">
            <w:pPr>
              <w:pStyle w:val="12"/>
              <w:jc w:val="center"/>
            </w:pPr>
            <w:r>
              <w:rPr>
                <w:rFonts w:hint="eastAsia" w:ascii="宋体" w:hAnsi="宋体" w:eastAsia="宋体" w:cs="宋体"/>
                <w:sz w:val="20"/>
                <w:szCs w:val="20"/>
              </w:rPr>
              <w:t>整体支出成本节约率</w:t>
            </w:r>
          </w:p>
        </w:tc>
        <w:tc>
          <w:tcPr>
            <w:tcW w:w="1288" w:type="dxa"/>
            <w:shd w:val="clear" w:color="auto" w:fill="auto"/>
            <w:vAlign w:val="center"/>
          </w:tcPr>
          <w:p w14:paraId="733F8AAF">
            <w:pPr>
              <w:pStyle w:val="12"/>
              <w:jc w:val="center"/>
            </w:pPr>
            <w:r>
              <w:rPr>
                <w:rFonts w:hint="eastAsia" w:ascii="宋体" w:hAnsi="宋体" w:eastAsia="宋体" w:cs="宋体"/>
                <w:sz w:val="20"/>
                <w:szCs w:val="20"/>
                <w:lang w:eastAsia="zh-CN"/>
              </w:rPr>
              <w:t>≥0%</w:t>
            </w:r>
          </w:p>
        </w:tc>
        <w:tc>
          <w:tcPr>
            <w:tcW w:w="943" w:type="dxa"/>
            <w:shd w:val="clear" w:color="auto" w:fill="auto"/>
            <w:vAlign w:val="center"/>
          </w:tcPr>
          <w:p w14:paraId="3937C85E">
            <w:pPr>
              <w:pStyle w:val="12"/>
              <w:jc w:val="center"/>
            </w:pPr>
            <w:r>
              <w:rPr>
                <w:rFonts w:hint="eastAsia" w:ascii="宋体" w:hAnsi="宋体" w:eastAsia="宋体" w:cs="宋体"/>
                <w:sz w:val="20"/>
                <w:szCs w:val="20"/>
                <w:lang w:eastAsia="zh-CN"/>
              </w:rPr>
              <w:t>0%</w:t>
            </w:r>
          </w:p>
        </w:tc>
        <w:tc>
          <w:tcPr>
            <w:tcW w:w="637" w:type="dxa"/>
            <w:vAlign w:val="center"/>
          </w:tcPr>
          <w:p w14:paraId="09311F2C">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738" w:type="dxa"/>
            <w:vAlign w:val="center"/>
          </w:tcPr>
          <w:p w14:paraId="1B6AE4E3">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1384" w:type="dxa"/>
            <w:vAlign w:val="center"/>
          </w:tcPr>
          <w:p w14:paraId="3FBBE961">
            <w:pPr>
              <w:pStyle w:val="12"/>
              <w:jc w:val="center"/>
              <w:rPr>
                <w:rFonts w:ascii="宋体" w:hAnsi="宋体" w:eastAsia="宋体" w:cs="宋体"/>
                <w:sz w:val="20"/>
                <w:szCs w:val="20"/>
              </w:rPr>
            </w:pPr>
          </w:p>
        </w:tc>
      </w:tr>
      <w:tr w14:paraId="509BB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417B4494">
            <w:pPr>
              <w:pStyle w:val="12"/>
            </w:pPr>
          </w:p>
        </w:tc>
        <w:tc>
          <w:tcPr>
            <w:tcW w:w="1169" w:type="dxa"/>
            <w:vMerge w:val="restart"/>
            <w:tcBorders>
              <w:bottom w:val="nil"/>
            </w:tcBorders>
          </w:tcPr>
          <w:p w14:paraId="4C108B1E">
            <w:pPr>
              <w:pStyle w:val="12"/>
              <w:spacing w:line="270" w:lineRule="auto"/>
            </w:pPr>
          </w:p>
          <w:p w14:paraId="0702EA76">
            <w:pPr>
              <w:pStyle w:val="12"/>
              <w:spacing w:line="271" w:lineRule="auto"/>
            </w:pPr>
          </w:p>
          <w:p w14:paraId="3C0F6CDD">
            <w:pPr>
              <w:pStyle w:val="12"/>
              <w:spacing w:line="271" w:lineRule="auto"/>
            </w:pPr>
          </w:p>
          <w:p w14:paraId="3CD996DE">
            <w:pPr>
              <w:pStyle w:val="12"/>
              <w:spacing w:line="271" w:lineRule="auto"/>
            </w:pPr>
          </w:p>
          <w:p w14:paraId="6E8B2013">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4BA8F463">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tcPr>
          <w:p w14:paraId="104E94F5">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vAlign w:val="center"/>
          </w:tcPr>
          <w:p w14:paraId="6BCE317C">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不适用</w:t>
            </w:r>
          </w:p>
        </w:tc>
        <w:tc>
          <w:tcPr>
            <w:tcW w:w="1288" w:type="dxa"/>
            <w:vAlign w:val="center"/>
          </w:tcPr>
          <w:p w14:paraId="4379946F">
            <w:pPr>
              <w:pStyle w:val="12"/>
              <w:jc w:val="center"/>
              <w:rPr>
                <w:rFonts w:ascii="宋体" w:hAnsi="宋体" w:eastAsia="宋体" w:cs="宋体"/>
                <w:sz w:val="20"/>
                <w:szCs w:val="20"/>
              </w:rPr>
            </w:pPr>
          </w:p>
        </w:tc>
        <w:tc>
          <w:tcPr>
            <w:tcW w:w="943" w:type="dxa"/>
            <w:vAlign w:val="center"/>
          </w:tcPr>
          <w:p w14:paraId="372D7083">
            <w:pPr>
              <w:pStyle w:val="12"/>
              <w:jc w:val="center"/>
              <w:rPr>
                <w:rFonts w:ascii="宋体" w:hAnsi="宋体" w:eastAsia="宋体" w:cs="宋体"/>
                <w:sz w:val="20"/>
                <w:szCs w:val="20"/>
              </w:rPr>
            </w:pPr>
          </w:p>
        </w:tc>
        <w:tc>
          <w:tcPr>
            <w:tcW w:w="637" w:type="dxa"/>
            <w:vAlign w:val="center"/>
          </w:tcPr>
          <w:p w14:paraId="704809F9">
            <w:pPr>
              <w:pStyle w:val="12"/>
              <w:jc w:val="center"/>
              <w:rPr>
                <w:rFonts w:ascii="宋体" w:hAnsi="宋体" w:eastAsia="宋体" w:cs="宋体"/>
                <w:sz w:val="20"/>
                <w:szCs w:val="20"/>
              </w:rPr>
            </w:pPr>
          </w:p>
        </w:tc>
        <w:tc>
          <w:tcPr>
            <w:tcW w:w="738" w:type="dxa"/>
            <w:vAlign w:val="center"/>
          </w:tcPr>
          <w:p w14:paraId="4B69DFB4">
            <w:pPr>
              <w:pStyle w:val="12"/>
              <w:jc w:val="center"/>
              <w:rPr>
                <w:rFonts w:ascii="宋体" w:hAnsi="宋体" w:eastAsia="宋体" w:cs="宋体"/>
                <w:sz w:val="20"/>
                <w:szCs w:val="20"/>
              </w:rPr>
            </w:pPr>
          </w:p>
        </w:tc>
        <w:tc>
          <w:tcPr>
            <w:tcW w:w="1384" w:type="dxa"/>
            <w:vAlign w:val="center"/>
          </w:tcPr>
          <w:p w14:paraId="35EEC85E">
            <w:pPr>
              <w:pStyle w:val="12"/>
              <w:jc w:val="center"/>
              <w:rPr>
                <w:rFonts w:ascii="宋体" w:hAnsi="宋体" w:eastAsia="宋体" w:cs="宋体"/>
                <w:sz w:val="20"/>
                <w:szCs w:val="20"/>
              </w:rPr>
            </w:pPr>
          </w:p>
        </w:tc>
      </w:tr>
      <w:tr w14:paraId="60F72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48328FB7">
            <w:pPr>
              <w:pStyle w:val="12"/>
            </w:pPr>
          </w:p>
        </w:tc>
        <w:tc>
          <w:tcPr>
            <w:tcW w:w="1169" w:type="dxa"/>
            <w:vMerge w:val="continue"/>
            <w:tcBorders>
              <w:top w:val="nil"/>
              <w:bottom w:val="nil"/>
            </w:tcBorders>
          </w:tcPr>
          <w:p w14:paraId="136C6042">
            <w:pPr>
              <w:pStyle w:val="12"/>
            </w:pPr>
          </w:p>
        </w:tc>
        <w:tc>
          <w:tcPr>
            <w:tcW w:w="1109" w:type="dxa"/>
            <w:tcBorders>
              <w:bottom w:val="nil"/>
            </w:tcBorders>
          </w:tcPr>
          <w:p w14:paraId="6371CF5C">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shd w:val="clear" w:color="auto" w:fill="auto"/>
            <w:vAlign w:val="center"/>
          </w:tcPr>
          <w:p w14:paraId="4DBCDA79">
            <w:pPr>
              <w:pStyle w:val="12"/>
              <w:jc w:val="center"/>
              <w:rPr>
                <w:rFonts w:eastAsia="宋体"/>
                <w:lang w:eastAsia="zh-CN"/>
              </w:rPr>
            </w:pPr>
            <w:r>
              <w:rPr>
                <w:rFonts w:ascii="宋体" w:hAnsi="宋体" w:eastAsia="宋体" w:cs="宋体"/>
                <w:sz w:val="20"/>
                <w:szCs w:val="20"/>
                <w:lang w:eastAsia="zh-CN"/>
              </w:rPr>
              <w:t>推进</w:t>
            </w:r>
            <w:r>
              <w:rPr>
                <w:rFonts w:hint="eastAsia" w:ascii="宋体" w:hAnsi="宋体" w:eastAsia="宋体" w:cs="宋体"/>
                <w:sz w:val="20"/>
                <w:szCs w:val="20"/>
                <w:lang w:eastAsia="zh-CN"/>
              </w:rPr>
              <w:t>全区</w:t>
            </w:r>
            <w:r>
              <w:rPr>
                <w:rFonts w:ascii="宋体" w:hAnsi="宋体" w:eastAsia="宋体" w:cs="宋体"/>
                <w:sz w:val="20"/>
                <w:szCs w:val="20"/>
                <w:lang w:eastAsia="zh-CN"/>
              </w:rPr>
              <w:t>社会和谐发展</w:t>
            </w:r>
          </w:p>
        </w:tc>
        <w:tc>
          <w:tcPr>
            <w:tcW w:w="1288" w:type="dxa"/>
            <w:shd w:val="clear" w:color="auto" w:fill="auto"/>
            <w:vAlign w:val="center"/>
          </w:tcPr>
          <w:p w14:paraId="73B133FE">
            <w:pPr>
              <w:pStyle w:val="12"/>
              <w:jc w:val="center"/>
            </w:pPr>
            <w:r>
              <w:rPr>
                <w:rFonts w:hint="eastAsia" w:ascii="宋体" w:hAnsi="宋体" w:eastAsia="宋体" w:cs="宋体"/>
                <w:sz w:val="20"/>
                <w:szCs w:val="20"/>
              </w:rPr>
              <w:t>效果明显</w:t>
            </w:r>
          </w:p>
        </w:tc>
        <w:tc>
          <w:tcPr>
            <w:tcW w:w="943" w:type="dxa"/>
            <w:shd w:val="clear" w:color="auto" w:fill="auto"/>
            <w:vAlign w:val="center"/>
          </w:tcPr>
          <w:p w14:paraId="568930B3">
            <w:pPr>
              <w:pStyle w:val="12"/>
              <w:jc w:val="center"/>
            </w:pPr>
            <w:r>
              <w:rPr>
                <w:rFonts w:hint="eastAsia" w:ascii="宋体" w:hAnsi="宋体" w:eastAsia="宋体" w:cs="宋体"/>
                <w:sz w:val="20"/>
                <w:szCs w:val="20"/>
              </w:rPr>
              <w:t>效果明显</w:t>
            </w:r>
          </w:p>
        </w:tc>
        <w:tc>
          <w:tcPr>
            <w:tcW w:w="637" w:type="dxa"/>
            <w:vAlign w:val="center"/>
          </w:tcPr>
          <w:p w14:paraId="17E2FD87">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738" w:type="dxa"/>
            <w:vAlign w:val="center"/>
          </w:tcPr>
          <w:p w14:paraId="37D9D3C5">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1384" w:type="dxa"/>
            <w:vAlign w:val="center"/>
          </w:tcPr>
          <w:p w14:paraId="569CEAF3">
            <w:pPr>
              <w:pStyle w:val="12"/>
              <w:jc w:val="center"/>
              <w:rPr>
                <w:rFonts w:ascii="宋体" w:hAnsi="宋体" w:eastAsia="宋体" w:cs="宋体"/>
                <w:sz w:val="20"/>
                <w:szCs w:val="20"/>
              </w:rPr>
            </w:pPr>
          </w:p>
        </w:tc>
      </w:tr>
      <w:tr w14:paraId="130AD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7DEA61E2">
            <w:pPr>
              <w:pStyle w:val="12"/>
            </w:pPr>
          </w:p>
        </w:tc>
        <w:tc>
          <w:tcPr>
            <w:tcW w:w="1169" w:type="dxa"/>
            <w:vMerge w:val="continue"/>
            <w:tcBorders>
              <w:top w:val="nil"/>
              <w:bottom w:val="nil"/>
            </w:tcBorders>
          </w:tcPr>
          <w:p w14:paraId="3DAB949D">
            <w:pPr>
              <w:pStyle w:val="12"/>
            </w:pPr>
          </w:p>
        </w:tc>
        <w:tc>
          <w:tcPr>
            <w:tcW w:w="1109" w:type="dxa"/>
            <w:tcBorders>
              <w:bottom w:val="nil"/>
            </w:tcBorders>
          </w:tcPr>
          <w:p w14:paraId="23652291">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vAlign w:val="center"/>
          </w:tcPr>
          <w:p w14:paraId="29E18DD8">
            <w:pPr>
              <w:pStyle w:val="12"/>
              <w:jc w:val="center"/>
              <w:rPr>
                <w:rFonts w:ascii="宋体" w:hAnsi="宋体" w:eastAsia="宋体" w:cs="宋体"/>
                <w:sz w:val="20"/>
                <w:szCs w:val="20"/>
              </w:rPr>
            </w:pPr>
            <w:r>
              <w:rPr>
                <w:rFonts w:hint="eastAsia" w:ascii="宋体" w:hAnsi="宋体" w:eastAsia="宋体" w:cs="宋体"/>
                <w:sz w:val="20"/>
                <w:szCs w:val="20"/>
                <w:lang w:eastAsia="zh-CN"/>
              </w:rPr>
              <w:t>不适用</w:t>
            </w:r>
          </w:p>
        </w:tc>
        <w:tc>
          <w:tcPr>
            <w:tcW w:w="1288" w:type="dxa"/>
            <w:vAlign w:val="center"/>
          </w:tcPr>
          <w:p w14:paraId="4AC6A604">
            <w:pPr>
              <w:pStyle w:val="12"/>
              <w:jc w:val="center"/>
              <w:rPr>
                <w:rFonts w:ascii="宋体" w:hAnsi="宋体" w:eastAsia="宋体" w:cs="宋体"/>
                <w:sz w:val="20"/>
                <w:szCs w:val="20"/>
              </w:rPr>
            </w:pPr>
          </w:p>
        </w:tc>
        <w:tc>
          <w:tcPr>
            <w:tcW w:w="943" w:type="dxa"/>
            <w:vAlign w:val="center"/>
          </w:tcPr>
          <w:p w14:paraId="51313EFD">
            <w:pPr>
              <w:pStyle w:val="12"/>
              <w:jc w:val="center"/>
              <w:rPr>
                <w:rFonts w:ascii="宋体" w:hAnsi="宋体" w:eastAsia="宋体" w:cs="宋体"/>
                <w:sz w:val="20"/>
                <w:szCs w:val="20"/>
              </w:rPr>
            </w:pPr>
          </w:p>
        </w:tc>
        <w:tc>
          <w:tcPr>
            <w:tcW w:w="637" w:type="dxa"/>
            <w:vAlign w:val="center"/>
          </w:tcPr>
          <w:p w14:paraId="11847753">
            <w:pPr>
              <w:pStyle w:val="12"/>
              <w:jc w:val="center"/>
              <w:rPr>
                <w:rFonts w:ascii="宋体" w:hAnsi="宋体" w:eastAsia="宋体" w:cs="宋体"/>
                <w:sz w:val="20"/>
                <w:szCs w:val="20"/>
              </w:rPr>
            </w:pPr>
          </w:p>
        </w:tc>
        <w:tc>
          <w:tcPr>
            <w:tcW w:w="738" w:type="dxa"/>
            <w:vAlign w:val="center"/>
          </w:tcPr>
          <w:p w14:paraId="4E21CA7E">
            <w:pPr>
              <w:pStyle w:val="12"/>
              <w:jc w:val="center"/>
              <w:rPr>
                <w:rFonts w:ascii="宋体" w:hAnsi="宋体" w:eastAsia="宋体" w:cs="宋体"/>
                <w:sz w:val="20"/>
                <w:szCs w:val="20"/>
              </w:rPr>
            </w:pPr>
          </w:p>
        </w:tc>
        <w:tc>
          <w:tcPr>
            <w:tcW w:w="1384" w:type="dxa"/>
            <w:vAlign w:val="center"/>
          </w:tcPr>
          <w:p w14:paraId="6243B10B">
            <w:pPr>
              <w:pStyle w:val="12"/>
              <w:jc w:val="center"/>
              <w:rPr>
                <w:rFonts w:ascii="宋体" w:hAnsi="宋体" w:eastAsia="宋体" w:cs="宋体"/>
                <w:sz w:val="20"/>
                <w:szCs w:val="20"/>
              </w:rPr>
            </w:pPr>
          </w:p>
        </w:tc>
      </w:tr>
      <w:tr w14:paraId="27975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1F624E86">
            <w:pPr>
              <w:pStyle w:val="12"/>
            </w:pPr>
          </w:p>
        </w:tc>
        <w:tc>
          <w:tcPr>
            <w:tcW w:w="1169" w:type="dxa"/>
            <w:vMerge w:val="continue"/>
            <w:tcBorders>
              <w:top w:val="nil"/>
              <w:bottom w:val="nil"/>
            </w:tcBorders>
          </w:tcPr>
          <w:p w14:paraId="069437ED">
            <w:pPr>
              <w:pStyle w:val="12"/>
            </w:pPr>
          </w:p>
        </w:tc>
        <w:tc>
          <w:tcPr>
            <w:tcW w:w="1109" w:type="dxa"/>
            <w:tcBorders>
              <w:bottom w:val="nil"/>
            </w:tcBorders>
          </w:tcPr>
          <w:p w14:paraId="782F84E1">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0253F4C0">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shd w:val="clear" w:color="auto" w:fill="auto"/>
            <w:vAlign w:val="center"/>
          </w:tcPr>
          <w:p w14:paraId="62CD9416">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推进科协工作可持续发展</w:t>
            </w:r>
          </w:p>
        </w:tc>
        <w:tc>
          <w:tcPr>
            <w:tcW w:w="1288" w:type="dxa"/>
            <w:shd w:val="clear" w:color="auto" w:fill="auto"/>
            <w:vAlign w:val="center"/>
          </w:tcPr>
          <w:p w14:paraId="62C15454">
            <w:pPr>
              <w:pStyle w:val="12"/>
              <w:jc w:val="center"/>
              <w:rPr>
                <w:rFonts w:ascii="宋体" w:hAnsi="宋体" w:eastAsia="宋体" w:cs="宋体"/>
                <w:sz w:val="20"/>
                <w:szCs w:val="20"/>
                <w:lang w:eastAsia="zh-CN"/>
              </w:rPr>
            </w:pPr>
            <w:r>
              <w:rPr>
                <w:rFonts w:hint="eastAsia" w:ascii="宋体" w:hAnsi="宋体" w:eastAsia="宋体" w:cs="宋体"/>
                <w:sz w:val="20"/>
                <w:szCs w:val="20"/>
              </w:rPr>
              <w:t>效果明显</w:t>
            </w:r>
          </w:p>
        </w:tc>
        <w:tc>
          <w:tcPr>
            <w:tcW w:w="943" w:type="dxa"/>
            <w:shd w:val="clear" w:color="auto" w:fill="auto"/>
            <w:vAlign w:val="center"/>
          </w:tcPr>
          <w:p w14:paraId="6F33E51A">
            <w:pPr>
              <w:pStyle w:val="12"/>
              <w:jc w:val="center"/>
              <w:rPr>
                <w:rFonts w:ascii="宋体" w:hAnsi="宋体" w:eastAsia="宋体" w:cs="宋体"/>
                <w:sz w:val="20"/>
                <w:szCs w:val="20"/>
              </w:rPr>
            </w:pPr>
            <w:r>
              <w:rPr>
                <w:rFonts w:hint="eastAsia" w:ascii="宋体" w:hAnsi="宋体" w:eastAsia="宋体" w:cs="宋体"/>
                <w:sz w:val="20"/>
                <w:szCs w:val="20"/>
              </w:rPr>
              <w:t>效果明显</w:t>
            </w:r>
          </w:p>
        </w:tc>
        <w:tc>
          <w:tcPr>
            <w:tcW w:w="637" w:type="dxa"/>
            <w:vAlign w:val="center"/>
          </w:tcPr>
          <w:p w14:paraId="2C11F2A4">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15</w:t>
            </w:r>
          </w:p>
        </w:tc>
        <w:tc>
          <w:tcPr>
            <w:tcW w:w="738" w:type="dxa"/>
            <w:vAlign w:val="center"/>
          </w:tcPr>
          <w:p w14:paraId="0092DC11">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13</w:t>
            </w:r>
          </w:p>
        </w:tc>
        <w:tc>
          <w:tcPr>
            <w:tcW w:w="1384" w:type="dxa"/>
            <w:vAlign w:val="center"/>
          </w:tcPr>
          <w:p w14:paraId="46D04694">
            <w:pPr>
              <w:pStyle w:val="12"/>
              <w:jc w:val="center"/>
              <w:rPr>
                <w:rFonts w:ascii="宋体" w:hAnsi="宋体" w:eastAsia="宋体" w:cs="宋体"/>
                <w:sz w:val="20"/>
                <w:szCs w:val="20"/>
              </w:rPr>
            </w:pPr>
          </w:p>
        </w:tc>
      </w:tr>
      <w:tr w14:paraId="05C52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948A122">
            <w:pPr>
              <w:pStyle w:val="12"/>
            </w:pPr>
          </w:p>
        </w:tc>
        <w:tc>
          <w:tcPr>
            <w:tcW w:w="1169" w:type="dxa"/>
            <w:tcBorders>
              <w:bottom w:val="nil"/>
            </w:tcBorders>
          </w:tcPr>
          <w:p w14:paraId="2D401BB4">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64015BC6">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5327340B">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tcPr>
          <w:p w14:paraId="5565EBEF">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1D3067FB">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37EE573E">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vAlign w:val="center"/>
          </w:tcPr>
          <w:p w14:paraId="04555610">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74878110">
            <w:pPr>
              <w:pStyle w:val="12"/>
              <w:jc w:val="center"/>
              <w:rPr>
                <w:rFonts w:ascii="宋体" w:hAnsi="宋体" w:eastAsia="宋体" w:cs="宋体"/>
                <w:sz w:val="20"/>
                <w:szCs w:val="20"/>
              </w:rPr>
            </w:pPr>
            <w:r>
              <w:rPr>
                <w:rFonts w:ascii="宋体" w:hAnsi="宋体" w:eastAsia="宋体" w:cs="宋体"/>
                <w:spacing w:val="3"/>
                <w:sz w:val="20"/>
                <w:szCs w:val="20"/>
              </w:rPr>
              <w:t>满意度</w:t>
            </w:r>
          </w:p>
        </w:tc>
        <w:tc>
          <w:tcPr>
            <w:tcW w:w="1288" w:type="dxa"/>
            <w:shd w:val="clear" w:color="auto" w:fill="auto"/>
            <w:vAlign w:val="center"/>
          </w:tcPr>
          <w:p w14:paraId="503C9F75">
            <w:pPr>
              <w:pStyle w:val="12"/>
              <w:jc w:val="center"/>
            </w:pPr>
            <w:r>
              <w:rPr>
                <w:rFonts w:hint="eastAsia" w:ascii="宋体" w:hAnsi="宋体" w:eastAsia="宋体" w:cs="宋体"/>
                <w:sz w:val="20"/>
                <w:szCs w:val="20"/>
                <w:lang w:eastAsia="zh-CN"/>
              </w:rPr>
              <w:t>≥90%</w:t>
            </w:r>
          </w:p>
        </w:tc>
        <w:tc>
          <w:tcPr>
            <w:tcW w:w="943" w:type="dxa"/>
            <w:shd w:val="clear" w:color="auto" w:fill="auto"/>
            <w:vAlign w:val="center"/>
          </w:tcPr>
          <w:p w14:paraId="6C2B629D">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95%</w:t>
            </w:r>
          </w:p>
        </w:tc>
        <w:tc>
          <w:tcPr>
            <w:tcW w:w="637" w:type="dxa"/>
            <w:vAlign w:val="center"/>
          </w:tcPr>
          <w:p w14:paraId="58E9E7BB">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w:t>
            </w:r>
          </w:p>
        </w:tc>
        <w:tc>
          <w:tcPr>
            <w:tcW w:w="738" w:type="dxa"/>
            <w:vAlign w:val="center"/>
          </w:tcPr>
          <w:p w14:paraId="7AC10690">
            <w:pPr>
              <w:pStyle w:val="12"/>
              <w:jc w:val="center"/>
              <w:rPr>
                <w:rFonts w:ascii="宋体" w:hAnsi="宋体" w:eastAsia="宋体" w:cs="宋体"/>
                <w:sz w:val="20"/>
                <w:szCs w:val="20"/>
                <w:lang w:eastAsia="zh-CN"/>
              </w:rPr>
            </w:pPr>
            <w:r>
              <w:rPr>
                <w:rFonts w:hint="eastAsia" w:ascii="宋体" w:hAnsi="宋体" w:eastAsia="宋体" w:cs="宋体"/>
                <w:sz w:val="20"/>
                <w:szCs w:val="20"/>
                <w:lang w:eastAsia="zh-CN"/>
              </w:rPr>
              <w:t>10</w:t>
            </w:r>
          </w:p>
        </w:tc>
        <w:tc>
          <w:tcPr>
            <w:tcW w:w="1384" w:type="dxa"/>
            <w:vAlign w:val="center"/>
          </w:tcPr>
          <w:p w14:paraId="03B9774B">
            <w:pPr>
              <w:pStyle w:val="12"/>
              <w:jc w:val="center"/>
              <w:rPr>
                <w:rFonts w:ascii="宋体" w:hAnsi="宋体" w:eastAsia="宋体" w:cs="宋体"/>
                <w:sz w:val="20"/>
                <w:szCs w:val="20"/>
              </w:rPr>
            </w:pPr>
          </w:p>
        </w:tc>
      </w:tr>
      <w:tr w14:paraId="0E072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692" w:type="dxa"/>
            <w:gridSpan w:val="6"/>
          </w:tcPr>
          <w:p w14:paraId="2D5FCE24">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37" w:type="dxa"/>
          </w:tcPr>
          <w:p w14:paraId="5F5C3D43">
            <w:pPr>
              <w:spacing w:before="128" w:line="184" w:lineRule="auto"/>
              <w:ind w:left="196"/>
              <w:rPr>
                <w:rFonts w:ascii="宋体" w:hAnsi="宋体" w:eastAsia="宋体" w:cs="宋体"/>
                <w:sz w:val="20"/>
                <w:szCs w:val="20"/>
                <w:lang w:eastAsia="zh-CN"/>
              </w:rPr>
            </w:pPr>
            <w:r>
              <w:rPr>
                <w:rFonts w:hint="eastAsia" w:ascii="宋体" w:hAnsi="宋体" w:eastAsia="宋体" w:cs="宋体"/>
                <w:spacing w:val="-6"/>
                <w:sz w:val="20"/>
                <w:szCs w:val="20"/>
                <w:lang w:eastAsia="zh-CN"/>
              </w:rPr>
              <w:t>100</w:t>
            </w:r>
          </w:p>
        </w:tc>
        <w:tc>
          <w:tcPr>
            <w:tcW w:w="738" w:type="dxa"/>
            <w:vAlign w:val="center"/>
          </w:tcPr>
          <w:p w14:paraId="03166995">
            <w:pPr>
              <w:pStyle w:val="12"/>
              <w:jc w:val="center"/>
              <w:rPr>
                <w:rFonts w:eastAsia="宋体"/>
                <w:lang w:eastAsia="zh-CN"/>
              </w:rPr>
            </w:pPr>
            <w:r>
              <w:rPr>
                <w:rFonts w:hint="eastAsia" w:ascii="宋体" w:hAnsi="宋体" w:eastAsia="宋体" w:cs="宋体"/>
                <w:spacing w:val="-6"/>
                <w:sz w:val="20"/>
                <w:szCs w:val="20"/>
                <w:lang w:eastAsia="zh-CN"/>
              </w:rPr>
              <w:t>97</w:t>
            </w:r>
          </w:p>
        </w:tc>
        <w:tc>
          <w:tcPr>
            <w:tcW w:w="1384" w:type="dxa"/>
          </w:tcPr>
          <w:p w14:paraId="5292B343">
            <w:pPr>
              <w:pStyle w:val="12"/>
            </w:pPr>
          </w:p>
        </w:tc>
      </w:tr>
    </w:tbl>
    <w:p w14:paraId="220F21DC">
      <w:pPr>
        <w:pStyle w:val="3"/>
        <w:spacing w:before="12" w:line="285" w:lineRule="auto"/>
        <w:ind w:right="285" w:firstLine="420" w:firstLineChars="200"/>
        <w:rPr>
          <w:rFonts w:ascii="宋体" w:hAnsi="宋体" w:eastAsia="宋体" w:cs="宋体"/>
          <w:sz w:val="21"/>
          <w:szCs w:val="21"/>
        </w:rPr>
      </w:pPr>
    </w:p>
    <w:p w14:paraId="1B126B37">
      <w:pPr>
        <w:pStyle w:val="3"/>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戴英伟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2024.10.17         </w:t>
      </w:r>
      <w:r>
        <w:rPr>
          <w:rFonts w:ascii="宋体" w:hAnsi="宋体" w:eastAsia="宋体" w:cs="宋体"/>
          <w:sz w:val="21"/>
          <w:szCs w:val="21"/>
          <w:lang w:eastAsia="zh-CN"/>
        </w:rPr>
        <w:t>联系电话：</w:t>
      </w:r>
      <w:r>
        <w:rPr>
          <w:rFonts w:hint="eastAsia" w:ascii="宋体" w:hAnsi="宋体" w:eastAsia="宋体" w:cs="宋体"/>
          <w:sz w:val="21"/>
          <w:szCs w:val="21"/>
          <w:lang w:eastAsia="zh-CN"/>
        </w:rPr>
        <w:t>17670489993</w:t>
      </w:r>
    </w:p>
    <w:p w14:paraId="3606279B">
      <w:pPr>
        <w:pStyle w:val="3"/>
        <w:spacing w:before="12" w:line="285" w:lineRule="auto"/>
        <w:ind w:right="285" w:firstLine="460" w:firstLineChars="200"/>
        <w:rPr>
          <w:sz w:val="23"/>
          <w:szCs w:val="23"/>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sdtPr>
    <w:sdtContent>
      <w:p w14:paraId="1AF7EE3D">
        <w:pPr>
          <w:pStyle w:val="6"/>
          <w:jc w:val="center"/>
        </w:pPr>
        <w:r>
          <w:fldChar w:fldCharType="begin"/>
        </w:r>
        <w:r>
          <w:instrText xml:space="preserve"> PAGE   \* MERGEFORMAT </w:instrText>
        </w:r>
        <w:r>
          <w:fldChar w:fldCharType="separate"/>
        </w:r>
        <w:r>
          <w:rPr>
            <w:lang w:val="zh-CN"/>
          </w:rPr>
          <w:t>-</w:t>
        </w:r>
        <w:r>
          <w:t xml:space="preserve"> 1 -</w:t>
        </w:r>
        <w:r>
          <w:fldChar w:fldCharType="end"/>
        </w:r>
      </w:p>
    </w:sdtContent>
  </w:sdt>
  <w:p w14:paraId="0BB3D5B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9580C">
    <w:pPr>
      <w:pStyle w:val="6"/>
      <w:jc w:val="center"/>
    </w:pPr>
    <w:r>
      <w:fldChar w:fldCharType="begin"/>
    </w:r>
    <w:r>
      <w:instrText xml:space="preserve"> PAGE   \* MERGEFORMAT </w:instrText>
    </w:r>
    <w:r>
      <w:fldChar w:fldCharType="separate"/>
    </w:r>
    <w:r>
      <w:rPr>
        <w:lang w:val="zh-CN"/>
      </w:rPr>
      <w:t>-</w:t>
    </w:r>
    <w:r>
      <w:t xml:space="preserve"> 10 -</w:t>
    </w:r>
    <w:r>
      <w:fldChar w:fldCharType="end"/>
    </w:r>
  </w:p>
  <w:p w14:paraId="12710CBD">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23A9A">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48BA0"/>
    <w:multiLevelType w:val="singleLevel"/>
    <w:tmpl w:val="DCA48BA0"/>
    <w:lvl w:ilvl="0" w:tentative="0">
      <w:start w:val="2"/>
      <w:numFmt w:val="chineseCounting"/>
      <w:lvlText w:val="(%1)"/>
      <w:lvlJc w:val="left"/>
      <w:pPr>
        <w:tabs>
          <w:tab w:val="left" w:pos="312"/>
        </w:tabs>
      </w:pPr>
      <w:rPr>
        <w:rFonts w:hint="eastAsia"/>
      </w:rPr>
    </w:lvl>
  </w:abstractNum>
  <w:abstractNum w:abstractNumId="1">
    <w:nsid w:val="41265698"/>
    <w:multiLevelType w:val="singleLevel"/>
    <w:tmpl w:val="41265698"/>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defaultTabStop w:val="420"/>
  <w:drawingGridHorizontalSpacing w:val="105"/>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GY1YjE5NDVkOGVjZDA0NTgwOGQ3ZWRjM2IyNDVjMjcifQ=="/>
  </w:docVars>
  <w:rsids>
    <w:rsidRoot w:val="00D65F4E"/>
    <w:rsid w:val="00252DD3"/>
    <w:rsid w:val="003A0F30"/>
    <w:rsid w:val="006B3AFB"/>
    <w:rsid w:val="00814CEE"/>
    <w:rsid w:val="008E2A0E"/>
    <w:rsid w:val="0090140F"/>
    <w:rsid w:val="00BF52BD"/>
    <w:rsid w:val="00C24372"/>
    <w:rsid w:val="00D65F4E"/>
    <w:rsid w:val="00E16FE2"/>
    <w:rsid w:val="00F92772"/>
    <w:rsid w:val="010333FC"/>
    <w:rsid w:val="02535CBD"/>
    <w:rsid w:val="03165668"/>
    <w:rsid w:val="03E5503B"/>
    <w:rsid w:val="045A3333"/>
    <w:rsid w:val="06640499"/>
    <w:rsid w:val="07EF0236"/>
    <w:rsid w:val="091040CA"/>
    <w:rsid w:val="09B71227"/>
    <w:rsid w:val="0D0A17F5"/>
    <w:rsid w:val="0ECA7307"/>
    <w:rsid w:val="0F6A2898"/>
    <w:rsid w:val="11C91AF8"/>
    <w:rsid w:val="132711CC"/>
    <w:rsid w:val="157C4894"/>
    <w:rsid w:val="177C4139"/>
    <w:rsid w:val="183710C7"/>
    <w:rsid w:val="19D572C9"/>
    <w:rsid w:val="1D5A3F4C"/>
    <w:rsid w:val="1D7A4A37"/>
    <w:rsid w:val="1E2702D2"/>
    <w:rsid w:val="1EB63404"/>
    <w:rsid w:val="1EBA7398"/>
    <w:rsid w:val="1F3C1B5B"/>
    <w:rsid w:val="1FF73CD4"/>
    <w:rsid w:val="202D5948"/>
    <w:rsid w:val="204607B7"/>
    <w:rsid w:val="210963B5"/>
    <w:rsid w:val="22665141"/>
    <w:rsid w:val="26121868"/>
    <w:rsid w:val="287265EE"/>
    <w:rsid w:val="29752839"/>
    <w:rsid w:val="2A9F38E6"/>
    <w:rsid w:val="2BAC62BA"/>
    <w:rsid w:val="2C302A48"/>
    <w:rsid w:val="2CE51A84"/>
    <w:rsid w:val="2FB41BE1"/>
    <w:rsid w:val="2FECE574"/>
    <w:rsid w:val="31A6555A"/>
    <w:rsid w:val="325A4C76"/>
    <w:rsid w:val="33D068BE"/>
    <w:rsid w:val="34A51AF9"/>
    <w:rsid w:val="35D46B3A"/>
    <w:rsid w:val="38763ED8"/>
    <w:rsid w:val="3B6B3A9C"/>
    <w:rsid w:val="3C722C08"/>
    <w:rsid w:val="3D566086"/>
    <w:rsid w:val="3F7D3D52"/>
    <w:rsid w:val="3F9DD004"/>
    <w:rsid w:val="4037219F"/>
    <w:rsid w:val="432602A9"/>
    <w:rsid w:val="4352109E"/>
    <w:rsid w:val="44DA134B"/>
    <w:rsid w:val="45F75F2C"/>
    <w:rsid w:val="479124A5"/>
    <w:rsid w:val="4A595408"/>
    <w:rsid w:val="4B8D7117"/>
    <w:rsid w:val="4E01203E"/>
    <w:rsid w:val="4F22401A"/>
    <w:rsid w:val="4F31425D"/>
    <w:rsid w:val="4F3BC71C"/>
    <w:rsid w:val="50334005"/>
    <w:rsid w:val="51BC0756"/>
    <w:rsid w:val="525C3CE7"/>
    <w:rsid w:val="527908A5"/>
    <w:rsid w:val="52F23E0A"/>
    <w:rsid w:val="53095C1D"/>
    <w:rsid w:val="535B5D4C"/>
    <w:rsid w:val="542B571F"/>
    <w:rsid w:val="54B955CE"/>
    <w:rsid w:val="54C72375"/>
    <w:rsid w:val="54EB3100"/>
    <w:rsid w:val="555D47B0"/>
    <w:rsid w:val="58F46A27"/>
    <w:rsid w:val="5A820063"/>
    <w:rsid w:val="5AB0697E"/>
    <w:rsid w:val="5C003935"/>
    <w:rsid w:val="5C902F0B"/>
    <w:rsid w:val="5CB456EA"/>
    <w:rsid w:val="5D5F6439"/>
    <w:rsid w:val="606A5821"/>
    <w:rsid w:val="61A60ADB"/>
    <w:rsid w:val="61F061FA"/>
    <w:rsid w:val="62D13935"/>
    <w:rsid w:val="66A46F3B"/>
    <w:rsid w:val="66F81DD8"/>
    <w:rsid w:val="673BA62A"/>
    <w:rsid w:val="67D5211A"/>
    <w:rsid w:val="68442DFB"/>
    <w:rsid w:val="68EB3277"/>
    <w:rsid w:val="69083E29"/>
    <w:rsid w:val="69BE2739"/>
    <w:rsid w:val="6A0445F0"/>
    <w:rsid w:val="6A5437CA"/>
    <w:rsid w:val="6B252A70"/>
    <w:rsid w:val="6B9145AA"/>
    <w:rsid w:val="6BD7A7ED"/>
    <w:rsid w:val="6C313697"/>
    <w:rsid w:val="6C830396"/>
    <w:rsid w:val="6DC42A14"/>
    <w:rsid w:val="6F7246F2"/>
    <w:rsid w:val="72333E41"/>
    <w:rsid w:val="74293E44"/>
    <w:rsid w:val="742A559B"/>
    <w:rsid w:val="749D3FBF"/>
    <w:rsid w:val="75ECE37B"/>
    <w:rsid w:val="76880357"/>
    <w:rsid w:val="76EE465E"/>
    <w:rsid w:val="77476464"/>
    <w:rsid w:val="78120820"/>
    <w:rsid w:val="78B35B5F"/>
    <w:rsid w:val="79030169"/>
    <w:rsid w:val="79053EE1"/>
    <w:rsid w:val="795232F3"/>
    <w:rsid w:val="7C7F423C"/>
    <w:rsid w:val="7D0821F2"/>
    <w:rsid w:val="7E5020A2"/>
    <w:rsid w:val="7EDB7BBE"/>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Body Text"/>
    <w:basedOn w:val="1"/>
    <w:semiHidden/>
    <w:qFormat/>
    <w:uiPriority w:val="0"/>
    <w:rPr>
      <w:rFonts w:ascii="仿宋" w:hAnsi="仿宋" w:eastAsia="仿宋" w:cs="仿宋"/>
      <w:sz w:val="36"/>
      <w:szCs w:val="36"/>
    </w:rPr>
  </w:style>
  <w:style w:type="paragraph" w:styleId="4">
    <w:name w:val="toc 5"/>
    <w:basedOn w:val="1"/>
    <w:next w:val="1"/>
    <w:qFormat/>
    <w:uiPriority w:val="0"/>
    <w:pPr>
      <w:ind w:left="1680" w:leftChars="800"/>
    </w:pPr>
    <w:rPr>
      <w:rFonts w:ascii="Times New Roman" w:hAnsi="Times New Roman"/>
    </w:rPr>
  </w:style>
  <w:style w:type="paragraph" w:styleId="5">
    <w:name w:val="Balloon Text"/>
    <w:basedOn w:val="1"/>
    <w:link w:val="16"/>
    <w:qFormat/>
    <w:uiPriority w:val="0"/>
    <w:rPr>
      <w:sz w:val="18"/>
      <w:szCs w:val="18"/>
    </w:rPr>
  </w:style>
  <w:style w:type="paragraph" w:styleId="6">
    <w:name w:val="footer"/>
    <w:basedOn w:val="1"/>
    <w:next w:val="1"/>
    <w:link w:val="14"/>
    <w:qFormat/>
    <w:uiPriority w:val="99"/>
    <w:pPr>
      <w:tabs>
        <w:tab w:val="center" w:pos="4153"/>
        <w:tab w:val="right" w:pos="8306"/>
      </w:tabs>
    </w:pPr>
    <w:rPr>
      <w:sz w:val="18"/>
      <w:szCs w:val="18"/>
    </w:rPr>
  </w:style>
  <w:style w:type="paragraph" w:styleId="7">
    <w:name w:val="header"/>
    <w:basedOn w:val="1"/>
    <w:link w:val="13"/>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spacing w:beforeAutospacing="1" w:afterAutospacing="1"/>
    </w:pPr>
    <w:rPr>
      <w:rFonts w:cs="Times New Roman"/>
      <w:sz w:val="24"/>
      <w:lang w:eastAsia="zh-CN"/>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style>
  <w:style w:type="character" w:customStyle="1" w:styleId="13">
    <w:name w:val="页眉 Char"/>
    <w:basedOn w:val="10"/>
    <w:link w:val="7"/>
    <w:qFormat/>
    <w:uiPriority w:val="0"/>
    <w:rPr>
      <w:rFonts w:eastAsia="Arial"/>
      <w:snapToGrid w:val="0"/>
      <w:color w:val="000000"/>
      <w:sz w:val="18"/>
      <w:szCs w:val="18"/>
      <w:lang w:eastAsia="en-US"/>
    </w:rPr>
  </w:style>
  <w:style w:type="character" w:customStyle="1" w:styleId="14">
    <w:name w:val="页脚 Char"/>
    <w:basedOn w:val="10"/>
    <w:link w:val="6"/>
    <w:qFormat/>
    <w:uiPriority w:val="99"/>
    <w:rPr>
      <w:rFonts w:eastAsia="Arial"/>
      <w:snapToGrid w:val="0"/>
      <w:color w:val="000000"/>
      <w:sz w:val="18"/>
      <w:szCs w:val="18"/>
      <w:lang w:eastAsia="en-US"/>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16">
    <w:name w:val="批注框文本 Char"/>
    <w:basedOn w:val="10"/>
    <w:link w:val="5"/>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4674</Words>
  <Characters>5197</Characters>
  <Lines>40</Lines>
  <Paragraphs>11</Paragraphs>
  <TotalTime>228</TotalTime>
  <ScaleCrop>false</ScaleCrop>
  <LinksUpToDate>false</LinksUpToDate>
  <CharactersWithSpaces>5300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cp:lastModifiedBy>
  <cp:lastPrinted>2024-09-21T01:17:00Z</cp:lastPrinted>
  <dcterms:modified xsi:type="dcterms:W3CDTF">2024-12-10T05:09:02Z</dcterms:modified>
  <dc:subject>pdfbuilder</dc:subject>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2052-12.1.0.19302</vt:lpwstr>
  </property>
  <property fmtid="{D5CDD505-2E9C-101B-9397-08002B2CF9AE}" pid="6" name="ICV">
    <vt:lpwstr>F8BBAB61D70643589D34BC9FCA491FB2_13</vt:lpwstr>
  </property>
</Properties>
</file>