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92" w:line="218" w:lineRule="auto"/>
        <w:ind w:left="2036"/>
        <w:jc w:val="center"/>
        <w:rPr>
          <w:rFonts w:ascii="宋体" w:hAnsi="宋体" w:eastAsia="宋体" w:cs="宋体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pacing w:val="-7"/>
          <w:sz w:val="44"/>
          <w:szCs w:val="44"/>
          <w:lang w:val="en-US" w:eastAsia="zh-CN"/>
        </w:rPr>
        <w:t>怀化市鹤城区接待服务中心</w:t>
      </w:r>
      <w:r>
        <w:rPr>
          <w:rFonts w:ascii="宋体" w:hAnsi="宋体" w:eastAsia="宋体" w:cs="宋体"/>
          <w:b/>
          <w:bCs/>
          <w:spacing w:val="-7"/>
          <w:sz w:val="44"/>
          <w:szCs w:val="44"/>
          <w:lang w:eastAsia="zh-CN"/>
        </w:rPr>
        <w:t>项目支出绩效自评报告</w:t>
      </w:r>
    </w:p>
    <w:p>
      <w:pPr>
        <w:spacing w:line="273" w:lineRule="auto"/>
        <w:jc w:val="center"/>
        <w:rPr>
          <w:lang w:eastAsia="zh-CN"/>
        </w:rPr>
      </w:pPr>
    </w:p>
    <w:p>
      <w:pPr>
        <w:widowControl w:val="0"/>
        <w:numPr>
          <w:ilvl w:val="0"/>
          <w:numId w:val="1"/>
        </w:numPr>
        <w:kinsoku/>
        <w:overflowPunct w:val="0"/>
        <w:autoSpaceDE/>
        <w:autoSpaceDN/>
        <w:spacing w:line="360" w:lineRule="auto"/>
        <w:ind w:firstLine="599" w:firstLineChars="200"/>
        <w:outlineLvl w:val="1"/>
        <w:rPr>
          <w:rFonts w:ascii="黑体" w:hAnsi="黑体" w:eastAsia="黑体" w:cs="黑体"/>
          <w:b/>
          <w:bCs/>
          <w:spacing w:val="-11"/>
          <w:sz w:val="32"/>
          <w:szCs w:val="32"/>
        </w:rPr>
      </w:pPr>
      <w:r>
        <w:rPr>
          <w:rFonts w:ascii="黑体" w:hAnsi="黑体" w:eastAsia="黑体" w:cs="黑体"/>
          <w:b/>
          <w:bCs/>
          <w:spacing w:val="-11"/>
          <w:sz w:val="32"/>
          <w:szCs w:val="32"/>
        </w:rPr>
        <w:t>项目基本情况</w:t>
      </w:r>
    </w:p>
    <w:p>
      <w:pPr>
        <w:widowControl w:val="0"/>
        <w:kinsoku/>
        <w:overflowPunct w:val="0"/>
        <w:autoSpaceDE/>
        <w:autoSpaceDN/>
        <w:spacing w:line="360" w:lineRule="auto"/>
        <w:ind w:firstLine="695" w:firstLineChars="200"/>
        <w:outlineLvl w:val="1"/>
        <w:rPr>
          <w:rFonts w:ascii="楷体" w:hAnsi="楷体" w:eastAsia="楷体" w:cs="楷体"/>
          <w:sz w:val="32"/>
          <w:szCs w:val="32"/>
        </w:rPr>
      </w:pPr>
      <w:r>
        <w:rPr>
          <w:rFonts w:ascii="楷体" w:hAnsi="楷体" w:eastAsia="楷体" w:cs="楷体"/>
          <w:b/>
          <w:bCs/>
          <w:spacing w:val="13"/>
          <w:sz w:val="32"/>
          <w:szCs w:val="32"/>
        </w:rPr>
        <w:t>(一)项目概况</w:t>
      </w:r>
    </w:p>
    <w:p>
      <w:pPr>
        <w:pStyle w:val="2"/>
        <w:widowControl w:val="0"/>
        <w:kinsoku/>
        <w:overflowPunct w:val="0"/>
        <w:autoSpaceDE/>
        <w:autoSpaceDN/>
        <w:spacing w:line="360" w:lineRule="auto"/>
        <w:ind w:firstLine="596" w:firstLineChars="200"/>
        <w:rPr>
          <w:spacing w:val="-11"/>
          <w:sz w:val="32"/>
          <w:szCs w:val="32"/>
        </w:rPr>
      </w:pPr>
      <w:r>
        <w:rPr>
          <w:rFonts w:ascii="宋体" w:hAnsi="宋体" w:eastAsia="宋体" w:cs="宋体"/>
          <w:spacing w:val="-11"/>
          <w:sz w:val="32"/>
          <w:szCs w:val="32"/>
        </w:rPr>
        <w:t>1.</w:t>
      </w:r>
      <w:r>
        <w:rPr>
          <w:spacing w:val="-11"/>
          <w:sz w:val="32"/>
          <w:szCs w:val="32"/>
        </w:rPr>
        <w:t>项目决策背景</w:t>
      </w:r>
    </w:p>
    <w:p>
      <w:pPr>
        <w:widowControl w:val="0"/>
        <w:numPr>
          <w:ilvl w:val="0"/>
          <w:numId w:val="0"/>
        </w:numPr>
        <w:kinsoku/>
        <w:overflowPunct w:val="0"/>
        <w:spacing w:line="360" w:lineRule="auto"/>
        <w:ind w:leftChars="200" w:firstLine="516" w:firstLineChars="200"/>
        <w:rPr>
          <w:rFonts w:hint="eastAsia" w:ascii="宋体" w:hAnsi="宋体" w:eastAsia="宋体" w:cs="宋体"/>
          <w:spacing w:val="9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9"/>
          <w:sz w:val="24"/>
          <w:szCs w:val="24"/>
          <w:lang w:val="en-US" w:eastAsia="zh-CN"/>
        </w:rPr>
        <w:t>区接待服务中心</w:t>
      </w:r>
      <w:r>
        <w:rPr>
          <w:rFonts w:hint="eastAsia" w:ascii="宋体" w:hAnsi="宋体" w:eastAsia="宋体" w:cs="宋体"/>
          <w:spacing w:val="9"/>
          <w:sz w:val="24"/>
          <w:szCs w:val="24"/>
          <w:lang w:eastAsia="zh-CN"/>
        </w:rPr>
        <w:t>2023年</w:t>
      </w:r>
      <w:r>
        <w:rPr>
          <w:rFonts w:hint="eastAsia" w:ascii="宋体" w:hAnsi="宋体" w:eastAsia="宋体" w:cs="宋体"/>
          <w:spacing w:val="9"/>
          <w:sz w:val="24"/>
          <w:szCs w:val="24"/>
          <w:lang w:val="en-US" w:eastAsia="zh-CN"/>
        </w:rPr>
        <w:t>贯彻落实党中央、省委、和市委关于接待服务工作的方针政策和决策部署，全面落实区委关于接待工作的部署要求，在履行职责过程中坚持和加强党对接待服务工作的集中统一领导。</w:t>
      </w:r>
    </w:p>
    <w:p>
      <w:pPr>
        <w:pStyle w:val="2"/>
        <w:widowControl w:val="0"/>
        <w:kinsoku/>
        <w:overflowPunct w:val="0"/>
        <w:autoSpaceDE/>
        <w:autoSpaceDN/>
        <w:spacing w:line="360" w:lineRule="auto"/>
        <w:ind w:firstLine="612" w:firstLineChars="200"/>
        <w:rPr>
          <w:spacing w:val="-7"/>
          <w:sz w:val="32"/>
          <w:szCs w:val="32"/>
        </w:rPr>
      </w:pPr>
      <w:r>
        <w:rPr>
          <w:spacing w:val="-7"/>
          <w:sz w:val="32"/>
          <w:szCs w:val="32"/>
        </w:rPr>
        <w:t>2.项目主要内容</w:t>
      </w:r>
    </w:p>
    <w:p>
      <w:pPr>
        <w:spacing w:line="560" w:lineRule="exact"/>
        <w:ind w:firstLine="708" w:firstLineChars="300"/>
        <w:rPr>
          <w:rFonts w:hint="eastAsia" w:ascii="宋体" w:hAnsi="宋体" w:eastAsia="宋体" w:cs="宋体"/>
          <w:spacing w:val="-2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1、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公务费</w:t>
      </w:r>
      <w:r>
        <w:rPr>
          <w:rFonts w:hint="eastAsia" w:ascii="宋体" w:hAnsi="宋体" w:eastAsia="宋体" w:cs="宋体"/>
          <w:sz w:val="24"/>
          <w:szCs w:val="24"/>
        </w:rPr>
        <w:t xml:space="preserve"> 。</w:t>
      </w:r>
    </w:p>
    <w:p>
      <w:pPr>
        <w:spacing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　2、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商务费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560" w:lineRule="exact"/>
        <w:rPr>
          <w:rFonts w:hint="eastAsia" w:ascii="宋体" w:hAnsi="宋体" w:eastAsia="宋体" w:cs="宋体"/>
          <w:spacing w:val="-7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</w:t>
      </w:r>
    </w:p>
    <w:p>
      <w:pPr>
        <w:pStyle w:val="2"/>
        <w:widowControl w:val="0"/>
        <w:kinsoku/>
        <w:overflowPunct w:val="0"/>
        <w:autoSpaceDE/>
        <w:autoSpaceDN/>
        <w:spacing w:line="360" w:lineRule="auto"/>
        <w:ind w:firstLine="632" w:firstLineChars="200"/>
        <w:rPr>
          <w:spacing w:val="-2"/>
          <w:sz w:val="32"/>
          <w:szCs w:val="32"/>
        </w:rPr>
      </w:pPr>
      <w:r>
        <w:rPr>
          <w:spacing w:val="-2"/>
          <w:sz w:val="32"/>
          <w:szCs w:val="32"/>
        </w:rPr>
        <w:t>3.项目组织管理机构</w:t>
      </w:r>
    </w:p>
    <w:p>
      <w:pPr>
        <w:numPr>
          <w:ilvl w:val="0"/>
          <w:numId w:val="0"/>
        </w:numPr>
        <w:snapToGrid w:val="0"/>
        <w:spacing w:line="520" w:lineRule="exact"/>
        <w:ind w:firstLine="480" w:firstLineChars="200"/>
        <w:rPr>
          <w:rFonts w:hint="default" w:ascii="宋体" w:hAnsi="宋体" w:eastAsia="宋体" w:cs="宋体"/>
          <w:spacing w:val="-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怀化市鹤城区接待服务中心属怀化市鹤城区委办公室系统单位。</w:t>
      </w:r>
    </w:p>
    <w:p>
      <w:pPr>
        <w:widowControl w:val="0"/>
        <w:kinsoku/>
        <w:overflowPunct w:val="0"/>
        <w:autoSpaceDE/>
        <w:autoSpaceDN/>
        <w:spacing w:line="360" w:lineRule="auto"/>
        <w:ind w:firstLine="667" w:firstLineChars="200"/>
        <w:outlineLvl w:val="0"/>
        <w:rPr>
          <w:rFonts w:ascii="楷体" w:hAnsi="楷体" w:eastAsia="楷体" w:cs="楷体"/>
          <w:sz w:val="32"/>
          <w:szCs w:val="32"/>
          <w:lang w:eastAsia="zh-CN"/>
        </w:rPr>
      </w:pPr>
      <w:r>
        <w:rPr>
          <w:rFonts w:ascii="楷体" w:hAnsi="楷体" w:eastAsia="楷体" w:cs="楷体"/>
          <w:b/>
          <w:bCs/>
          <w:spacing w:val="6"/>
          <w:sz w:val="32"/>
          <w:szCs w:val="32"/>
          <w:lang w:eastAsia="zh-CN"/>
        </w:rPr>
        <w:t>(二)预算资金使用管理情况</w:t>
      </w:r>
    </w:p>
    <w:p>
      <w:pPr>
        <w:pStyle w:val="2"/>
        <w:widowControl w:val="0"/>
        <w:kinsoku/>
        <w:overflowPunct w:val="0"/>
        <w:autoSpaceDE/>
        <w:autoSpaceDN/>
        <w:spacing w:line="360" w:lineRule="auto"/>
        <w:ind w:firstLine="628" w:firstLineChars="200"/>
        <w:rPr>
          <w:sz w:val="32"/>
          <w:szCs w:val="32"/>
          <w:lang w:eastAsia="zh-CN"/>
        </w:rPr>
      </w:pPr>
      <w:r>
        <w:rPr>
          <w:rFonts w:ascii="宋体" w:hAnsi="宋体" w:eastAsia="宋体" w:cs="宋体"/>
          <w:spacing w:val="-3"/>
          <w:sz w:val="32"/>
          <w:szCs w:val="32"/>
          <w:lang w:eastAsia="zh-CN"/>
        </w:rPr>
        <w:t>1.</w:t>
      </w:r>
      <w:r>
        <w:rPr>
          <w:spacing w:val="-3"/>
          <w:sz w:val="32"/>
          <w:szCs w:val="32"/>
          <w:lang w:eastAsia="zh-CN"/>
        </w:rPr>
        <w:t>预算资金安排及管理情况</w:t>
      </w:r>
    </w:p>
    <w:p>
      <w:pPr>
        <w:pStyle w:val="2"/>
        <w:widowControl w:val="0"/>
        <w:kinsoku/>
        <w:overflowPunct w:val="0"/>
        <w:autoSpaceDE/>
        <w:autoSpaceDN/>
        <w:spacing w:line="360" w:lineRule="auto"/>
        <w:ind w:firstLine="688" w:firstLineChars="200"/>
        <w:rPr>
          <w:spacing w:val="12"/>
          <w:sz w:val="32"/>
          <w:szCs w:val="32"/>
          <w:lang w:eastAsia="zh-CN"/>
        </w:rPr>
      </w:pPr>
      <w:r>
        <w:rPr>
          <w:spacing w:val="12"/>
          <w:sz w:val="32"/>
          <w:szCs w:val="32"/>
          <w:lang w:eastAsia="zh-CN"/>
        </w:rPr>
        <w:t>(1)资金来源及拨付流程</w:t>
      </w:r>
    </w:p>
    <w:p>
      <w:pPr>
        <w:pStyle w:val="2"/>
        <w:widowControl w:val="0"/>
        <w:kinsoku/>
        <w:overflowPunct w:val="0"/>
        <w:autoSpaceDE/>
        <w:autoSpaceDN/>
        <w:spacing w:line="360" w:lineRule="auto"/>
        <w:ind w:firstLine="528" w:firstLineChars="200"/>
        <w:rPr>
          <w:rFonts w:hint="eastAsia" w:ascii="宋体" w:hAnsi="宋体" w:eastAsia="宋体" w:cs="宋体"/>
          <w:spacing w:val="1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12"/>
          <w:sz w:val="24"/>
          <w:szCs w:val="24"/>
          <w:lang w:eastAsia="zh-CN"/>
        </w:rPr>
        <w:t>根据《怀化市鹤城区财政局关于批复下达2023年度部门预算的通知》（鹤财预〔2023〕3号）下达2023年</w:t>
      </w: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公务接待</w:t>
      </w:r>
      <w:r>
        <w:rPr>
          <w:rFonts w:hint="eastAsia" w:ascii="宋体" w:hAnsi="宋体" w:eastAsia="宋体" w:cs="宋体"/>
          <w:spacing w:val="12"/>
          <w:sz w:val="24"/>
          <w:szCs w:val="24"/>
          <w:lang w:eastAsia="zh-CN"/>
        </w:rPr>
        <w:t>经费</w:t>
      </w: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60</w:t>
      </w:r>
      <w:r>
        <w:rPr>
          <w:rFonts w:hint="eastAsia" w:ascii="宋体" w:hAnsi="宋体" w:eastAsia="宋体" w:cs="宋体"/>
          <w:spacing w:val="12"/>
          <w:sz w:val="24"/>
          <w:szCs w:val="24"/>
          <w:lang w:eastAsia="zh-CN"/>
        </w:rPr>
        <w:t>万元。资金到位率100%。</w:t>
      </w:r>
    </w:p>
    <w:p>
      <w:pPr>
        <w:pStyle w:val="2"/>
        <w:widowControl w:val="0"/>
        <w:numPr>
          <w:ilvl w:val="0"/>
          <w:numId w:val="2"/>
        </w:numPr>
        <w:kinsoku/>
        <w:overflowPunct w:val="0"/>
        <w:autoSpaceDE/>
        <w:autoSpaceDN/>
        <w:spacing w:line="360" w:lineRule="auto"/>
        <w:ind w:firstLine="540" w:firstLineChars="200"/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  <w:t>资金到位情况</w:t>
      </w:r>
    </w:p>
    <w:p>
      <w:pPr>
        <w:pStyle w:val="2"/>
        <w:widowControl w:val="0"/>
        <w:numPr>
          <w:ilvl w:val="0"/>
          <w:numId w:val="0"/>
        </w:numPr>
        <w:kinsoku/>
        <w:overflowPunct w:val="0"/>
        <w:autoSpaceDE/>
        <w:autoSpaceDN/>
        <w:spacing w:line="360" w:lineRule="auto"/>
        <w:ind w:firstLine="540" w:firstLineChars="200"/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  <w:t>截至2023年底，资金共计到位</w:t>
      </w:r>
      <w:r>
        <w:rPr>
          <w:rFonts w:hint="eastAsia" w:ascii="宋体" w:hAnsi="宋体" w:eastAsia="宋体" w:cs="宋体"/>
          <w:spacing w:val="15"/>
          <w:sz w:val="24"/>
          <w:szCs w:val="24"/>
          <w:lang w:val="en-US" w:eastAsia="zh-CN"/>
        </w:rPr>
        <w:t>60</w:t>
      </w:r>
      <w:r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  <w:t>万元，区级财政专项资金</w:t>
      </w:r>
      <w:r>
        <w:rPr>
          <w:rFonts w:hint="eastAsia" w:ascii="宋体" w:hAnsi="宋体" w:eastAsia="宋体" w:cs="宋体"/>
          <w:spacing w:val="15"/>
          <w:sz w:val="24"/>
          <w:szCs w:val="24"/>
          <w:lang w:val="en-US" w:eastAsia="zh-CN"/>
        </w:rPr>
        <w:t>60</w:t>
      </w:r>
      <w:r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  <w:t>万元。资金到位率100%。</w:t>
      </w:r>
    </w:p>
    <w:p>
      <w:pPr>
        <w:pStyle w:val="2"/>
        <w:widowControl w:val="0"/>
        <w:numPr>
          <w:ilvl w:val="0"/>
          <w:numId w:val="2"/>
        </w:numPr>
        <w:kinsoku/>
        <w:overflowPunct w:val="0"/>
        <w:autoSpaceDE/>
        <w:autoSpaceDN/>
        <w:spacing w:line="360" w:lineRule="auto"/>
        <w:ind w:left="0" w:leftChars="0" w:firstLine="540" w:firstLineChars="200"/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15"/>
          <w:sz w:val="24"/>
          <w:szCs w:val="24"/>
          <w:lang w:eastAsia="zh-CN"/>
        </w:rPr>
        <w:t>资金使用情况</w:t>
      </w:r>
    </w:p>
    <w:p>
      <w:pPr>
        <w:pStyle w:val="2"/>
        <w:widowControl w:val="0"/>
        <w:numPr>
          <w:ilvl w:val="0"/>
          <w:numId w:val="0"/>
        </w:numPr>
        <w:kinsoku/>
        <w:overflowPunct w:val="0"/>
        <w:autoSpaceDE/>
        <w:autoSpaceDN/>
        <w:spacing w:line="360" w:lineRule="auto"/>
        <w:ind w:leftChars="200"/>
        <w:rPr>
          <w:rFonts w:hint="eastAsia" w:ascii="宋体" w:hAnsi="宋体" w:eastAsia="宋体" w:cs="宋体"/>
          <w:spacing w:val="15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15"/>
          <w:sz w:val="24"/>
          <w:szCs w:val="24"/>
          <w:lang w:val="en-US" w:eastAsia="zh-CN"/>
        </w:rPr>
        <w:t xml:space="preserve"> 截至2023年底，资金共计使用35.38万元，其中</w:t>
      </w:r>
      <w:r>
        <w:rPr>
          <w:rFonts w:hint="eastAsia" w:ascii="宋体" w:hAnsi="宋体" w:eastAsia="宋体" w:cs="宋体"/>
          <w:i w:val="0"/>
          <w:iCs w:val="0"/>
          <w:caps w:val="0"/>
          <w:color w:val="3D3D3D"/>
          <w:spacing w:val="-2"/>
          <w:sz w:val="24"/>
          <w:szCs w:val="24"/>
          <w:shd w:val="clear" w:color="auto" w:fill="FFFFFF"/>
        </w:rPr>
        <w:t>工资福利支出</w:t>
      </w:r>
      <w:r>
        <w:rPr>
          <w:rFonts w:hint="eastAsia" w:ascii="宋体" w:hAnsi="宋体" w:eastAsia="宋体" w:cs="宋体"/>
          <w:i w:val="0"/>
          <w:iCs w:val="0"/>
          <w:caps w:val="0"/>
          <w:color w:val="3D3D3D"/>
          <w:spacing w:val="-2"/>
          <w:sz w:val="24"/>
          <w:szCs w:val="24"/>
          <w:shd w:val="clear" w:color="auto" w:fill="FFFFFF"/>
          <w:lang w:val="en-US" w:eastAsia="zh-CN"/>
        </w:rPr>
        <w:t>6.73万</w:t>
      </w:r>
      <w:r>
        <w:rPr>
          <w:rFonts w:hint="eastAsia" w:ascii="宋体" w:hAnsi="宋体" w:eastAsia="宋体" w:cs="宋体"/>
          <w:i w:val="0"/>
          <w:iCs w:val="0"/>
          <w:caps w:val="0"/>
          <w:color w:val="3D3D3D"/>
          <w:spacing w:val="-2"/>
          <w:sz w:val="24"/>
          <w:szCs w:val="24"/>
          <w:shd w:val="clear" w:color="auto" w:fill="FFFFFF"/>
        </w:rPr>
        <w:t>元，商品和服务支出</w:t>
      </w:r>
      <w:r>
        <w:rPr>
          <w:rFonts w:hint="eastAsia" w:ascii="宋体" w:hAnsi="宋体" w:eastAsia="宋体" w:cs="宋体"/>
          <w:i w:val="0"/>
          <w:iCs w:val="0"/>
          <w:caps w:val="0"/>
          <w:color w:val="3D3D3D"/>
          <w:spacing w:val="-2"/>
          <w:sz w:val="24"/>
          <w:szCs w:val="24"/>
          <w:shd w:val="clear" w:color="auto" w:fill="FFFFFF"/>
          <w:lang w:val="en-US" w:eastAsia="zh-CN"/>
        </w:rPr>
        <w:t>28.65万</w:t>
      </w:r>
      <w:r>
        <w:rPr>
          <w:rFonts w:hint="eastAsia" w:ascii="宋体" w:hAnsi="宋体" w:eastAsia="宋体" w:cs="宋体"/>
          <w:i w:val="0"/>
          <w:iCs w:val="0"/>
          <w:caps w:val="0"/>
          <w:color w:val="3D3D3D"/>
          <w:spacing w:val="-2"/>
          <w:sz w:val="24"/>
          <w:szCs w:val="24"/>
          <w:shd w:val="clear" w:color="auto" w:fill="FFFFFF"/>
        </w:rPr>
        <w:t>元，</w:t>
      </w:r>
      <w:r>
        <w:rPr>
          <w:rFonts w:hint="eastAsia" w:ascii="宋体" w:hAnsi="宋体" w:eastAsia="宋体" w:cs="宋体"/>
          <w:spacing w:val="15"/>
          <w:sz w:val="24"/>
          <w:szCs w:val="24"/>
          <w:lang w:val="en-US" w:eastAsia="zh-CN"/>
        </w:rPr>
        <w:t>资金使用率80%。</w:t>
      </w:r>
    </w:p>
    <w:p>
      <w:pPr>
        <w:widowControl w:val="0"/>
        <w:kinsoku/>
        <w:overflowPunct w:val="0"/>
        <w:autoSpaceDE/>
        <w:autoSpaceDN/>
        <w:spacing w:line="360" w:lineRule="auto"/>
        <w:ind w:firstLine="675" w:firstLineChars="200"/>
        <w:outlineLvl w:val="0"/>
        <w:rPr>
          <w:rFonts w:ascii="楷体" w:hAnsi="楷体" w:eastAsia="楷体" w:cs="楷体"/>
          <w:sz w:val="32"/>
          <w:szCs w:val="32"/>
          <w:lang w:eastAsia="zh-CN"/>
        </w:rPr>
      </w:pPr>
      <w:r>
        <w:rPr>
          <w:rFonts w:ascii="楷体" w:hAnsi="楷体" w:eastAsia="楷体" w:cs="楷体"/>
          <w:b/>
          <w:bCs/>
          <w:spacing w:val="8"/>
          <w:sz w:val="32"/>
          <w:szCs w:val="32"/>
          <w:lang w:eastAsia="zh-CN"/>
        </w:rPr>
        <w:t>(三)预算绩效目标情况</w:t>
      </w:r>
    </w:p>
    <w:p>
      <w:pPr>
        <w:pStyle w:val="2"/>
        <w:widowControl w:val="0"/>
        <w:kinsoku/>
        <w:overflowPunct w:val="0"/>
        <w:autoSpaceDE/>
        <w:autoSpaceDN/>
        <w:spacing w:line="360" w:lineRule="auto"/>
        <w:ind w:firstLine="612" w:firstLineChars="200"/>
        <w:rPr>
          <w:spacing w:val="-7"/>
          <w:sz w:val="32"/>
          <w:szCs w:val="32"/>
          <w:lang w:eastAsia="zh-CN"/>
        </w:rPr>
      </w:pPr>
      <w:r>
        <w:rPr>
          <w:rFonts w:ascii="宋体" w:hAnsi="宋体" w:eastAsia="宋体" w:cs="宋体"/>
          <w:spacing w:val="-7"/>
          <w:sz w:val="32"/>
          <w:szCs w:val="32"/>
          <w:lang w:eastAsia="zh-CN"/>
        </w:rPr>
        <w:t>1.</w:t>
      </w:r>
      <w:r>
        <w:rPr>
          <w:spacing w:val="-7"/>
          <w:sz w:val="32"/>
          <w:szCs w:val="32"/>
          <w:lang w:eastAsia="zh-CN"/>
        </w:rPr>
        <w:t>绩效目标</w:t>
      </w:r>
    </w:p>
    <w:p>
      <w:pPr>
        <w:pStyle w:val="2"/>
        <w:widowControl w:val="0"/>
        <w:kinsoku/>
        <w:overflowPunct w:val="0"/>
        <w:autoSpaceDE/>
        <w:autoSpaceDN/>
        <w:spacing w:line="360" w:lineRule="auto"/>
        <w:ind w:firstLine="516" w:firstLineChars="200"/>
        <w:rPr>
          <w:spacing w:val="-7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pacing w:val="9"/>
          <w:sz w:val="24"/>
          <w:szCs w:val="24"/>
          <w:lang w:eastAsia="zh-CN"/>
        </w:rPr>
        <w:t>我</w:t>
      </w:r>
      <w:r>
        <w:rPr>
          <w:rFonts w:hint="eastAsia" w:ascii="宋体" w:hAnsi="宋体" w:eastAsia="宋体" w:cs="宋体"/>
          <w:spacing w:val="9"/>
          <w:sz w:val="24"/>
          <w:szCs w:val="24"/>
          <w:lang w:val="en-US" w:eastAsia="zh-CN"/>
        </w:rPr>
        <w:t>接待服务中心</w:t>
      </w:r>
      <w:r>
        <w:rPr>
          <w:rFonts w:hint="eastAsia" w:ascii="宋体" w:hAnsi="宋体" w:eastAsia="宋体" w:cs="宋体"/>
          <w:spacing w:val="9"/>
          <w:sz w:val="24"/>
          <w:szCs w:val="24"/>
          <w:lang w:eastAsia="zh-CN"/>
        </w:rPr>
        <w:t>执行国家有关法律、法规和财务制度，厉行节约，量入为出，注重资金使用效益、部门预算编制、分配符合本单位职责、符合</w:t>
      </w:r>
      <w:r>
        <w:rPr>
          <w:rFonts w:hint="eastAsia" w:ascii="宋体" w:hAnsi="宋体" w:eastAsia="宋体" w:cs="宋体"/>
          <w:spacing w:val="9"/>
          <w:sz w:val="24"/>
          <w:szCs w:val="24"/>
          <w:lang w:val="en-US" w:eastAsia="zh-CN"/>
        </w:rPr>
        <w:t>区</w:t>
      </w:r>
      <w:r>
        <w:rPr>
          <w:rFonts w:hint="eastAsia" w:ascii="宋体" w:hAnsi="宋体" w:eastAsia="宋体" w:cs="宋体"/>
          <w:spacing w:val="9"/>
          <w:sz w:val="24"/>
          <w:szCs w:val="24"/>
          <w:lang w:eastAsia="zh-CN"/>
        </w:rPr>
        <w:t>委</w:t>
      </w:r>
      <w:r>
        <w:rPr>
          <w:rFonts w:hint="eastAsia" w:ascii="宋体" w:hAnsi="宋体" w:eastAsia="宋体" w:cs="宋体"/>
          <w:spacing w:val="9"/>
          <w:sz w:val="24"/>
          <w:szCs w:val="24"/>
          <w:lang w:val="en-US" w:eastAsia="zh-CN"/>
        </w:rPr>
        <w:t>区</w:t>
      </w:r>
      <w:r>
        <w:rPr>
          <w:rFonts w:hint="eastAsia" w:ascii="宋体" w:hAnsi="宋体" w:eastAsia="宋体" w:cs="宋体"/>
          <w:spacing w:val="9"/>
          <w:sz w:val="24"/>
          <w:szCs w:val="24"/>
          <w:lang w:eastAsia="zh-CN"/>
        </w:rPr>
        <w:t>政府方针政策和工作要求，部门预算资金能根据年度工作重点，在不同项目、不同用途之间合理调整，按要求做实做细部门项目库工作，严格依照要求申报项目绩效目标和设置部门整体绩效目标，整体绩效目标具有合理性、可衡量性。</w:t>
      </w:r>
    </w:p>
    <w:p>
      <w:pPr>
        <w:pStyle w:val="2"/>
        <w:widowControl w:val="0"/>
        <w:numPr>
          <w:ilvl w:val="0"/>
          <w:numId w:val="3"/>
        </w:numPr>
        <w:kinsoku/>
        <w:overflowPunct w:val="0"/>
        <w:autoSpaceDE/>
        <w:autoSpaceDN/>
        <w:spacing w:line="360" w:lineRule="auto"/>
        <w:ind w:left="0" w:leftChars="0" w:firstLine="628" w:firstLineChars="200"/>
        <w:rPr>
          <w:spacing w:val="-3"/>
          <w:sz w:val="32"/>
          <w:szCs w:val="32"/>
          <w:lang w:eastAsia="zh-CN"/>
        </w:rPr>
      </w:pPr>
      <w:r>
        <w:rPr>
          <w:spacing w:val="-3"/>
          <w:sz w:val="32"/>
          <w:szCs w:val="32"/>
          <w:lang w:eastAsia="zh-CN"/>
        </w:rPr>
        <w:t>绩效指标</w:t>
      </w:r>
    </w:p>
    <w:p>
      <w:pPr>
        <w:pStyle w:val="2"/>
        <w:widowControl w:val="0"/>
        <w:numPr>
          <w:ilvl w:val="0"/>
          <w:numId w:val="0"/>
        </w:numPr>
        <w:kinsoku/>
        <w:overflowPunct w:val="0"/>
        <w:autoSpaceDE/>
        <w:autoSpaceDN/>
        <w:spacing w:line="360" w:lineRule="auto"/>
        <w:ind w:leftChars="200"/>
        <w:rPr>
          <w:rFonts w:hint="default"/>
          <w:spacing w:val="-3"/>
          <w:sz w:val="32"/>
          <w:szCs w:val="32"/>
          <w:lang w:val="en-US" w:eastAsia="zh-CN"/>
        </w:rPr>
      </w:pPr>
      <w:r>
        <w:rPr>
          <w:rFonts w:hint="eastAsia"/>
          <w:spacing w:val="-3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  <w:t>该项资金主要从数量、质量、时效、成本、效益、满意度，六项指标进行项目总体分析。</w:t>
      </w:r>
    </w:p>
    <w:p>
      <w:pPr>
        <w:widowControl w:val="0"/>
        <w:kinsoku/>
        <w:overflowPunct w:val="0"/>
        <w:autoSpaceDE/>
        <w:autoSpaceDN/>
        <w:spacing w:line="360" w:lineRule="auto"/>
        <w:ind w:firstLine="611" w:firstLineChars="200"/>
        <w:outlineLvl w:val="0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8"/>
          <w:sz w:val="32"/>
          <w:szCs w:val="32"/>
          <w:lang w:eastAsia="zh-CN"/>
        </w:rPr>
        <w:t>二、绩效评价工作情况</w:t>
      </w:r>
    </w:p>
    <w:p>
      <w:pPr>
        <w:widowControl w:val="0"/>
        <w:kinsoku/>
        <w:overflowPunct w:val="0"/>
        <w:autoSpaceDE/>
        <w:autoSpaceDN/>
        <w:spacing w:line="360" w:lineRule="auto"/>
        <w:ind w:firstLine="683" w:firstLineChars="200"/>
        <w:outlineLvl w:val="0"/>
        <w:rPr>
          <w:rFonts w:ascii="楷体" w:hAnsi="楷体" w:eastAsia="楷体" w:cs="楷体"/>
          <w:b/>
          <w:bCs/>
          <w:spacing w:val="10"/>
          <w:sz w:val="32"/>
          <w:szCs w:val="32"/>
          <w:lang w:eastAsia="zh-CN"/>
        </w:rPr>
      </w:pPr>
      <w:r>
        <w:rPr>
          <w:rFonts w:ascii="楷体" w:hAnsi="楷体" w:eastAsia="楷体" w:cs="楷体"/>
          <w:b/>
          <w:bCs/>
          <w:spacing w:val="10"/>
          <w:sz w:val="32"/>
          <w:szCs w:val="32"/>
          <w:lang w:eastAsia="zh-CN"/>
        </w:rPr>
        <w:t>(一)绩效评价目的</w:t>
      </w:r>
    </w:p>
    <w:p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ind w:firstLine="234" w:firstLineChars="100"/>
        <w:jc w:val="both"/>
        <w:rPr>
          <w:rFonts w:ascii="楷体" w:hAnsi="楷体" w:eastAsia="楷体" w:cs="楷体"/>
          <w:b/>
          <w:bCs/>
          <w:spacing w:val="1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  <w:t>开展专项资金绩效评价，是完善公共财政体制、推进政务公开的迫切需要，是提高财政科学化，精细化管理水平的重要内容，对于推动该项政策落实，</w:t>
      </w:r>
      <w:r>
        <w:rPr>
          <w:rFonts w:hint="eastAsia" w:ascii="宋体" w:hAnsi="宋体" w:eastAsia="宋体" w:cs="宋体"/>
          <w:spacing w:val="9"/>
          <w:sz w:val="24"/>
          <w:szCs w:val="24"/>
          <w:lang w:eastAsia="zh-CN"/>
        </w:rPr>
        <w:t>提高财政资金使用效益，落实支出责任，树立效率意识，根据</w:t>
      </w:r>
      <w:r>
        <w:rPr>
          <w:rFonts w:hint="eastAsia" w:ascii="宋体" w:hAnsi="宋体" w:eastAsia="宋体" w:cs="宋体"/>
          <w:spacing w:val="9"/>
          <w:sz w:val="24"/>
          <w:szCs w:val="24"/>
          <w:lang w:val="en-US" w:eastAsia="zh-CN"/>
        </w:rPr>
        <w:t>鹤城区</w:t>
      </w:r>
      <w:r>
        <w:rPr>
          <w:rFonts w:hint="eastAsia" w:ascii="宋体" w:hAnsi="宋体" w:eastAsia="宋体" w:cs="宋体"/>
          <w:spacing w:val="9"/>
          <w:sz w:val="24"/>
          <w:szCs w:val="24"/>
          <w:lang w:eastAsia="zh-CN"/>
        </w:rPr>
        <w:t>财政局关于预算绩效管理等相关规定和文件精神，结合本单位工作实际。</w:t>
      </w:r>
    </w:p>
    <w:p>
      <w:pPr>
        <w:widowControl w:val="0"/>
        <w:numPr>
          <w:ilvl w:val="0"/>
          <w:numId w:val="4"/>
        </w:numPr>
        <w:kinsoku/>
        <w:overflowPunct w:val="0"/>
        <w:autoSpaceDE/>
        <w:autoSpaceDN/>
        <w:spacing w:line="360" w:lineRule="auto"/>
        <w:ind w:left="0" w:leftChars="0" w:firstLine="651" w:firstLineChars="200"/>
        <w:outlineLvl w:val="0"/>
        <w:rPr>
          <w:rFonts w:ascii="楷体" w:hAnsi="楷体" w:eastAsia="楷体" w:cs="楷体"/>
          <w:b/>
          <w:bCs/>
          <w:spacing w:val="2"/>
          <w:sz w:val="32"/>
          <w:szCs w:val="32"/>
          <w:lang w:eastAsia="zh-CN"/>
        </w:rPr>
      </w:pPr>
      <w:r>
        <w:rPr>
          <w:rFonts w:ascii="楷体" w:hAnsi="楷体" w:eastAsia="楷体" w:cs="楷体"/>
          <w:b/>
          <w:bCs/>
          <w:spacing w:val="2"/>
          <w:sz w:val="32"/>
          <w:szCs w:val="32"/>
          <w:lang w:eastAsia="zh-CN"/>
        </w:rPr>
        <w:t>绩效评价原则、评价指标体系、评价方法</w:t>
      </w:r>
    </w:p>
    <w:p>
      <w:pPr>
        <w:widowControl w:val="0"/>
        <w:numPr>
          <w:ilvl w:val="0"/>
          <w:numId w:val="0"/>
        </w:numPr>
        <w:kinsoku/>
        <w:overflowPunct w:val="0"/>
        <w:autoSpaceDE/>
        <w:autoSpaceDN/>
        <w:spacing w:line="360" w:lineRule="auto"/>
        <w:ind w:leftChars="200" w:firstLine="468" w:firstLineChars="200"/>
        <w:outlineLvl w:val="0"/>
        <w:rPr>
          <w:rFonts w:ascii="楷体" w:hAnsi="楷体" w:eastAsia="楷体" w:cs="楷体"/>
          <w:b/>
          <w:bCs/>
          <w:spacing w:val="2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  <w:t>本次绩效评价应遵循方法科学、主体独立、过程公开、数据可得、结果可用原则，评价体系由四项一级指标和九项二级指标构成，采用百分制的评价方法。</w:t>
      </w:r>
    </w:p>
    <w:p>
      <w:pPr>
        <w:spacing w:line="242" w:lineRule="auto"/>
        <w:ind w:firstLine="619" w:firstLineChars="200"/>
        <w:rPr>
          <w:lang w:eastAsia="zh-CN"/>
        </w:rPr>
      </w:pPr>
      <w:r>
        <w:rPr>
          <w:rFonts w:ascii="黑体" w:hAnsi="黑体" w:eastAsia="黑体" w:cs="黑体"/>
          <w:b/>
          <w:bCs/>
          <w:spacing w:val="-6"/>
          <w:sz w:val="32"/>
          <w:szCs w:val="32"/>
          <w:lang w:eastAsia="zh-CN"/>
        </w:rPr>
        <w:t>三、主要绩效及评价结论</w:t>
      </w:r>
    </w:p>
    <w:p>
      <w:pPr>
        <w:spacing w:line="242" w:lineRule="auto"/>
        <w:rPr>
          <w:lang w:eastAsia="zh-CN"/>
        </w:rPr>
      </w:pPr>
    </w:p>
    <w:p>
      <w:pPr>
        <w:numPr>
          <w:ilvl w:val="0"/>
          <w:numId w:val="5"/>
        </w:numPr>
        <w:spacing w:before="107" w:line="230" w:lineRule="auto"/>
        <w:ind w:left="849"/>
        <w:rPr>
          <w:rFonts w:ascii="楷体" w:hAnsi="楷体" w:eastAsia="楷体" w:cs="楷体"/>
          <w:spacing w:val="11"/>
          <w:sz w:val="33"/>
          <w:szCs w:val="33"/>
          <w:lang w:eastAsia="zh-CN"/>
        </w:rPr>
      </w:pPr>
      <w:r>
        <w:rPr>
          <w:rFonts w:ascii="楷体" w:hAnsi="楷体" w:eastAsia="楷体" w:cs="楷体"/>
          <w:spacing w:val="11"/>
          <w:sz w:val="33"/>
          <w:szCs w:val="33"/>
          <w:lang w:eastAsia="zh-CN"/>
        </w:rPr>
        <w:t>社会效益</w:t>
      </w:r>
    </w:p>
    <w:p>
      <w:pPr>
        <w:numPr>
          <w:ilvl w:val="0"/>
          <w:numId w:val="0"/>
        </w:numPr>
        <w:spacing w:before="107" w:line="230" w:lineRule="auto"/>
        <w:ind w:firstLine="516" w:firstLineChars="200"/>
        <w:rPr>
          <w:rFonts w:hint="default" w:ascii="楷体" w:hAnsi="楷体" w:eastAsia="楷体" w:cs="楷体"/>
          <w:spacing w:val="1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9"/>
          <w:sz w:val="24"/>
          <w:szCs w:val="24"/>
          <w:lang w:eastAsia="zh-CN"/>
        </w:rPr>
        <w:t>我</w:t>
      </w:r>
      <w:r>
        <w:rPr>
          <w:rFonts w:hint="eastAsia" w:ascii="宋体" w:hAnsi="宋体" w:eastAsia="宋体" w:cs="宋体"/>
          <w:spacing w:val="9"/>
          <w:sz w:val="24"/>
          <w:szCs w:val="24"/>
          <w:lang w:val="en-US" w:eastAsia="zh-CN"/>
        </w:rPr>
        <w:t>接待服务中心</w:t>
      </w:r>
      <w:r>
        <w:rPr>
          <w:rFonts w:hint="eastAsia" w:ascii="宋体" w:hAnsi="宋体" w:eastAsia="宋体" w:cs="宋体"/>
          <w:spacing w:val="9"/>
          <w:sz w:val="24"/>
          <w:szCs w:val="24"/>
          <w:lang w:eastAsia="zh-CN"/>
        </w:rPr>
        <w:t>能做好资金管理，对外积极协调财政部门做好预算内资金申请工作，对内做好核算和监督工作;会计人员认真贯彻执行各项财务制度，遵守财经纪律，严格履行会计核算和会计监督职能，正确使用会计科目，准确及时反映财务状况;</w:t>
      </w:r>
      <w:r>
        <w:rPr>
          <w:rFonts w:hint="eastAsia" w:ascii="宋体" w:hAnsi="宋体" w:eastAsia="宋体" w:cs="宋体"/>
          <w:spacing w:val="9"/>
          <w:sz w:val="24"/>
          <w:szCs w:val="24"/>
          <w:lang w:val="en-US" w:eastAsia="zh-CN"/>
        </w:rPr>
        <w:t>正确使用财政资金。</w:t>
      </w:r>
    </w:p>
    <w:p>
      <w:pPr>
        <w:numPr>
          <w:ilvl w:val="0"/>
          <w:numId w:val="5"/>
        </w:numPr>
        <w:spacing w:before="113" w:line="232" w:lineRule="auto"/>
        <w:ind w:left="849" w:leftChars="0" w:firstLine="0" w:firstLineChars="0"/>
        <w:rPr>
          <w:rFonts w:ascii="楷体" w:hAnsi="楷体" w:eastAsia="楷体" w:cs="楷体"/>
          <w:spacing w:val="11"/>
          <w:sz w:val="33"/>
          <w:szCs w:val="33"/>
          <w:lang w:eastAsia="zh-CN"/>
        </w:rPr>
      </w:pPr>
      <w:r>
        <w:rPr>
          <w:rFonts w:ascii="楷体" w:hAnsi="楷体" w:eastAsia="楷体" w:cs="楷体"/>
          <w:spacing w:val="11"/>
          <w:sz w:val="33"/>
          <w:szCs w:val="33"/>
          <w:lang w:eastAsia="zh-CN"/>
        </w:rPr>
        <w:t>生态效益</w:t>
      </w:r>
    </w:p>
    <w:p>
      <w:pPr>
        <w:numPr>
          <w:ilvl w:val="0"/>
          <w:numId w:val="0"/>
        </w:numPr>
        <w:spacing w:before="107" w:line="230" w:lineRule="auto"/>
        <w:ind w:firstLine="480" w:firstLineChars="200"/>
        <w:rPr>
          <w:rFonts w:ascii="楷体" w:hAnsi="楷体" w:eastAsia="楷体" w:cs="楷体"/>
          <w:spacing w:val="11"/>
          <w:sz w:val="33"/>
          <w:szCs w:val="33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  <w:t>考核项目实施对生态发展所带来的直接或间接影响情况。</w:t>
      </w:r>
    </w:p>
    <w:p>
      <w:pPr>
        <w:numPr>
          <w:ilvl w:val="0"/>
          <w:numId w:val="5"/>
        </w:numPr>
        <w:spacing w:before="98" w:line="223" w:lineRule="auto"/>
        <w:ind w:left="849" w:leftChars="0" w:firstLine="0" w:firstLineChars="0"/>
        <w:rPr>
          <w:rFonts w:ascii="楷体" w:hAnsi="楷体" w:eastAsia="楷体" w:cs="楷体"/>
          <w:spacing w:val="9"/>
          <w:sz w:val="33"/>
          <w:szCs w:val="33"/>
          <w:lang w:eastAsia="zh-CN"/>
        </w:rPr>
      </w:pPr>
      <w:r>
        <w:rPr>
          <w:rFonts w:ascii="楷体" w:hAnsi="楷体" w:eastAsia="楷体" w:cs="楷体"/>
          <w:spacing w:val="9"/>
          <w:sz w:val="33"/>
          <w:szCs w:val="33"/>
          <w:lang w:eastAsia="zh-CN"/>
        </w:rPr>
        <w:t>评价结论</w:t>
      </w:r>
    </w:p>
    <w:p>
      <w:pPr>
        <w:spacing w:before="142" w:line="221" w:lineRule="auto"/>
        <w:ind w:left="694"/>
        <w:outlineLvl w:val="0"/>
        <w:rPr>
          <w:rFonts w:ascii="楷体" w:hAnsi="楷体" w:eastAsia="楷体" w:cs="楷体"/>
          <w:spacing w:val="9"/>
          <w:sz w:val="33"/>
          <w:szCs w:val="33"/>
          <w:lang w:eastAsia="zh-CN"/>
        </w:rPr>
      </w:pPr>
      <w:r>
        <w:rPr>
          <w:rFonts w:hint="eastAsia" w:ascii="宋体" w:hAnsi="宋体" w:eastAsia="宋体" w:cs="宋体"/>
          <w:bCs/>
          <w:snapToGrid/>
          <w:sz w:val="24"/>
          <w:szCs w:val="24"/>
          <w:lang w:val="en-US" w:eastAsia="zh-CN"/>
        </w:rPr>
        <w:t>我接待服务中心</w:t>
      </w:r>
      <w:r>
        <w:rPr>
          <w:rFonts w:hint="eastAsia" w:ascii="宋体" w:hAnsi="宋体" w:eastAsia="宋体" w:cs="宋体"/>
          <w:bCs/>
          <w:snapToGrid/>
          <w:sz w:val="24"/>
          <w:szCs w:val="24"/>
          <w:lang w:eastAsia="zh-CN"/>
        </w:rPr>
        <w:t>按文件规定使用该项目资金，不存在挪用、垫付等违规情况。</w:t>
      </w: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>股室运转正常</w:t>
      </w:r>
      <w:r>
        <w:rPr>
          <w:rFonts w:hint="eastAsia" w:ascii="宋体" w:hAnsi="宋体" w:eastAsia="宋体" w:cs="宋体"/>
          <w:bCs/>
          <w:snapToGrid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Cs/>
          <w:snapToGrid/>
          <w:sz w:val="24"/>
          <w:szCs w:val="24"/>
          <w:lang w:val="en-US" w:eastAsia="zh-CN"/>
        </w:rPr>
        <w:t>促使</w:t>
      </w:r>
      <w:r>
        <w:rPr>
          <w:rFonts w:hint="eastAsia" w:ascii="宋体" w:hAnsi="宋体" w:eastAsia="宋体" w:cs="宋体"/>
          <w:bCs/>
          <w:snapToGrid/>
          <w:sz w:val="24"/>
          <w:szCs w:val="24"/>
          <w:lang w:eastAsia="zh-CN"/>
        </w:rPr>
        <w:t>社会和谐稳定发展，该项目进展顺利。绩效评分为9</w:t>
      </w:r>
      <w:r>
        <w:rPr>
          <w:rFonts w:hint="eastAsia" w:ascii="宋体" w:hAnsi="宋体" w:eastAsia="宋体" w:cs="宋体"/>
          <w:bCs/>
          <w:snapToGrid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Cs/>
          <w:snapToGrid/>
          <w:sz w:val="24"/>
          <w:szCs w:val="24"/>
          <w:lang w:eastAsia="zh-CN"/>
        </w:rPr>
        <w:t>分。</w:t>
      </w:r>
    </w:p>
    <w:p>
      <w:pPr>
        <w:spacing w:before="142" w:line="221" w:lineRule="auto"/>
        <w:ind w:left="694"/>
        <w:outlineLvl w:val="0"/>
        <w:rPr>
          <w:rFonts w:ascii="黑体" w:hAnsi="黑体" w:eastAsia="黑体" w:cs="黑体"/>
          <w:sz w:val="33"/>
          <w:szCs w:val="33"/>
          <w:lang w:eastAsia="zh-CN"/>
        </w:rPr>
      </w:pPr>
      <w:r>
        <w:rPr>
          <w:rFonts w:ascii="黑体" w:hAnsi="黑体" w:eastAsia="黑体" w:cs="黑体"/>
          <w:b/>
          <w:bCs/>
          <w:spacing w:val="-32"/>
          <w:sz w:val="33"/>
          <w:szCs w:val="33"/>
          <w:lang w:eastAsia="zh-CN"/>
        </w:rPr>
        <w:t>四、绩效评价指标分析</w:t>
      </w:r>
    </w:p>
    <w:p>
      <w:pPr>
        <w:spacing w:before="120" w:line="224" w:lineRule="auto"/>
        <w:ind w:left="694"/>
        <w:outlineLvl w:val="0"/>
        <w:rPr>
          <w:rFonts w:ascii="楷体" w:hAnsi="楷体" w:eastAsia="楷体" w:cs="楷体"/>
          <w:b/>
          <w:bCs/>
          <w:spacing w:val="-19"/>
          <w:sz w:val="33"/>
          <w:szCs w:val="33"/>
          <w:lang w:eastAsia="zh-CN"/>
        </w:rPr>
      </w:pPr>
      <w:r>
        <w:rPr>
          <w:rFonts w:ascii="楷体" w:hAnsi="楷体" w:eastAsia="楷体" w:cs="楷体"/>
          <w:b/>
          <w:bCs/>
          <w:spacing w:val="-19"/>
          <w:sz w:val="33"/>
          <w:szCs w:val="33"/>
          <w:lang w:eastAsia="zh-CN"/>
        </w:rPr>
        <w:t>(一)项目决策情况</w:t>
      </w:r>
    </w:p>
    <w:p>
      <w:pPr>
        <w:spacing w:before="107" w:line="230" w:lineRule="auto"/>
        <w:ind w:firstLine="480" w:firstLineChars="200"/>
        <w:rPr>
          <w:rFonts w:hint="eastAsia" w:ascii="宋体" w:hAnsi="宋体" w:eastAsia="宋体" w:cs="宋体"/>
          <w:b/>
          <w:bCs/>
          <w:spacing w:val="-19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napToGrid/>
          <w:sz w:val="24"/>
          <w:szCs w:val="24"/>
          <w:lang w:eastAsia="zh-CN"/>
        </w:rPr>
        <w:t>此项目决策立项目标合理，立项依据充分、规范，为</w:t>
      </w:r>
      <w:r>
        <w:rPr>
          <w:rFonts w:hint="eastAsia" w:ascii="宋体" w:hAnsi="宋体" w:eastAsia="宋体" w:cs="宋体"/>
          <w:bCs/>
          <w:snapToGrid/>
          <w:sz w:val="24"/>
          <w:szCs w:val="24"/>
          <w:lang w:val="en-US" w:eastAsia="zh-CN"/>
        </w:rPr>
        <w:t>股室</w:t>
      </w:r>
      <w:r>
        <w:rPr>
          <w:rFonts w:hint="eastAsia" w:ascii="宋体" w:hAnsi="宋体" w:eastAsia="宋体" w:cs="宋体"/>
          <w:bCs/>
          <w:snapToGrid/>
          <w:sz w:val="24"/>
          <w:szCs w:val="24"/>
          <w:lang w:eastAsia="zh-CN"/>
        </w:rPr>
        <w:t>提供基础保障，响应了以民为本的政策。</w:t>
      </w:r>
    </w:p>
    <w:p>
      <w:pPr>
        <w:spacing w:before="135" w:line="227" w:lineRule="auto"/>
        <w:ind w:left="694"/>
        <w:outlineLvl w:val="0"/>
        <w:rPr>
          <w:rFonts w:ascii="楷体" w:hAnsi="楷体" w:eastAsia="楷体" w:cs="楷体"/>
          <w:sz w:val="33"/>
          <w:szCs w:val="33"/>
          <w:lang w:eastAsia="zh-CN"/>
        </w:rPr>
      </w:pPr>
      <w:r>
        <w:rPr>
          <w:rFonts w:ascii="楷体" w:hAnsi="楷体" w:eastAsia="楷体" w:cs="楷体"/>
          <w:b/>
          <w:bCs/>
          <w:spacing w:val="-20"/>
          <w:sz w:val="33"/>
          <w:szCs w:val="33"/>
          <w:lang w:eastAsia="zh-CN"/>
        </w:rPr>
        <w:t>(二)项目过程情况</w:t>
      </w:r>
    </w:p>
    <w:p>
      <w:pPr>
        <w:pStyle w:val="2"/>
        <w:spacing w:before="120" w:line="264" w:lineRule="auto"/>
        <w:ind w:left="669" w:right="6174" w:firstLine="19"/>
        <w:rPr>
          <w:spacing w:val="-12"/>
          <w:sz w:val="33"/>
          <w:szCs w:val="33"/>
          <w:lang w:eastAsia="zh-CN"/>
        </w:rPr>
      </w:pPr>
      <w:r>
        <w:rPr>
          <w:spacing w:val="-12"/>
          <w:sz w:val="33"/>
          <w:szCs w:val="33"/>
          <w:lang w:eastAsia="zh-CN"/>
        </w:rPr>
        <w:t>1.资金</w:t>
      </w:r>
      <w:r>
        <w:rPr>
          <w:rFonts w:hint="eastAsia"/>
          <w:spacing w:val="-12"/>
          <w:sz w:val="33"/>
          <w:szCs w:val="33"/>
          <w:lang w:val="en-US" w:eastAsia="zh-CN"/>
        </w:rPr>
        <w:t>管</w:t>
      </w:r>
      <w:r>
        <w:rPr>
          <w:spacing w:val="-12"/>
          <w:sz w:val="33"/>
          <w:szCs w:val="33"/>
          <w:lang w:eastAsia="zh-CN"/>
        </w:rPr>
        <w:t>理</w:t>
      </w:r>
    </w:p>
    <w:p>
      <w:pPr>
        <w:spacing w:before="107" w:line="230" w:lineRule="auto"/>
        <w:ind w:firstLine="480" w:firstLineChars="200"/>
        <w:rPr>
          <w:spacing w:val="-12"/>
          <w:sz w:val="33"/>
          <w:szCs w:val="33"/>
          <w:lang w:eastAsia="zh-CN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4"/>
          <w:szCs w:val="24"/>
          <w:lang w:eastAsia="zh-CN"/>
        </w:rPr>
        <w:t>项目资金符合审核流程，会计核算规范，严格按照专项资金管理办法进行财务处理，</w:t>
      </w:r>
      <w:r>
        <w:rPr>
          <w:rFonts w:hint="eastAsia" w:ascii="宋体" w:hAnsi="宋体" w:eastAsia="宋体" w:cs="宋体"/>
          <w:bCs/>
          <w:snapToGrid/>
          <w:sz w:val="24"/>
          <w:szCs w:val="24"/>
          <w:lang w:eastAsia="zh-CN"/>
        </w:rPr>
        <w:t>确保资金使用率。</w:t>
      </w:r>
    </w:p>
    <w:p>
      <w:pPr>
        <w:pStyle w:val="2"/>
        <w:numPr>
          <w:ilvl w:val="0"/>
          <w:numId w:val="6"/>
        </w:numPr>
        <w:spacing w:before="120" w:line="264" w:lineRule="auto"/>
        <w:ind w:left="669" w:right="6174" w:firstLine="19"/>
        <w:rPr>
          <w:spacing w:val="-9"/>
          <w:sz w:val="33"/>
          <w:szCs w:val="33"/>
          <w:lang w:eastAsia="zh-CN"/>
        </w:rPr>
      </w:pPr>
      <w:r>
        <w:rPr>
          <w:spacing w:val="-9"/>
          <w:sz w:val="33"/>
          <w:szCs w:val="33"/>
          <w:lang w:eastAsia="zh-CN"/>
        </w:rPr>
        <w:t>项目实施</w:t>
      </w:r>
    </w:p>
    <w:p>
      <w:pPr>
        <w:spacing w:before="107" w:line="230" w:lineRule="auto"/>
        <w:ind w:firstLine="720" w:firstLineChars="300"/>
        <w:rPr>
          <w:spacing w:val="-9"/>
          <w:sz w:val="33"/>
          <w:szCs w:val="33"/>
          <w:lang w:eastAsia="zh-CN"/>
        </w:rPr>
      </w:pPr>
      <w:r>
        <w:rPr>
          <w:rFonts w:hint="eastAsia" w:ascii="宋体" w:hAnsi="宋体" w:eastAsia="宋体" w:cs="宋体"/>
          <w:bCs/>
          <w:snapToGrid/>
          <w:sz w:val="24"/>
          <w:szCs w:val="24"/>
          <w:lang w:eastAsia="zh-CN"/>
        </w:rPr>
        <w:t>组织机构健全、分工明确，责任到人，提高了办事效率，确保了项目质量，确保该项工作按流程进行到位。</w:t>
      </w:r>
    </w:p>
    <w:p>
      <w:pPr>
        <w:spacing w:before="85" w:line="223" w:lineRule="auto"/>
        <w:ind w:left="694"/>
        <w:outlineLvl w:val="0"/>
        <w:rPr>
          <w:rFonts w:ascii="楷体" w:hAnsi="楷体" w:eastAsia="楷体" w:cs="楷体"/>
          <w:sz w:val="33"/>
          <w:szCs w:val="33"/>
          <w:lang w:eastAsia="zh-CN"/>
        </w:rPr>
      </w:pPr>
      <w:r>
        <w:rPr>
          <w:rFonts w:ascii="楷体" w:hAnsi="楷体" w:eastAsia="楷体" w:cs="楷体"/>
          <w:b/>
          <w:bCs/>
          <w:spacing w:val="-17"/>
          <w:sz w:val="33"/>
          <w:szCs w:val="33"/>
          <w:lang w:eastAsia="zh-CN"/>
        </w:rPr>
        <w:t>(三)项目产出情况</w:t>
      </w:r>
    </w:p>
    <w:p>
      <w:pPr>
        <w:spacing w:before="107" w:line="230" w:lineRule="auto"/>
        <w:ind w:firstLine="774" w:firstLineChars="300"/>
        <w:rPr>
          <w:rFonts w:hint="eastAsia" w:ascii="宋体" w:hAnsi="宋体" w:eastAsia="宋体" w:cs="宋体"/>
          <w:spacing w:val="-11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-11"/>
          <w:sz w:val="28"/>
          <w:szCs w:val="28"/>
          <w:lang w:eastAsia="zh-CN"/>
        </w:rPr>
        <w:t>1.产出数量</w:t>
      </w:r>
      <w:r>
        <w:rPr>
          <w:rFonts w:hint="eastAsia" w:ascii="宋体" w:hAnsi="宋体" w:eastAsia="宋体" w:cs="宋体"/>
          <w:spacing w:val="-11"/>
          <w:sz w:val="28"/>
          <w:szCs w:val="28"/>
          <w:lang w:val="en-US" w:eastAsia="zh-CN"/>
        </w:rPr>
        <w:t>:整体项目2个。</w:t>
      </w:r>
    </w:p>
    <w:p>
      <w:pPr>
        <w:spacing w:before="107" w:line="230" w:lineRule="auto"/>
        <w:ind w:firstLine="774" w:firstLineChars="300"/>
        <w:rPr>
          <w:rFonts w:hint="eastAsia" w:ascii="宋体" w:hAnsi="宋体" w:eastAsia="宋体" w:cs="宋体"/>
          <w:bCs/>
          <w:snapToGrid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-11"/>
          <w:sz w:val="28"/>
          <w:szCs w:val="28"/>
          <w:lang w:eastAsia="zh-CN"/>
        </w:rPr>
        <w:t>2.产出质量</w:t>
      </w:r>
      <w:r>
        <w:rPr>
          <w:rFonts w:hint="eastAsia" w:ascii="宋体" w:hAnsi="宋体" w:eastAsia="宋体" w:cs="宋体"/>
          <w:spacing w:val="-11"/>
          <w:sz w:val="28"/>
          <w:szCs w:val="28"/>
          <w:lang w:val="en-US" w:eastAsia="zh-CN"/>
        </w:rPr>
        <w:t>:</w:t>
      </w:r>
      <w:r>
        <w:rPr>
          <w:rFonts w:hint="eastAsia" w:ascii="宋体" w:hAnsi="宋体" w:eastAsia="宋体" w:cs="宋体"/>
          <w:bCs/>
          <w:snapToGrid/>
          <w:sz w:val="28"/>
          <w:szCs w:val="28"/>
          <w:lang w:eastAsia="zh-CN"/>
        </w:rPr>
        <w:t>按照文件规定</w:t>
      </w:r>
      <w:r>
        <w:rPr>
          <w:rFonts w:hint="eastAsia" w:ascii="宋体" w:hAnsi="宋体" w:eastAsia="宋体" w:cs="宋体"/>
          <w:bCs/>
          <w:snapToGrid/>
          <w:sz w:val="28"/>
          <w:szCs w:val="28"/>
          <w:lang w:val="en-US" w:eastAsia="zh-CN"/>
        </w:rPr>
        <w:t>使用资金</w:t>
      </w:r>
      <w:r>
        <w:rPr>
          <w:rFonts w:hint="eastAsia" w:ascii="宋体" w:hAnsi="宋体" w:eastAsia="宋体" w:cs="宋体"/>
          <w:bCs/>
          <w:snapToGrid/>
          <w:sz w:val="28"/>
          <w:szCs w:val="28"/>
          <w:lang w:eastAsia="zh-CN"/>
        </w:rPr>
        <w:t>。</w:t>
      </w:r>
    </w:p>
    <w:p>
      <w:pPr>
        <w:spacing w:before="107" w:line="230" w:lineRule="auto"/>
        <w:ind w:firstLine="840" w:firstLineChars="300"/>
        <w:rPr>
          <w:rFonts w:hint="eastAsia" w:ascii="宋体" w:hAnsi="宋体" w:eastAsia="宋体" w:cs="宋体"/>
          <w:spacing w:val="-9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Cs/>
          <w:snapToGrid/>
          <w:sz w:val="28"/>
          <w:szCs w:val="28"/>
          <w:lang w:eastAsia="zh-CN"/>
        </w:rPr>
        <w:t>3.产出成本：</w:t>
      </w:r>
      <w:r>
        <w:rPr>
          <w:rFonts w:hint="eastAsia" w:ascii="宋体" w:hAnsi="宋体" w:eastAsia="宋体" w:cs="宋体"/>
          <w:bCs/>
          <w:snapToGrid/>
          <w:sz w:val="28"/>
          <w:szCs w:val="28"/>
          <w:lang w:val="en-US" w:eastAsia="zh-CN"/>
        </w:rPr>
        <w:t>资金使用35.38万元</w:t>
      </w:r>
      <w:r>
        <w:rPr>
          <w:rFonts w:hint="eastAsia" w:ascii="宋体" w:hAnsi="宋体" w:eastAsia="宋体" w:cs="宋体"/>
          <w:bCs/>
          <w:snapToGrid/>
          <w:sz w:val="28"/>
          <w:szCs w:val="28"/>
          <w:lang w:eastAsia="zh-CN"/>
        </w:rPr>
        <w:t>。</w:t>
      </w:r>
    </w:p>
    <w:p>
      <w:pPr>
        <w:spacing w:before="107" w:line="230" w:lineRule="auto"/>
        <w:ind w:firstLine="786" w:firstLineChars="3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8"/>
          <w:szCs w:val="28"/>
          <w:lang w:eastAsia="zh-CN"/>
        </w:rPr>
        <w:t>4.产出时效</w:t>
      </w:r>
      <w:r>
        <w:rPr>
          <w:rFonts w:hint="eastAsia" w:ascii="宋体" w:hAnsi="宋体" w:eastAsia="宋体" w:cs="宋体"/>
          <w:spacing w:val="-9"/>
          <w:sz w:val="28"/>
          <w:szCs w:val="28"/>
          <w:lang w:val="en-US" w:eastAsia="zh-CN"/>
        </w:rPr>
        <w:t>:</w:t>
      </w:r>
      <w:r>
        <w:rPr>
          <w:rFonts w:hint="eastAsia" w:ascii="宋体" w:hAnsi="宋体" w:eastAsia="宋体" w:cs="宋体"/>
          <w:bCs/>
          <w:snapToGrid/>
          <w:sz w:val="28"/>
          <w:szCs w:val="28"/>
          <w:lang w:eastAsia="zh-CN"/>
        </w:rPr>
        <w:t>每月按时足额</w:t>
      </w:r>
      <w:r>
        <w:rPr>
          <w:rFonts w:hint="eastAsia" w:ascii="宋体" w:hAnsi="宋体" w:eastAsia="宋体" w:cs="宋体"/>
          <w:bCs/>
          <w:snapToGrid/>
          <w:sz w:val="28"/>
          <w:szCs w:val="28"/>
          <w:lang w:val="en-US" w:eastAsia="zh-CN"/>
        </w:rPr>
        <w:t>使用</w:t>
      </w:r>
      <w:r>
        <w:rPr>
          <w:rFonts w:hint="eastAsia" w:ascii="宋体" w:hAnsi="宋体" w:eastAsia="宋体" w:cs="宋体"/>
          <w:bCs/>
          <w:snapToGrid/>
          <w:sz w:val="28"/>
          <w:szCs w:val="28"/>
          <w:lang w:eastAsia="zh-CN"/>
        </w:rPr>
        <w:t>。</w:t>
      </w:r>
    </w:p>
    <w:p>
      <w:pPr>
        <w:spacing w:before="33" w:line="227" w:lineRule="auto"/>
        <w:ind w:left="694"/>
        <w:outlineLvl w:val="0"/>
        <w:rPr>
          <w:rFonts w:ascii="楷体" w:hAnsi="楷体" w:eastAsia="楷体" w:cs="楷体"/>
          <w:b/>
          <w:bCs/>
          <w:spacing w:val="-17"/>
          <w:sz w:val="33"/>
          <w:szCs w:val="33"/>
          <w:lang w:eastAsia="zh-CN"/>
        </w:rPr>
      </w:pPr>
      <w:r>
        <w:rPr>
          <w:rFonts w:ascii="楷体" w:hAnsi="楷体" w:eastAsia="楷体" w:cs="楷体"/>
          <w:b/>
          <w:bCs/>
          <w:spacing w:val="-17"/>
          <w:sz w:val="33"/>
          <w:szCs w:val="33"/>
          <w:lang w:eastAsia="zh-CN"/>
        </w:rPr>
        <w:t>(四)项目效益情况</w:t>
      </w:r>
    </w:p>
    <w:p>
      <w:pPr>
        <w:spacing w:before="107" w:line="230" w:lineRule="auto"/>
        <w:ind w:firstLine="480" w:firstLineChars="200"/>
        <w:rPr>
          <w:rFonts w:ascii="楷体" w:hAnsi="楷体" w:eastAsia="楷体" w:cs="楷体"/>
          <w:b/>
          <w:bCs/>
          <w:spacing w:val="-17"/>
          <w:sz w:val="33"/>
          <w:szCs w:val="33"/>
          <w:lang w:eastAsia="zh-CN"/>
        </w:rPr>
      </w:pPr>
      <w:r>
        <w:rPr>
          <w:rFonts w:hint="eastAsia" w:ascii="宋体" w:hAnsi="宋体" w:eastAsia="宋体" w:cs="宋体"/>
          <w:bCs/>
          <w:snapToGrid/>
          <w:sz w:val="24"/>
          <w:szCs w:val="24"/>
          <w:lang w:eastAsia="zh-CN"/>
        </w:rPr>
        <w:t>受益群体满意度达标。</w:t>
      </w:r>
      <w:bookmarkStart w:id="0" w:name="_GoBack"/>
      <w:bookmarkEnd w:id="0"/>
      <w:r>
        <w:rPr>
          <w:rFonts w:hint="eastAsia" w:ascii="宋体" w:hAnsi="宋体" w:eastAsia="宋体" w:cs="宋体"/>
          <w:spacing w:val="9"/>
          <w:sz w:val="24"/>
          <w:szCs w:val="24"/>
          <w:lang w:eastAsia="zh-CN"/>
        </w:rPr>
        <w:t>执行国家有关法律、法规和财务制度，厉行节约，量入为出，注重资金使用效益、部门预算编制、分配符合本单位职责、符合</w:t>
      </w:r>
      <w:r>
        <w:rPr>
          <w:rFonts w:hint="eastAsia" w:ascii="宋体" w:hAnsi="宋体" w:eastAsia="宋体" w:cs="宋体"/>
          <w:spacing w:val="9"/>
          <w:sz w:val="24"/>
          <w:szCs w:val="24"/>
          <w:lang w:val="en-US" w:eastAsia="zh-CN"/>
        </w:rPr>
        <w:t>区</w:t>
      </w:r>
      <w:r>
        <w:rPr>
          <w:rFonts w:hint="eastAsia" w:ascii="宋体" w:hAnsi="宋体" w:eastAsia="宋体" w:cs="宋体"/>
          <w:spacing w:val="9"/>
          <w:sz w:val="24"/>
          <w:szCs w:val="24"/>
          <w:lang w:eastAsia="zh-CN"/>
        </w:rPr>
        <w:t>委</w:t>
      </w:r>
      <w:r>
        <w:rPr>
          <w:rFonts w:hint="eastAsia" w:ascii="宋体" w:hAnsi="宋体" w:eastAsia="宋体" w:cs="宋体"/>
          <w:spacing w:val="9"/>
          <w:sz w:val="24"/>
          <w:szCs w:val="24"/>
          <w:lang w:val="en-US" w:eastAsia="zh-CN"/>
        </w:rPr>
        <w:t>区</w:t>
      </w:r>
      <w:r>
        <w:rPr>
          <w:rFonts w:hint="eastAsia" w:ascii="宋体" w:hAnsi="宋体" w:eastAsia="宋体" w:cs="宋体"/>
          <w:spacing w:val="9"/>
          <w:sz w:val="24"/>
          <w:szCs w:val="24"/>
          <w:lang w:eastAsia="zh-CN"/>
        </w:rPr>
        <w:t>政府方针政策和工作要求，部门预算资金能根据年度工作重点，在不同项目、不同用途之间合理调整，按要求做实做细部门项目库工作，严格依照要求申报项目绩效目标和设置部门整体绩效目标，整体绩效目标具有合理性、可衡量性。</w:t>
      </w:r>
    </w:p>
    <w:p>
      <w:pPr>
        <w:spacing w:before="134" w:line="222" w:lineRule="auto"/>
        <w:ind w:left="674"/>
        <w:outlineLvl w:val="0"/>
        <w:rPr>
          <w:rFonts w:ascii="黑体" w:hAnsi="黑体" w:eastAsia="黑体" w:cs="黑体"/>
          <w:sz w:val="33"/>
          <w:szCs w:val="33"/>
          <w:lang w:eastAsia="zh-CN"/>
        </w:rPr>
      </w:pPr>
      <w:r>
        <w:rPr>
          <w:rFonts w:ascii="黑体" w:hAnsi="黑体" w:eastAsia="黑体" w:cs="黑体"/>
          <w:b/>
          <w:bCs/>
          <w:spacing w:val="-18"/>
          <w:sz w:val="33"/>
          <w:szCs w:val="33"/>
          <w:lang w:eastAsia="zh-CN"/>
        </w:rPr>
        <w:t>五、项目主要经验、存在的问题及建议</w:t>
      </w:r>
    </w:p>
    <w:p>
      <w:pPr>
        <w:spacing w:before="106" w:line="228" w:lineRule="auto"/>
        <w:ind w:left="854"/>
        <w:outlineLvl w:val="0"/>
        <w:rPr>
          <w:rFonts w:ascii="楷体" w:hAnsi="楷体" w:eastAsia="楷体" w:cs="楷体"/>
          <w:b/>
          <w:bCs/>
          <w:spacing w:val="-2"/>
          <w:sz w:val="33"/>
          <w:szCs w:val="33"/>
          <w:lang w:eastAsia="zh-CN"/>
        </w:rPr>
      </w:pPr>
      <w:r>
        <w:rPr>
          <w:rFonts w:ascii="楷体" w:hAnsi="楷体" w:eastAsia="楷体" w:cs="楷体"/>
          <w:b/>
          <w:bCs/>
          <w:spacing w:val="-2"/>
          <w:sz w:val="33"/>
          <w:szCs w:val="33"/>
          <w:lang w:eastAsia="zh-CN"/>
        </w:rPr>
        <w:t>(一)项目主要经验及做法</w:t>
      </w:r>
    </w:p>
    <w:p>
      <w:pPr>
        <w:spacing w:before="107" w:line="230" w:lineRule="auto"/>
        <w:ind w:firstLine="720" w:firstLineChars="300"/>
        <w:rPr>
          <w:rFonts w:ascii="楷体" w:hAnsi="楷体" w:eastAsia="楷体" w:cs="楷体"/>
          <w:b/>
          <w:bCs/>
          <w:spacing w:val="-2"/>
          <w:sz w:val="33"/>
          <w:szCs w:val="33"/>
          <w:lang w:eastAsia="zh-CN"/>
        </w:rPr>
      </w:pPr>
      <w:r>
        <w:rPr>
          <w:rFonts w:hint="eastAsia" w:ascii="宋体" w:hAnsi="宋体" w:eastAsia="宋体" w:cs="宋体"/>
          <w:bCs/>
          <w:snapToGrid/>
          <w:sz w:val="24"/>
          <w:szCs w:val="24"/>
          <w:lang w:eastAsia="zh-CN"/>
        </w:rPr>
        <w:t>项目资金真正做到了专款专用，严格按照项目资金管理程序支付，有效发挥项目资金的使用效益，确保了项目资金正常合理使用。</w:t>
      </w:r>
    </w:p>
    <w:p>
      <w:pPr>
        <w:spacing w:before="100" w:line="227" w:lineRule="auto"/>
        <w:ind w:left="824"/>
        <w:outlineLvl w:val="0"/>
        <w:rPr>
          <w:rFonts w:ascii="楷体" w:hAnsi="楷体" w:eastAsia="楷体" w:cs="楷体"/>
          <w:b/>
          <w:bCs/>
          <w:spacing w:val="6"/>
          <w:sz w:val="33"/>
          <w:szCs w:val="33"/>
          <w:lang w:eastAsia="zh-CN"/>
        </w:rPr>
      </w:pPr>
      <w:r>
        <w:rPr>
          <w:rFonts w:ascii="楷体" w:hAnsi="楷体" w:eastAsia="楷体" w:cs="楷体"/>
          <w:b/>
          <w:bCs/>
          <w:spacing w:val="6"/>
          <w:sz w:val="33"/>
          <w:szCs w:val="33"/>
          <w:lang w:eastAsia="zh-CN"/>
        </w:rPr>
        <w:t>(二)存在的问题</w:t>
      </w:r>
    </w:p>
    <w:p>
      <w:pPr>
        <w:widowControl w:val="0"/>
        <w:kinsoku/>
        <w:overflowPunct w:val="0"/>
        <w:spacing w:line="360" w:lineRule="auto"/>
        <w:ind w:firstLine="444" w:firstLineChars="200"/>
        <w:rPr>
          <w:rFonts w:hint="eastAsia" w:asciiTheme="minorEastAsia" w:hAnsiTheme="minorEastAsia" w:eastAsiaTheme="minorEastAsia" w:cstheme="minorEastAsia"/>
          <w:spacing w:val="-9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  <w:lang w:eastAsia="zh-CN"/>
        </w:rPr>
        <w:t>1.预算申报时，应建立在科学测算、整体评估、切合实际的基础上，但项目经费下达还不够细化，预算编制的准确性有待进一步提高。</w:t>
      </w:r>
    </w:p>
    <w:p>
      <w:pPr>
        <w:widowControl w:val="0"/>
        <w:kinsoku/>
        <w:overflowPunct w:val="0"/>
        <w:spacing w:line="360" w:lineRule="auto"/>
        <w:ind w:firstLine="444" w:firstLineChars="200"/>
        <w:rPr>
          <w:rFonts w:ascii="楷体" w:hAnsi="楷体" w:eastAsia="楷体" w:cs="楷体"/>
          <w:b/>
          <w:bCs/>
          <w:spacing w:val="6"/>
          <w:sz w:val="33"/>
          <w:szCs w:val="33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9"/>
          <w:sz w:val="24"/>
          <w:szCs w:val="24"/>
          <w:lang w:eastAsia="zh-CN"/>
        </w:rPr>
        <w:t>2.人员素质有待进一步提高。预算绩效管理极具专业性和复杂性，相关工作人员专业能力有待提升。</w:t>
      </w:r>
    </w:p>
    <w:p>
      <w:pPr>
        <w:spacing w:before="122" w:line="225" w:lineRule="auto"/>
        <w:ind w:left="854"/>
        <w:outlineLvl w:val="0"/>
        <w:rPr>
          <w:rFonts w:ascii="楷体" w:hAnsi="楷体" w:eastAsia="楷体" w:cs="楷体"/>
          <w:b/>
          <w:bCs/>
          <w:spacing w:val="6"/>
          <w:sz w:val="33"/>
          <w:szCs w:val="33"/>
          <w:lang w:eastAsia="zh-CN"/>
        </w:rPr>
      </w:pPr>
      <w:r>
        <w:rPr>
          <w:rFonts w:ascii="楷体" w:hAnsi="楷体" w:eastAsia="楷体" w:cs="楷体"/>
          <w:b/>
          <w:bCs/>
          <w:spacing w:val="6"/>
          <w:sz w:val="33"/>
          <w:szCs w:val="33"/>
          <w:lang w:eastAsia="zh-CN"/>
        </w:rPr>
        <w:t>(三)有关建议</w:t>
      </w:r>
    </w:p>
    <w:p>
      <w:r>
        <w:rPr>
          <w:rFonts w:hint="eastAsia" w:ascii="宋体" w:hAnsi="宋体" w:eastAsia="宋体" w:cs="宋体"/>
          <w:bCs/>
          <w:snapToGrid/>
          <w:sz w:val="24"/>
          <w:szCs w:val="24"/>
          <w:lang w:eastAsia="zh-CN"/>
        </w:rPr>
        <w:t>一、进一步健全和完善财务管理制度及内部控制制度，创新管理手段，用新思路、新方法，改进完善财务管理方法，制度管项目，用制度管资金，杜绝一切腐败现象；二、财务人员积极学习财务知识，相关文件政策，提升自身职业素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F126C8"/>
    <w:multiLevelType w:val="singleLevel"/>
    <w:tmpl w:val="BFF126C8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2C068D02"/>
    <w:multiLevelType w:val="singleLevel"/>
    <w:tmpl w:val="2C068D02"/>
    <w:lvl w:ilvl="0" w:tentative="0">
      <w:start w:val="2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2">
    <w:nsid w:val="65C381F9"/>
    <w:multiLevelType w:val="singleLevel"/>
    <w:tmpl w:val="65C381F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AA7BE5E"/>
    <w:multiLevelType w:val="singleLevel"/>
    <w:tmpl w:val="6AA7BE5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737C92B2"/>
    <w:multiLevelType w:val="singleLevel"/>
    <w:tmpl w:val="737C92B2"/>
    <w:lvl w:ilvl="0" w:tentative="0">
      <w:start w:val="1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5">
    <w:nsid w:val="775FDDA5"/>
    <w:multiLevelType w:val="singleLevel"/>
    <w:tmpl w:val="775FDDA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3YTQ1ZDEwODkzYTdhMzNkMTc2YWEzMDYzMDhhMDMifQ=="/>
    <w:docVar w:name="KSO_WPS_MARK_KEY" w:val="a3e37560-e9e8-42b9-bb61-4368b86da9b3"/>
  </w:docVars>
  <w:rsids>
    <w:rsidRoot w:val="00000000"/>
    <w:rsid w:val="7BB7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2024-12-25T07:56:42Z</dcterms:created>
  <dc:creator>Administrator</dc:creator>
  <cp:lastModifiedBy>佐匹克隆</cp:lastModifiedBy>
  <dcterms:modified xsi:type="dcterms:W3CDTF">2024-12-25T08:15:35Z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86955C47BB744D73B4F10C71981183F7_12</vt:lpwstr>
  </property>
</Properties>
</file>