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A26F">
      <w:pPr>
        <w:pStyle w:val="2"/>
        <w:widowControl w:val="0"/>
        <w:kinsoku/>
        <w:overflowPunct w:val="0"/>
        <w:spacing w:line="360" w:lineRule="auto"/>
        <w:rPr>
          <w:sz w:val="32"/>
          <w:szCs w:val="32"/>
          <w:lang w:eastAsia="zh-CN"/>
        </w:rPr>
      </w:pPr>
      <w:r>
        <w:rPr>
          <w:spacing w:val="17"/>
          <w:sz w:val="32"/>
          <w:szCs w:val="32"/>
          <w:lang w:eastAsia="zh-CN"/>
        </w:rPr>
        <w:t>附件1</w:t>
      </w:r>
    </w:p>
    <w:p w14:paraId="3CC99542">
      <w:pPr>
        <w:keepNext w:val="0"/>
        <w:keepLines w:val="0"/>
        <w:pageBreakBefore w:val="0"/>
        <w:widowControl w:val="0"/>
        <w:kinsoku/>
        <w:wordWrap/>
        <w:overflowPunct w:val="0"/>
        <w:topLinePunct w:val="0"/>
        <w:autoSpaceDE w:val="0"/>
        <w:autoSpaceDN w:val="0"/>
        <w:bidi w:val="0"/>
        <w:adjustRightInd w:val="0"/>
        <w:snapToGrid w:val="0"/>
        <w:spacing w:line="240" w:lineRule="atLeast"/>
        <w:ind w:firstLine="855" w:firstLineChars="200"/>
        <w:jc w:val="center"/>
        <w:textAlignment w:val="baseline"/>
        <w:rPr>
          <w:rFonts w:hint="eastAsia" w:ascii="宋体" w:hAnsi="宋体" w:eastAsia="宋体" w:cs="宋体"/>
          <w:b/>
          <w:bCs/>
          <w:spacing w:val="-7"/>
          <w:sz w:val="44"/>
          <w:szCs w:val="44"/>
          <w:lang w:val="en-US" w:eastAsia="zh-CN"/>
        </w:rPr>
      </w:pPr>
    </w:p>
    <w:p w14:paraId="76D1784A">
      <w:pPr>
        <w:keepNext w:val="0"/>
        <w:keepLines w:val="0"/>
        <w:pageBreakBefore w:val="0"/>
        <w:widowControl w:val="0"/>
        <w:kinsoku/>
        <w:wordWrap/>
        <w:overflowPunct w:val="0"/>
        <w:topLinePunct w:val="0"/>
        <w:autoSpaceDE w:val="0"/>
        <w:autoSpaceDN w:val="0"/>
        <w:bidi w:val="0"/>
        <w:adjustRightInd w:val="0"/>
        <w:snapToGrid w:val="0"/>
        <w:spacing w:line="240" w:lineRule="atLeast"/>
        <w:jc w:val="center"/>
        <w:textAlignment w:val="baseline"/>
        <w:rPr>
          <w:rFonts w:hint="eastAsia" w:ascii="宋体" w:hAnsi="宋体" w:eastAsia="宋体" w:cs="宋体"/>
          <w:b/>
          <w:bCs/>
          <w:spacing w:val="-7"/>
          <w:sz w:val="44"/>
          <w:szCs w:val="44"/>
          <w:lang w:val="en-US" w:eastAsia="zh-CN"/>
        </w:rPr>
      </w:pPr>
      <w:r>
        <w:rPr>
          <w:rFonts w:hint="eastAsia" w:ascii="宋体" w:hAnsi="宋体" w:eastAsia="宋体" w:cs="宋体"/>
          <w:b/>
          <w:bCs/>
          <w:spacing w:val="-7"/>
          <w:sz w:val="44"/>
          <w:szCs w:val="44"/>
          <w:lang w:val="en-US" w:eastAsia="zh-CN"/>
        </w:rPr>
        <w:t>怀化市鹤城区档案馆</w:t>
      </w:r>
    </w:p>
    <w:p w14:paraId="4FB46568">
      <w:pPr>
        <w:keepNext w:val="0"/>
        <w:keepLines w:val="0"/>
        <w:pageBreakBefore w:val="0"/>
        <w:widowControl w:val="0"/>
        <w:kinsoku/>
        <w:wordWrap/>
        <w:overflowPunct w:val="0"/>
        <w:topLinePunct w:val="0"/>
        <w:autoSpaceDE w:val="0"/>
        <w:autoSpaceDN w:val="0"/>
        <w:bidi w:val="0"/>
        <w:adjustRightInd w:val="0"/>
        <w:snapToGrid w:val="0"/>
        <w:spacing w:line="240" w:lineRule="atLeast"/>
        <w:jc w:val="center"/>
        <w:textAlignment w:val="baseline"/>
        <w:rPr>
          <w:rFonts w:ascii="宋体" w:hAnsi="宋体" w:eastAsia="宋体" w:cs="宋体"/>
          <w:sz w:val="44"/>
          <w:szCs w:val="44"/>
          <w:lang w:eastAsia="zh-CN"/>
        </w:rPr>
      </w:pPr>
      <w:r>
        <w:rPr>
          <w:rFonts w:hint="eastAsia" w:ascii="宋体" w:hAnsi="宋体" w:eastAsia="宋体" w:cs="宋体"/>
          <w:b/>
          <w:bCs/>
          <w:spacing w:val="-7"/>
          <w:sz w:val="44"/>
          <w:szCs w:val="44"/>
          <w:lang w:val="en-US" w:eastAsia="zh-CN"/>
        </w:rPr>
        <w:t>2023年</w:t>
      </w:r>
      <w:r>
        <w:rPr>
          <w:rFonts w:ascii="宋体" w:hAnsi="宋体" w:eastAsia="宋体" w:cs="宋体"/>
          <w:b/>
          <w:bCs/>
          <w:spacing w:val="-7"/>
          <w:sz w:val="44"/>
          <w:szCs w:val="44"/>
          <w:lang w:eastAsia="zh-CN"/>
        </w:rPr>
        <w:t>部门整体支出绩效自评报告</w:t>
      </w:r>
    </w:p>
    <w:p w14:paraId="2B2203A9">
      <w:pPr>
        <w:widowControl w:val="0"/>
        <w:kinsoku/>
        <w:overflowPunct w:val="0"/>
        <w:spacing w:line="360" w:lineRule="auto"/>
        <w:ind w:firstLine="640" w:firstLineChars="200"/>
        <w:rPr>
          <w:sz w:val="32"/>
          <w:szCs w:val="32"/>
          <w:lang w:eastAsia="zh-CN"/>
        </w:rPr>
      </w:pPr>
    </w:p>
    <w:p w14:paraId="366DAB3A">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根据《怀化市鹤城区财政局关于开展2023年度预算支出绩效自评工作的通知》（鹤财绩函〔2024〕14号）的文件精神，我馆对2023年整体支出进行了绩效评价，现报告如下：</w:t>
      </w:r>
    </w:p>
    <w:p w14:paraId="349395D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一、部门、单位基本情况</w:t>
      </w:r>
    </w:p>
    <w:p w14:paraId="6ABA4152">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(一)机构设置情况</w:t>
      </w:r>
    </w:p>
    <w:p w14:paraId="427F643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怀化市鹤城区档案馆内设机构4个，分别为办公室、管理利用部（怀化市鹤城区现行文件服务中心）、编研和征收鉴定部、科技信息部（电子档案部）。</w:t>
      </w:r>
    </w:p>
    <w:p w14:paraId="2654AD4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(二)人员编制情况</w:t>
      </w:r>
    </w:p>
    <w:p w14:paraId="3D184C64">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2023年年初编制预算人数8人，年末纳入一般公共预算财政拨款开支人数7人，财政供养人员控制率87.50%，未超过编制，控制较好。</w:t>
      </w:r>
    </w:p>
    <w:p w14:paraId="282928B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(三)主要职能职责</w:t>
      </w:r>
    </w:p>
    <w:p w14:paraId="74B0C356">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1.贯彻执行国家和省市区有关档案工作的法律、法规、规章和方针、政策，制定和实施鹤城区档案馆档案管理制度、业务标准和技术规范；</w:t>
      </w:r>
    </w:p>
    <w:p w14:paraId="4DD852B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2.收集和接收本馆保管范围内按规定移交进馆的各类档案资料，征集散存在社会上的对国家和社会有保存价值的珍贵档案资料；保管档案，维护档案的完整与安全；</w:t>
      </w:r>
    </w:p>
    <w:p w14:paraId="7E4738EF">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3.对馆藏档案严格按照规定进行科学整理、编目、鉴定、数字化、技术保护及开发利用；</w:t>
      </w:r>
    </w:p>
    <w:p w14:paraId="214901ED">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4.采取各种形式开发档案资源，利用档案向社会公众开展革命传统教育、爱国主义教育、科学文化知识教育及历史与区情教育，为社会利用档案资源提供服务；</w:t>
      </w:r>
    </w:p>
    <w:p w14:paraId="5F47764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5.承担区档案馆数字化建设维护工作，接收、保管区直各单位和其他组织按规定移交的电子档案，并对外提供利用服务；</w:t>
      </w:r>
    </w:p>
    <w:p w14:paraId="7D6725B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6.承担全区档案专业技术资格申报审查工作；</w:t>
      </w:r>
    </w:p>
    <w:p w14:paraId="09A377A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7.承办区委区政府交办的其他事项。</w:t>
      </w:r>
    </w:p>
    <w:p w14:paraId="52244C0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(四)绩效目标设定情况</w:t>
      </w:r>
    </w:p>
    <w:p w14:paraId="0DDB762E">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我馆根据单位职责职能，确定各项具体工作分工，并结合单位中长期规划和年度工作计划，明确年度主要工作任务，确定单位总体目标，以定量和定性相结合的方式目标设定，从中概括、提炼出最能反映工作任务预期实现程度的关键性指标，确定为相应的绩效指标，通过收集基准数据，结合年度预算安排等情况实现目标计划。</w:t>
      </w:r>
    </w:p>
    <w:p w14:paraId="306BB87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2023年我馆设定的总体绩效目标为：对馆藏档案、资料尤其是馆藏国家重点档案，统筹规划、精心组织、做好抢救和保管保护工作，完成档案移交和接收年度计划。推进档案馆档案信息化建设。　</w:t>
      </w:r>
    </w:p>
    <w:p w14:paraId="1BAE5A9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b/>
          <w:bCs/>
          <w:spacing w:val="0"/>
          <w:sz w:val="32"/>
          <w:szCs w:val="32"/>
          <w:lang w:eastAsia="zh-CN"/>
        </w:rPr>
      </w:pPr>
    </w:p>
    <w:p w14:paraId="5608A98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二、部门整体支出管理及使用情况</w:t>
      </w:r>
    </w:p>
    <w:p w14:paraId="447431B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(一)预算执行、使用、管理总体情况</w:t>
      </w:r>
    </w:p>
    <w:p w14:paraId="117CABF2">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1.年初预算部门收支情况</w:t>
      </w:r>
    </w:p>
    <w:p w14:paraId="74D641C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部门年初预算收入161.49万元，其中，一般公共预算拨款收入161.49万元。年初支出总预算161.49万元，其中：基本支出158.88万元（工资福利支出130.01万元，商品和服务支出8.84万元，对个人和家庭的补助20.03万元），项目支出2.61万元。</w:t>
      </w:r>
    </w:p>
    <w:p w14:paraId="13920134">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2.预算调整情况</w:t>
      </w:r>
    </w:p>
    <w:p w14:paraId="07FBB17C">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支出预算调整预算数-25.23万元，预算调整的主要原因为：2023年在职人员调出1人、退休2人，工资及社会保障缴费支出减少；年中追加档案保护保管经费、区档案馆工作经费和国有企业退休人员人事档案接收保管工作经费。</w:t>
      </w:r>
    </w:p>
    <w:p w14:paraId="1AD7A9C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3.部门决算收支情况</w:t>
      </w:r>
    </w:p>
    <w:p w14:paraId="41AAE1F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2023年度决算总收入136.26万元。2023年度决算总支出136.26万元，其中：基本支出123.79万元，占总支出的90.85%；项目支出12.47万元，占总支出的9.15%。2023年年末无结转和结余。</w:t>
      </w:r>
    </w:p>
    <w:p w14:paraId="7FAA56D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(二)部门预算执行情况</w:t>
      </w:r>
    </w:p>
    <w:p w14:paraId="564BE26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1.基本支出情况</w:t>
      </w:r>
    </w:p>
    <w:p w14:paraId="76F48EA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基本支出系保障</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正常运转、完成日常工作任务而发生的人员经费和日常公用经费。2023年基本支出123.79万元，较上年</w:t>
      </w:r>
      <w:r>
        <w:rPr>
          <w:rFonts w:hint="eastAsia" w:cs="仿宋"/>
          <w:snapToGrid w:val="0"/>
          <w:color w:val="000000"/>
          <w:spacing w:val="0"/>
          <w:sz w:val="32"/>
          <w:szCs w:val="32"/>
          <w:lang w:val="en-US" w:eastAsia="zh-CN" w:bidi="ar-SA"/>
        </w:rPr>
        <w:t>减少27.20</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降低18.01</w:t>
      </w:r>
      <w:r>
        <w:rPr>
          <w:rFonts w:hint="eastAsia" w:ascii="仿宋" w:hAnsi="仿宋" w:eastAsia="仿宋" w:cs="仿宋"/>
          <w:snapToGrid w:val="0"/>
          <w:color w:val="000000"/>
          <w:spacing w:val="0"/>
          <w:sz w:val="32"/>
          <w:szCs w:val="32"/>
          <w:lang w:val="en-US" w:eastAsia="zh-CN" w:bidi="ar-SA"/>
        </w:rPr>
        <w:t>%，主要是因为2023年在职人员调出1人</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退休2人，</w:t>
      </w:r>
      <w:r>
        <w:rPr>
          <w:rFonts w:hint="eastAsia" w:cs="仿宋"/>
          <w:snapToGrid w:val="0"/>
          <w:color w:val="000000"/>
          <w:spacing w:val="0"/>
          <w:sz w:val="32"/>
          <w:szCs w:val="32"/>
          <w:lang w:val="en-US" w:eastAsia="zh-CN" w:bidi="ar-SA"/>
        </w:rPr>
        <w:t>工资福利支出减少</w:t>
      </w:r>
      <w:r>
        <w:rPr>
          <w:rFonts w:hint="eastAsia" w:ascii="仿宋" w:hAnsi="仿宋" w:eastAsia="仿宋" w:cs="仿宋"/>
          <w:snapToGrid w:val="0"/>
          <w:color w:val="000000"/>
          <w:spacing w:val="0"/>
          <w:sz w:val="32"/>
          <w:szCs w:val="32"/>
          <w:lang w:val="en-US" w:eastAsia="zh-CN" w:bidi="ar-SA"/>
        </w:rPr>
        <w:t>。</w:t>
      </w:r>
    </w:p>
    <w:p w14:paraId="794E682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（1）人员经费。人员经费111.89万元，占基本支出的</w:t>
      </w:r>
      <w:r>
        <w:rPr>
          <w:rFonts w:hint="eastAsia" w:cs="仿宋"/>
          <w:snapToGrid w:val="0"/>
          <w:color w:val="000000"/>
          <w:spacing w:val="0"/>
          <w:sz w:val="32"/>
          <w:szCs w:val="32"/>
          <w:lang w:val="en-US" w:eastAsia="zh-CN" w:bidi="ar-SA"/>
        </w:rPr>
        <w:t>90.39</w:t>
      </w:r>
      <w:r>
        <w:rPr>
          <w:rFonts w:hint="eastAsia" w:ascii="仿宋" w:hAnsi="仿宋" w:eastAsia="仿宋" w:cs="仿宋"/>
          <w:snapToGrid w:val="0"/>
          <w:color w:val="000000"/>
          <w:spacing w:val="0"/>
          <w:sz w:val="32"/>
          <w:szCs w:val="32"/>
          <w:lang w:val="en-US" w:eastAsia="zh-CN" w:bidi="ar-SA"/>
        </w:rPr>
        <w:t>%，较上年</w:t>
      </w:r>
      <w:r>
        <w:rPr>
          <w:rFonts w:hint="eastAsia" w:cs="仿宋"/>
          <w:snapToGrid w:val="0"/>
          <w:color w:val="000000"/>
          <w:spacing w:val="0"/>
          <w:sz w:val="32"/>
          <w:szCs w:val="32"/>
          <w:lang w:val="en-US" w:eastAsia="zh-CN" w:bidi="ar-SA"/>
        </w:rPr>
        <w:t>减少26.90</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降低19.38</w:t>
      </w:r>
      <w:r>
        <w:rPr>
          <w:rFonts w:hint="eastAsia" w:ascii="仿宋" w:hAnsi="仿宋" w:eastAsia="仿宋" w:cs="仿宋"/>
          <w:snapToGrid w:val="0"/>
          <w:color w:val="000000"/>
          <w:spacing w:val="0"/>
          <w:sz w:val="32"/>
          <w:szCs w:val="32"/>
          <w:lang w:val="en-US" w:eastAsia="zh-CN" w:bidi="ar-SA"/>
        </w:rPr>
        <w:t>%，主要是因为2023年在职人员调出1人</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退休2人，</w:t>
      </w:r>
      <w:r>
        <w:rPr>
          <w:rFonts w:hint="eastAsia" w:cs="仿宋"/>
          <w:snapToGrid w:val="0"/>
          <w:color w:val="000000"/>
          <w:spacing w:val="0"/>
          <w:sz w:val="32"/>
          <w:szCs w:val="32"/>
          <w:lang w:val="en-US" w:eastAsia="zh-CN" w:bidi="ar-SA"/>
        </w:rPr>
        <w:t>工资福利支出减少</w:t>
      </w:r>
      <w:r>
        <w:rPr>
          <w:rFonts w:hint="eastAsia" w:ascii="仿宋" w:hAnsi="仿宋" w:eastAsia="仿宋" w:cs="仿宋"/>
          <w:snapToGrid w:val="0"/>
          <w:color w:val="000000"/>
          <w:spacing w:val="0"/>
          <w:sz w:val="32"/>
          <w:szCs w:val="32"/>
          <w:lang w:val="en-US" w:eastAsia="zh-CN" w:bidi="ar-SA"/>
        </w:rPr>
        <w:t>。</w:t>
      </w:r>
    </w:p>
    <w:p w14:paraId="787CFA18">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①工资福利支出101.78万元，主要包括在职人员基本工资、津贴补贴、奖金、机关事业单位基本养老保险缴费</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职工基本医疗保险缴费、其他社会保障缴费</w:t>
      </w:r>
      <w:r>
        <w:rPr>
          <w:rFonts w:hint="eastAsia" w:cs="仿宋"/>
          <w:snapToGrid w:val="0"/>
          <w:color w:val="000000"/>
          <w:spacing w:val="0"/>
          <w:sz w:val="32"/>
          <w:szCs w:val="32"/>
          <w:lang w:val="en-US" w:eastAsia="zh-CN" w:bidi="ar-SA"/>
        </w:rPr>
        <w:t>、其他工资福利支出等</w:t>
      </w:r>
      <w:r>
        <w:rPr>
          <w:rFonts w:hint="eastAsia" w:ascii="仿宋" w:hAnsi="仿宋" w:eastAsia="仿宋" w:cs="仿宋"/>
          <w:snapToGrid w:val="0"/>
          <w:color w:val="000000"/>
          <w:spacing w:val="0"/>
          <w:sz w:val="32"/>
          <w:szCs w:val="32"/>
          <w:lang w:val="en-US" w:eastAsia="zh-CN" w:bidi="ar-SA"/>
        </w:rPr>
        <w:t>。</w:t>
      </w:r>
    </w:p>
    <w:p w14:paraId="57C56FF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②对个人和家庭补助支出</w:t>
      </w:r>
      <w:r>
        <w:rPr>
          <w:rFonts w:hint="eastAsia" w:cs="仿宋"/>
          <w:snapToGrid w:val="0"/>
          <w:color w:val="000000"/>
          <w:spacing w:val="0"/>
          <w:sz w:val="32"/>
          <w:szCs w:val="32"/>
          <w:lang w:val="en-US" w:eastAsia="zh-CN" w:bidi="ar-SA"/>
        </w:rPr>
        <w:t>10.10</w:t>
      </w:r>
      <w:r>
        <w:rPr>
          <w:rFonts w:hint="eastAsia" w:ascii="仿宋" w:hAnsi="仿宋" w:eastAsia="仿宋" w:cs="仿宋"/>
          <w:snapToGrid w:val="0"/>
          <w:color w:val="000000"/>
          <w:spacing w:val="0"/>
          <w:sz w:val="32"/>
          <w:szCs w:val="32"/>
          <w:lang w:val="en-US" w:eastAsia="zh-CN" w:bidi="ar-SA"/>
        </w:rPr>
        <w:t>万元。主要包括生活补助</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其他对个人和家庭的补助等支出。</w:t>
      </w:r>
    </w:p>
    <w:p w14:paraId="190162B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（2）日常公用经费。日常公用经费11.9</w:t>
      </w:r>
      <w:r>
        <w:rPr>
          <w:rFonts w:hint="eastAsia" w:cs="仿宋"/>
          <w:snapToGrid w:val="0"/>
          <w:color w:val="000000"/>
          <w:spacing w:val="0"/>
          <w:sz w:val="32"/>
          <w:szCs w:val="32"/>
          <w:lang w:val="en-US" w:eastAsia="zh-CN" w:bidi="ar-SA"/>
        </w:rPr>
        <w:t>0</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占基本支出的9.61%，</w:t>
      </w:r>
      <w:r>
        <w:rPr>
          <w:rFonts w:hint="eastAsia" w:ascii="仿宋" w:hAnsi="仿宋" w:eastAsia="仿宋" w:cs="仿宋"/>
          <w:snapToGrid w:val="0"/>
          <w:color w:val="000000"/>
          <w:spacing w:val="0"/>
          <w:sz w:val="32"/>
          <w:szCs w:val="32"/>
          <w:lang w:val="en-US" w:eastAsia="zh-CN" w:bidi="ar-SA"/>
        </w:rPr>
        <w:t>较上年减少</w:t>
      </w:r>
      <w:r>
        <w:rPr>
          <w:rFonts w:hint="eastAsia" w:cs="仿宋"/>
          <w:snapToGrid w:val="0"/>
          <w:color w:val="000000"/>
          <w:spacing w:val="0"/>
          <w:sz w:val="32"/>
          <w:szCs w:val="32"/>
          <w:lang w:val="en-US" w:eastAsia="zh-CN" w:bidi="ar-SA"/>
        </w:rPr>
        <w:t>0.30</w:t>
      </w:r>
      <w:r>
        <w:rPr>
          <w:rFonts w:hint="eastAsia" w:ascii="仿宋" w:hAnsi="仿宋" w:eastAsia="仿宋" w:cs="仿宋"/>
          <w:snapToGrid w:val="0"/>
          <w:color w:val="000000"/>
          <w:spacing w:val="0"/>
          <w:sz w:val="32"/>
          <w:szCs w:val="32"/>
          <w:lang w:val="en-US" w:eastAsia="zh-CN" w:bidi="ar-SA"/>
        </w:rPr>
        <w:t>万元，降低</w:t>
      </w:r>
      <w:r>
        <w:rPr>
          <w:rFonts w:hint="eastAsia" w:cs="仿宋"/>
          <w:snapToGrid w:val="0"/>
          <w:color w:val="000000"/>
          <w:spacing w:val="0"/>
          <w:sz w:val="32"/>
          <w:szCs w:val="32"/>
          <w:lang w:val="en-US" w:eastAsia="zh-CN" w:bidi="ar-SA"/>
        </w:rPr>
        <w:t>2.46</w:t>
      </w:r>
      <w:r>
        <w:rPr>
          <w:rFonts w:hint="eastAsia" w:ascii="仿宋" w:hAnsi="仿宋" w:eastAsia="仿宋" w:cs="仿宋"/>
          <w:snapToGrid w:val="0"/>
          <w:color w:val="000000"/>
          <w:spacing w:val="0"/>
          <w:sz w:val="32"/>
          <w:szCs w:val="32"/>
          <w:lang w:val="en-US" w:eastAsia="zh-CN" w:bidi="ar-SA"/>
        </w:rPr>
        <w:t>%，主要是</w:t>
      </w:r>
      <w:r>
        <w:rPr>
          <w:rFonts w:hint="eastAsia" w:cs="仿宋"/>
          <w:snapToGrid w:val="0"/>
          <w:color w:val="000000"/>
          <w:spacing w:val="0"/>
          <w:sz w:val="32"/>
          <w:szCs w:val="32"/>
          <w:lang w:val="en-US" w:eastAsia="zh-CN" w:bidi="ar-SA"/>
        </w:rPr>
        <w:t>因为厉行节俭，严格控制各项经费支出</w:t>
      </w:r>
      <w:r>
        <w:rPr>
          <w:rFonts w:hint="eastAsia" w:ascii="仿宋" w:hAnsi="仿宋" w:eastAsia="仿宋" w:cs="仿宋"/>
          <w:snapToGrid w:val="0"/>
          <w:color w:val="000000"/>
          <w:spacing w:val="0"/>
          <w:sz w:val="32"/>
          <w:szCs w:val="32"/>
          <w:lang w:val="en-US" w:eastAsia="zh-CN" w:bidi="ar-SA"/>
        </w:rPr>
        <w:t>。</w:t>
      </w:r>
    </w:p>
    <w:p w14:paraId="5C42218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①商品和服务支出28.8</w:t>
      </w:r>
      <w:r>
        <w:rPr>
          <w:rFonts w:hint="eastAsia" w:cs="仿宋"/>
          <w:snapToGrid w:val="0"/>
          <w:color w:val="000000"/>
          <w:spacing w:val="0"/>
          <w:sz w:val="32"/>
          <w:szCs w:val="32"/>
          <w:lang w:val="en-US" w:eastAsia="zh-CN" w:bidi="ar-SA"/>
        </w:rPr>
        <w:t>0</w:t>
      </w:r>
      <w:r>
        <w:rPr>
          <w:rFonts w:hint="eastAsia" w:ascii="仿宋" w:hAnsi="仿宋" w:eastAsia="仿宋" w:cs="仿宋"/>
          <w:snapToGrid w:val="0"/>
          <w:color w:val="000000"/>
          <w:spacing w:val="0"/>
          <w:sz w:val="32"/>
          <w:szCs w:val="32"/>
          <w:lang w:val="en-US" w:eastAsia="zh-CN" w:bidi="ar-SA"/>
        </w:rPr>
        <w:t>万元。主要包括日常运行正常的办公费、</w:t>
      </w:r>
      <w:r>
        <w:rPr>
          <w:rFonts w:hint="eastAsia" w:cs="仿宋"/>
          <w:snapToGrid w:val="0"/>
          <w:color w:val="000000"/>
          <w:spacing w:val="0"/>
          <w:sz w:val="32"/>
          <w:szCs w:val="32"/>
          <w:lang w:val="en-US" w:eastAsia="zh-CN" w:bidi="ar-SA"/>
        </w:rPr>
        <w:t>水费</w:t>
      </w:r>
      <w:r>
        <w:rPr>
          <w:rFonts w:hint="eastAsia" w:ascii="仿宋" w:hAnsi="仿宋" w:eastAsia="仿宋" w:cs="仿宋"/>
          <w:snapToGrid w:val="0"/>
          <w:color w:val="000000"/>
          <w:spacing w:val="0"/>
          <w:sz w:val="32"/>
          <w:szCs w:val="32"/>
          <w:lang w:val="en-US" w:eastAsia="zh-CN" w:bidi="ar-SA"/>
        </w:rPr>
        <w:t>、</w:t>
      </w:r>
      <w:r>
        <w:rPr>
          <w:rFonts w:hint="eastAsia" w:cs="仿宋"/>
          <w:snapToGrid w:val="0"/>
          <w:color w:val="000000"/>
          <w:spacing w:val="0"/>
          <w:sz w:val="32"/>
          <w:szCs w:val="32"/>
          <w:lang w:val="en-US" w:eastAsia="zh-CN" w:bidi="ar-SA"/>
        </w:rPr>
        <w:t>邮电费、差旅费、劳务费、工会经费、福利费、其他交通费用、</w:t>
      </w:r>
      <w:r>
        <w:rPr>
          <w:rFonts w:hint="eastAsia" w:ascii="仿宋" w:hAnsi="仿宋" w:eastAsia="仿宋" w:cs="仿宋"/>
          <w:snapToGrid w:val="0"/>
          <w:color w:val="000000"/>
          <w:spacing w:val="0"/>
          <w:sz w:val="32"/>
          <w:szCs w:val="32"/>
          <w:lang w:val="en-US" w:eastAsia="zh-CN" w:bidi="ar-SA"/>
        </w:rPr>
        <w:t>其他商品服务支出等。</w:t>
      </w:r>
    </w:p>
    <w:p w14:paraId="2AB0784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2.项目支出情况</w:t>
      </w:r>
    </w:p>
    <w:p w14:paraId="5C047A3E">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项目支出系</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为完成事业发展目标而发生的支出，包括业务工作经费、运行维护经费和专项资金。2023年项目支出12.47万元，其中：档案保护保管经费</w:t>
      </w:r>
      <w:r>
        <w:rPr>
          <w:rFonts w:hint="eastAsia" w:cs="仿宋"/>
          <w:snapToGrid w:val="0"/>
          <w:color w:val="000000"/>
          <w:spacing w:val="0"/>
          <w:sz w:val="32"/>
          <w:szCs w:val="32"/>
          <w:lang w:val="en-US" w:eastAsia="zh-CN" w:bidi="ar-SA"/>
        </w:rPr>
        <w:t>8.49万元、</w:t>
      </w:r>
      <w:r>
        <w:rPr>
          <w:rFonts w:hint="eastAsia" w:ascii="仿宋" w:hAnsi="仿宋" w:eastAsia="仿宋" w:cs="仿宋"/>
          <w:snapToGrid w:val="0"/>
          <w:color w:val="000000"/>
          <w:spacing w:val="0"/>
          <w:sz w:val="32"/>
          <w:szCs w:val="32"/>
          <w:lang w:val="en-US" w:eastAsia="zh-CN" w:bidi="ar-SA"/>
        </w:rPr>
        <w:t>区档案馆工作经费</w:t>
      </w:r>
      <w:r>
        <w:rPr>
          <w:rFonts w:hint="eastAsia" w:cs="仿宋"/>
          <w:snapToGrid w:val="0"/>
          <w:color w:val="000000"/>
          <w:spacing w:val="0"/>
          <w:sz w:val="32"/>
          <w:szCs w:val="32"/>
          <w:lang w:val="en-US" w:eastAsia="zh-CN" w:bidi="ar-SA"/>
        </w:rPr>
        <w:t>1.98万元、国有企业退休人员人事档案接收保管工作经费2万元</w:t>
      </w:r>
      <w:r>
        <w:rPr>
          <w:rFonts w:hint="eastAsia" w:ascii="仿宋" w:hAnsi="仿宋" w:eastAsia="仿宋" w:cs="仿宋"/>
          <w:snapToGrid w:val="0"/>
          <w:color w:val="000000"/>
          <w:spacing w:val="0"/>
          <w:sz w:val="32"/>
          <w:szCs w:val="32"/>
          <w:lang w:val="en-US" w:eastAsia="zh-CN" w:bidi="ar-SA"/>
        </w:rPr>
        <w:t>。2023年项目总支出较上年11.63万元</w:t>
      </w:r>
      <w:r>
        <w:rPr>
          <w:rFonts w:hint="eastAsia" w:cs="仿宋"/>
          <w:snapToGrid w:val="0"/>
          <w:color w:val="000000"/>
          <w:spacing w:val="0"/>
          <w:sz w:val="32"/>
          <w:szCs w:val="32"/>
          <w:lang w:val="en-US" w:eastAsia="zh-CN" w:bidi="ar-SA"/>
        </w:rPr>
        <w:t>增加0.84</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增长7.22</w:t>
      </w:r>
      <w:r>
        <w:rPr>
          <w:rFonts w:hint="eastAsia" w:ascii="仿宋" w:hAnsi="仿宋" w:eastAsia="仿宋" w:cs="仿宋"/>
          <w:snapToGrid w:val="0"/>
          <w:color w:val="000000"/>
          <w:spacing w:val="0"/>
          <w:sz w:val="32"/>
          <w:szCs w:val="32"/>
          <w:lang w:val="en-US" w:eastAsia="zh-CN" w:bidi="ar-SA"/>
        </w:rPr>
        <w:t>%，主要是</w:t>
      </w:r>
      <w:r>
        <w:rPr>
          <w:rFonts w:hint="eastAsia" w:cs="仿宋"/>
          <w:snapToGrid w:val="0"/>
          <w:color w:val="000000"/>
          <w:spacing w:val="0"/>
          <w:sz w:val="32"/>
          <w:szCs w:val="32"/>
          <w:lang w:val="en-US" w:eastAsia="zh-CN" w:bidi="ar-SA"/>
        </w:rPr>
        <w:t>年中追加国有企业退休人员人事档案接收保管工作经费；</w:t>
      </w:r>
      <w:r>
        <w:rPr>
          <w:rFonts w:hint="eastAsia" w:ascii="仿宋" w:hAnsi="仿宋" w:eastAsia="仿宋" w:cs="仿宋"/>
          <w:snapToGrid w:val="0"/>
          <w:color w:val="000000"/>
          <w:spacing w:val="0"/>
          <w:sz w:val="32"/>
          <w:szCs w:val="32"/>
          <w:lang w:val="en-US" w:eastAsia="zh-CN" w:bidi="ar-SA"/>
        </w:rPr>
        <w:t>区档案馆工作经费</w:t>
      </w:r>
      <w:r>
        <w:rPr>
          <w:rFonts w:hint="eastAsia" w:cs="仿宋"/>
          <w:snapToGrid w:val="0"/>
          <w:color w:val="000000"/>
          <w:spacing w:val="0"/>
          <w:sz w:val="32"/>
          <w:szCs w:val="32"/>
          <w:lang w:val="en-US" w:eastAsia="zh-CN" w:bidi="ar-SA"/>
        </w:rPr>
        <w:t>支出减少</w:t>
      </w:r>
      <w:r>
        <w:rPr>
          <w:rFonts w:hint="eastAsia" w:ascii="仿宋" w:hAnsi="仿宋" w:eastAsia="仿宋" w:cs="仿宋"/>
          <w:snapToGrid w:val="0"/>
          <w:color w:val="000000"/>
          <w:spacing w:val="0"/>
          <w:sz w:val="32"/>
          <w:szCs w:val="32"/>
          <w:lang w:val="en-US" w:eastAsia="zh-CN" w:bidi="ar-SA"/>
        </w:rPr>
        <w:t>。</w:t>
      </w:r>
    </w:p>
    <w:p w14:paraId="0B78F902">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(三)"三公"经费使用和管理情况</w:t>
      </w:r>
    </w:p>
    <w:p w14:paraId="3438DB60">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三公”经费支出预算为0.20万元，其中：公务接待费0.20万元，公务用车购置及运行费0万元（其中，公务用车购置费0万元，公务用车运行费0万元），因公出国（境）费0万元。“三公”经费本年支出决算0万元，其中：公务接待费0万元，公务用车购置及运行费0万元（其中，公务用车购置费0万元，公务用车运行费0万元），因公出国（境）费0万元，完成预算的0%，决算数小于预算数的主要原因是落实过“紧日子”要求，严格执行开支标准，厉行节约；与上年决算数持平，主要原因是落实过“紧日子”要求，严格执行开支标准，厉行节约。</w:t>
      </w:r>
    </w:p>
    <w:p w14:paraId="3E0136E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三、政府性基金预算支出情况</w:t>
      </w:r>
    </w:p>
    <w:p w14:paraId="52FE7DFE">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2023年度区档案馆无政府性基金预算支出。</w:t>
      </w:r>
    </w:p>
    <w:p w14:paraId="5B1FA27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四、国有资本经营预算支出情况</w:t>
      </w:r>
    </w:p>
    <w:p w14:paraId="025247F8">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2023年度区档案馆无国有资本经营预算支出。</w:t>
      </w:r>
    </w:p>
    <w:p w14:paraId="2D4707A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五、社会保险基金预算支出情况</w:t>
      </w:r>
    </w:p>
    <w:p w14:paraId="23780C9D">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2023年度区档案馆无社会保险基金预算支出。</w:t>
      </w:r>
    </w:p>
    <w:p w14:paraId="663FAC87">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六、部门整体支出绩效情况</w:t>
      </w:r>
    </w:p>
    <w:p w14:paraId="19F8CF3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(一)综合评价结论</w:t>
      </w:r>
    </w:p>
    <w:p w14:paraId="63A852D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根据鹤财绩函〔2024〕14号文件的规定，</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主要对部门整体支出总体绩效目标、各项绩效指标完成情况以及预算执行情况进行评价。围绕</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部门职责、行业发展规划，以预算资金管理为主线，总结</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部门资产管理和业务开展情况，从整体绩效目标设定、预算配置、预算执行、预算管理、资产管理、职责履行、履职效益等方面对2023年部门整体支出绩效开展了评价，2023年度部门整体支出绩效自评得分为</w:t>
      </w:r>
      <w:r>
        <w:rPr>
          <w:rFonts w:hint="eastAsia" w:cs="仿宋"/>
          <w:snapToGrid w:val="0"/>
          <w:color w:val="000000"/>
          <w:spacing w:val="0"/>
          <w:sz w:val="32"/>
          <w:szCs w:val="32"/>
          <w:lang w:val="en-US" w:eastAsia="zh-CN" w:bidi="ar-SA"/>
        </w:rPr>
        <w:t>98</w:t>
      </w:r>
      <w:r>
        <w:rPr>
          <w:rFonts w:hint="eastAsia" w:ascii="仿宋" w:hAnsi="仿宋" w:eastAsia="仿宋" w:cs="仿宋"/>
          <w:snapToGrid w:val="0"/>
          <w:color w:val="000000"/>
          <w:spacing w:val="0"/>
          <w:sz w:val="32"/>
          <w:szCs w:val="32"/>
          <w:lang w:val="en-US" w:eastAsia="zh-CN" w:bidi="ar-SA"/>
        </w:rPr>
        <w:t>分，综合评价等级为“优”。</w:t>
      </w:r>
    </w:p>
    <w:p w14:paraId="1C01CF0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(二)评价指标分析(或综合评价情况)</w:t>
      </w:r>
    </w:p>
    <w:p w14:paraId="7F2B418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1.综合评价分析</w:t>
      </w:r>
    </w:p>
    <w:p w14:paraId="7EFD019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绩效目标设定</w:t>
      </w:r>
      <w:r>
        <w:rPr>
          <w:rFonts w:hint="eastAsia" w:cs="仿宋"/>
          <w:snapToGrid w:val="0"/>
          <w:color w:val="000000"/>
          <w:spacing w:val="0"/>
          <w:sz w:val="32"/>
          <w:szCs w:val="32"/>
          <w:lang w:val="en-US" w:eastAsia="zh-CN" w:bidi="ar-SA"/>
        </w:rPr>
        <w:t>方面：我馆</w:t>
      </w:r>
      <w:r>
        <w:rPr>
          <w:rFonts w:hint="eastAsia" w:ascii="仿宋" w:hAnsi="仿宋" w:eastAsia="仿宋" w:cs="仿宋"/>
          <w:snapToGrid w:val="0"/>
          <w:color w:val="000000"/>
          <w:spacing w:val="0"/>
          <w:sz w:val="32"/>
          <w:szCs w:val="32"/>
          <w:lang w:val="en-US" w:eastAsia="zh-CN" w:bidi="ar-SA"/>
        </w:rPr>
        <w:t>严格按照绩效目标制定的相关规定，围绕部门职责、行业发展规划，完整、合理地制定整体绩效目标，绩效指标基本做到细化量化。</w:t>
      </w:r>
    </w:p>
    <w:p w14:paraId="17AA0AC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预算配置</w:t>
      </w:r>
      <w:r>
        <w:rPr>
          <w:rFonts w:hint="eastAsia" w:cs="仿宋"/>
          <w:snapToGrid w:val="0"/>
          <w:color w:val="000000"/>
          <w:spacing w:val="0"/>
          <w:sz w:val="32"/>
          <w:szCs w:val="32"/>
          <w:lang w:val="en-US" w:eastAsia="zh-CN" w:bidi="ar-SA"/>
        </w:rPr>
        <w:t>方面：我馆</w:t>
      </w:r>
      <w:r>
        <w:rPr>
          <w:rFonts w:hint="eastAsia" w:ascii="仿宋" w:hAnsi="仿宋" w:eastAsia="仿宋" w:cs="仿宋"/>
          <w:snapToGrid w:val="0"/>
          <w:color w:val="000000"/>
          <w:spacing w:val="0"/>
          <w:sz w:val="32"/>
          <w:szCs w:val="32"/>
          <w:lang w:val="en-US" w:eastAsia="zh-CN" w:bidi="ar-SA"/>
        </w:rPr>
        <w:t>年度预算与履职目标衔接紧密，预算编制依据充分、数据详实、结构优化、细化可执行。基本支出保障单位正常运转，行使单位职能，完成日常工作。及时对人员、资产等信息进行动态更新工作，确保基础信息数据的及时性、准确性和完整性，确保基本支出预算无缺口。确保重点支出安排，保障财政一体化信息系统、政府采购系统等重点项目任务完成目标。</w:t>
      </w:r>
    </w:p>
    <w:p w14:paraId="73CD036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预算执行</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严格执行批复的各项支出预算，不擅自扩大支出范围、提高开支标准，严格按照预算批复的支出用途使用资金。采取有效措施，加快预算执行进度，全年预算执行率达到100%。</w:t>
      </w:r>
    </w:p>
    <w:p w14:paraId="231B568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预算管理</w:t>
      </w:r>
      <w:r>
        <w:rPr>
          <w:rFonts w:hint="eastAsia" w:cs="仿宋"/>
          <w:snapToGrid w:val="0"/>
          <w:color w:val="000000"/>
          <w:spacing w:val="0"/>
          <w:sz w:val="32"/>
          <w:szCs w:val="32"/>
          <w:lang w:val="en-US" w:eastAsia="zh-CN" w:bidi="ar-SA"/>
        </w:rPr>
        <w:t>方面：（1）预算编制。我馆</w:t>
      </w:r>
      <w:r>
        <w:rPr>
          <w:rFonts w:hint="eastAsia" w:ascii="仿宋" w:hAnsi="仿宋" w:eastAsia="仿宋" w:cs="仿宋"/>
          <w:snapToGrid w:val="0"/>
          <w:color w:val="000000"/>
          <w:spacing w:val="0"/>
          <w:sz w:val="32"/>
          <w:szCs w:val="32"/>
          <w:lang w:val="en-US" w:eastAsia="zh-CN" w:bidi="ar-SA"/>
        </w:rPr>
        <w:t>按照预算法要求进行“一上”申报，在“一下”的基础上进行修改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w:t>
      </w:r>
      <w:r>
        <w:rPr>
          <w:rFonts w:hint="eastAsia" w:cs="仿宋"/>
          <w:snapToGrid w:val="0"/>
          <w:color w:val="000000"/>
          <w:spacing w:val="0"/>
          <w:sz w:val="32"/>
          <w:szCs w:val="32"/>
          <w:lang w:val="en-US" w:eastAsia="zh-CN" w:bidi="ar-SA"/>
        </w:rPr>
        <w:t>股室</w:t>
      </w:r>
      <w:r>
        <w:rPr>
          <w:rFonts w:hint="eastAsia" w:ascii="仿宋" w:hAnsi="仿宋" w:eastAsia="仿宋" w:cs="仿宋"/>
          <w:snapToGrid w:val="0"/>
          <w:color w:val="000000"/>
          <w:spacing w:val="0"/>
          <w:sz w:val="32"/>
          <w:szCs w:val="32"/>
          <w:lang w:val="en-US" w:eastAsia="zh-CN" w:bidi="ar-SA"/>
        </w:rPr>
        <w:t>进行反馈，以采取措施纠正执行偏差，促进预算目标的全面完成。（</w:t>
      </w: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）管理制度健全性。为加强预算管理，规范财务行为，</w:t>
      </w:r>
      <w:r>
        <w:rPr>
          <w:rFonts w:hint="eastAsia" w:cs="仿宋"/>
          <w:snapToGrid w:val="0"/>
          <w:color w:val="000000"/>
          <w:spacing w:val="0"/>
          <w:sz w:val="32"/>
          <w:szCs w:val="32"/>
          <w:lang w:val="en-US" w:eastAsia="zh-CN" w:bidi="ar-SA"/>
        </w:rPr>
        <w:t>我馆</w:t>
      </w:r>
      <w:r>
        <w:rPr>
          <w:rFonts w:hint="eastAsia" w:ascii="仿宋" w:hAnsi="仿宋" w:eastAsia="仿宋" w:cs="仿宋"/>
          <w:snapToGrid w:val="0"/>
          <w:color w:val="000000"/>
          <w:spacing w:val="0"/>
          <w:sz w:val="32"/>
          <w:szCs w:val="32"/>
          <w:lang w:val="en-US" w:eastAsia="zh-CN" w:bidi="ar-SA"/>
        </w:rPr>
        <w:t>制定了具体有效的预算资金管理办法、内部财务制度和会计核算制度，明确专人负责，合规、合法、完整执行相关制度。（</w:t>
      </w:r>
      <w:r>
        <w:rPr>
          <w:rFonts w:hint="eastAsia" w:cs="仿宋"/>
          <w:snapToGrid w:val="0"/>
          <w:color w:val="000000"/>
          <w:spacing w:val="0"/>
          <w:sz w:val="32"/>
          <w:szCs w:val="32"/>
          <w:lang w:val="en-US" w:eastAsia="zh-CN" w:bidi="ar-SA"/>
        </w:rPr>
        <w:t>3</w:t>
      </w:r>
      <w:r>
        <w:rPr>
          <w:rFonts w:hint="eastAsia" w:ascii="仿宋" w:hAnsi="仿宋" w:eastAsia="仿宋" w:cs="仿宋"/>
          <w:snapToGrid w:val="0"/>
          <w:color w:val="000000"/>
          <w:spacing w:val="0"/>
          <w:sz w:val="32"/>
          <w:szCs w:val="32"/>
          <w:lang w:val="en-US" w:eastAsia="zh-CN" w:bidi="ar-SA"/>
        </w:rPr>
        <w:t>）资金使用合规性。支出符合国家财经法规和财务管理制度规定以及有关专项资金管理办法的规定；资金的拨付有完整的审批程序和手续，预算支出的重大开支经集体决策；不存在截留、挤占、挪用、虚列支出等情况。（</w:t>
      </w:r>
      <w:r>
        <w:rPr>
          <w:rFonts w:hint="eastAsia" w:cs="仿宋"/>
          <w:snapToGrid w:val="0"/>
          <w:color w:val="000000"/>
          <w:spacing w:val="0"/>
          <w:sz w:val="32"/>
          <w:szCs w:val="32"/>
          <w:lang w:val="en-US" w:eastAsia="zh-CN" w:bidi="ar-SA"/>
        </w:rPr>
        <w:t>4</w:t>
      </w:r>
      <w:r>
        <w:rPr>
          <w:rFonts w:hint="eastAsia" w:ascii="仿宋" w:hAnsi="仿宋" w:eastAsia="仿宋" w:cs="仿宋"/>
          <w:snapToGrid w:val="0"/>
          <w:color w:val="000000"/>
          <w:spacing w:val="0"/>
          <w:sz w:val="32"/>
          <w:szCs w:val="32"/>
          <w:lang w:val="en-US" w:eastAsia="zh-CN" w:bidi="ar-SA"/>
        </w:rPr>
        <w:t>）预决算信息公开性。积极配合财政开展各项绩效管理工作，按照规定时间及时收集、整理、分析与部门整体支出及绩效目标完成相关的数据、信息并上报，按要求将2022年部门决算和2023年部门预算同步公开在</w:t>
      </w:r>
      <w:r>
        <w:rPr>
          <w:rFonts w:hint="eastAsia" w:cs="仿宋"/>
          <w:snapToGrid w:val="0"/>
          <w:color w:val="000000"/>
          <w:spacing w:val="0"/>
          <w:sz w:val="32"/>
          <w:szCs w:val="32"/>
          <w:lang w:val="en-US" w:eastAsia="zh-CN" w:bidi="ar-SA"/>
        </w:rPr>
        <w:t>怀化市鹤城区人民政府网站</w:t>
      </w:r>
      <w:r>
        <w:rPr>
          <w:rFonts w:hint="eastAsia" w:ascii="仿宋" w:hAnsi="仿宋" w:eastAsia="仿宋" w:cs="仿宋"/>
          <w:snapToGrid w:val="0"/>
          <w:color w:val="000000"/>
          <w:spacing w:val="0"/>
          <w:sz w:val="32"/>
          <w:szCs w:val="32"/>
          <w:lang w:val="en-US" w:eastAsia="zh-CN" w:bidi="ar-SA"/>
        </w:rPr>
        <w:t>。（</w:t>
      </w:r>
      <w:r>
        <w:rPr>
          <w:rFonts w:hint="eastAsia" w:cs="仿宋"/>
          <w:snapToGrid w:val="0"/>
          <w:color w:val="000000"/>
          <w:spacing w:val="0"/>
          <w:sz w:val="32"/>
          <w:szCs w:val="32"/>
          <w:lang w:val="en-US" w:eastAsia="zh-CN" w:bidi="ar-SA"/>
        </w:rPr>
        <w:t>5</w:t>
      </w:r>
      <w:r>
        <w:rPr>
          <w:rFonts w:hint="eastAsia" w:ascii="仿宋" w:hAnsi="仿宋" w:eastAsia="仿宋" w:cs="仿宋"/>
          <w:snapToGrid w:val="0"/>
          <w:color w:val="000000"/>
          <w:spacing w:val="0"/>
          <w:sz w:val="32"/>
          <w:szCs w:val="32"/>
          <w:lang w:val="en-US" w:eastAsia="zh-CN" w:bidi="ar-SA"/>
        </w:rPr>
        <w:t>）基础信息完善性。基础数据信息和会计信息资料真实、完整、准确。</w:t>
      </w:r>
    </w:p>
    <w:p w14:paraId="1AC56F2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资产管理</w:t>
      </w:r>
      <w:r>
        <w:rPr>
          <w:rFonts w:hint="eastAsia" w:cs="仿宋"/>
          <w:snapToGrid w:val="0"/>
          <w:color w:val="000000"/>
          <w:spacing w:val="0"/>
          <w:sz w:val="32"/>
          <w:szCs w:val="32"/>
          <w:lang w:val="en-US" w:eastAsia="zh-CN" w:bidi="ar-SA"/>
        </w:rPr>
        <w:t>方面：我馆</w:t>
      </w:r>
      <w:r>
        <w:rPr>
          <w:rFonts w:hint="eastAsia" w:ascii="仿宋" w:hAnsi="仿宋" w:eastAsia="仿宋" w:cs="仿宋"/>
          <w:snapToGrid w:val="0"/>
          <w:color w:val="000000"/>
          <w:spacing w:val="0"/>
          <w:sz w:val="32"/>
          <w:szCs w:val="32"/>
          <w:lang w:val="en-US" w:eastAsia="zh-CN" w:bidi="ar-SA"/>
        </w:rPr>
        <w:t>严格执行资产配置、使用、处置管理办法，做到购置有预算，实物有专人管理，处置按流程，定期盘点清理资产，掌握固定资产的使用情况，确保设备完好提高利用率。资产账务管理合规、账实相符、处置规范。</w:t>
      </w:r>
    </w:p>
    <w:p w14:paraId="42AFA01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职责履行</w:t>
      </w:r>
      <w:r>
        <w:rPr>
          <w:rFonts w:hint="eastAsia" w:cs="仿宋"/>
          <w:snapToGrid w:val="0"/>
          <w:color w:val="000000"/>
          <w:spacing w:val="0"/>
          <w:sz w:val="32"/>
          <w:szCs w:val="32"/>
          <w:lang w:val="en-US" w:eastAsia="zh-CN" w:bidi="ar-SA"/>
        </w:rPr>
        <w:t>方面：我馆</w:t>
      </w:r>
      <w:r>
        <w:rPr>
          <w:rFonts w:hint="eastAsia" w:ascii="仿宋" w:hAnsi="仿宋" w:eastAsia="仿宋" w:cs="仿宋"/>
          <w:snapToGrid w:val="0"/>
          <w:color w:val="000000"/>
          <w:spacing w:val="0"/>
          <w:sz w:val="32"/>
          <w:szCs w:val="32"/>
          <w:lang w:val="en-US" w:eastAsia="zh-CN" w:bidi="ar-SA"/>
        </w:rPr>
        <w:t>2023年严格落实各项工作，按照</w:t>
      </w:r>
      <w:r>
        <w:rPr>
          <w:rFonts w:hint="eastAsia" w:ascii="CESI仿宋-GB2312" w:hAnsi="CESI仿宋-GB2312" w:eastAsia="CESI仿宋-GB2312" w:cs="CESI仿宋-GB2312"/>
          <w:spacing w:val="0"/>
          <w:sz w:val="32"/>
          <w:szCs w:val="32"/>
        </w:rPr>
        <w:t>区委、区政府</w:t>
      </w:r>
      <w:r>
        <w:rPr>
          <w:rFonts w:hint="eastAsia" w:ascii="仿宋" w:hAnsi="仿宋" w:eastAsia="仿宋" w:cs="仿宋"/>
          <w:snapToGrid w:val="0"/>
          <w:color w:val="000000"/>
          <w:spacing w:val="0"/>
          <w:sz w:val="32"/>
          <w:szCs w:val="32"/>
          <w:lang w:val="en-US" w:eastAsia="zh-CN" w:bidi="ar-SA"/>
        </w:rPr>
        <w:t>下达的任务及本单位的目标任务，积极推进了各项工作平稳、有序的开展。</w:t>
      </w:r>
    </w:p>
    <w:p w14:paraId="6408275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目标完成情况及指标分析</w:t>
      </w:r>
    </w:p>
    <w:p w14:paraId="382CBFEA">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区档案馆认真落实区委和区政府的各项工作部署和要求，加强领导班子和档案工作队伍建设，巩固党风廉政建设，发扬档案工作人员能吃苦、甘寂寞、艰苦朴素的优良传统，克服全区档案工作人员和经费不足等困难，以档案管理规范化、科学化和信息化建设为中心，加强业务建设和做好查阅服务工作，较好地完成了全年各项工作任务。我部门2023年一般公共预算资金总体目标完成较好，具体如下：</w:t>
      </w:r>
    </w:p>
    <w:p w14:paraId="13DA16F5">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1.</w:t>
      </w:r>
      <w:r>
        <w:rPr>
          <w:rFonts w:hint="eastAsia" w:ascii="仿宋" w:hAnsi="仿宋" w:eastAsia="仿宋" w:cs="仿宋"/>
          <w:snapToGrid w:val="0"/>
          <w:color w:val="000000"/>
          <w:spacing w:val="0"/>
          <w:sz w:val="32"/>
          <w:szCs w:val="32"/>
          <w:lang w:val="en-US" w:eastAsia="zh-CN" w:bidi="ar-SA"/>
        </w:rPr>
        <w:t>切实提高利用，强化为民服务。档案查阅利用服务扎实有效，2023年累计接待查阅1370余人次，提供档案查阅1765余卷次，出证1680余份，查询成功率达70%以上。优化查档流程和手续，进一步从制度层面解决档案查阅利用环节群众多头跑、来回跑、办事难等问题，得到群众的一致好评，没有一起不良反映。在2023年，因为需要编制扶贫志的，很多单位的撰写人员在我馆查阅扶贫资料，退伍军人办理优待证，需要查阅人事档案并复印出证，我馆认真接待，热情服务，尽量满足他们的查阅需求。</w:t>
      </w:r>
    </w:p>
    <w:p w14:paraId="3D13FA3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加强规范入库，做到应入尽入。根据省市企业退休职工社会化管理的要求以及企业退休职工人事档案移交我馆的安排部署，我馆继续开展、全力投入，完善了《鹤城区企业退休职工人事档案接收标准》，对我市央企、省企、市企的人事档案移交工作进行全面业务指导和接收进馆。深入各企业开展整档指导10余人次，今年截止目前已接收10个单位的文书档案2286卷，接收企业退休档案708卷，圆满完成了接收工作任务。</w:t>
      </w:r>
    </w:p>
    <w:p w14:paraId="0C03870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3.</w:t>
      </w:r>
      <w:r>
        <w:rPr>
          <w:rFonts w:hint="eastAsia" w:ascii="仿宋" w:hAnsi="仿宋" w:eastAsia="仿宋" w:cs="仿宋"/>
          <w:snapToGrid w:val="0"/>
          <w:color w:val="000000"/>
          <w:spacing w:val="0"/>
          <w:sz w:val="32"/>
          <w:szCs w:val="32"/>
          <w:lang w:val="en-US" w:eastAsia="zh-CN" w:bidi="ar-SA"/>
        </w:rPr>
        <w:t>提升保管保护，确保档案安全。完善档案库房管理制度、档案资料利用制度、接待人员守则，制定并实施《鹤城区档案馆档案库房日常安全管理工作规范》。开展档案库房巡查工作，落实“九防”、查阅登记、借阅台</w:t>
      </w:r>
      <w:r>
        <w:rPr>
          <w:rFonts w:hint="eastAsia" w:cs="仿宋"/>
          <w:snapToGrid w:val="0"/>
          <w:color w:val="000000"/>
          <w:spacing w:val="0"/>
          <w:sz w:val="32"/>
          <w:szCs w:val="32"/>
          <w:lang w:val="en-US" w:eastAsia="zh-CN" w:bidi="ar-SA"/>
        </w:rPr>
        <w:t>账</w:t>
      </w:r>
      <w:r>
        <w:rPr>
          <w:rFonts w:hint="eastAsia" w:ascii="仿宋" w:hAnsi="仿宋" w:eastAsia="仿宋" w:cs="仿宋"/>
          <w:snapToGrid w:val="0"/>
          <w:color w:val="000000"/>
          <w:spacing w:val="0"/>
          <w:sz w:val="32"/>
          <w:szCs w:val="32"/>
          <w:lang w:val="en-US" w:eastAsia="zh-CN" w:bidi="ar-SA"/>
        </w:rPr>
        <w:t>等制度。先后对库房电路、消防设施设备等进行排查，发现问题及时整改。我馆购买一万多余元购买防虫药剂，更换消防灭火器。聘请消防专家指导并授课，提高工作人员消防意识、消防知识、消防技能。</w:t>
      </w:r>
    </w:p>
    <w:p w14:paraId="6EA75DB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4.</w:t>
      </w:r>
      <w:r>
        <w:rPr>
          <w:rFonts w:hint="eastAsia" w:ascii="仿宋" w:hAnsi="仿宋" w:eastAsia="仿宋" w:cs="仿宋"/>
          <w:snapToGrid w:val="0"/>
          <w:color w:val="000000"/>
          <w:spacing w:val="0"/>
          <w:sz w:val="32"/>
          <w:szCs w:val="32"/>
          <w:lang w:val="en-US" w:eastAsia="zh-CN" w:bidi="ar-SA"/>
        </w:rPr>
        <w:t>提升数字化水平，助力达标创建。去年，市级考核中增加关于档案数字化的项目，要求比上一年提升10%，这为我馆推进档案数字化提供了契机。我馆立即行动，在区委常委会上通过总额85的数字化一期方案后，办好了资金和设备的审批，委托中介服务公司开始网上招标。经过三家评审，成然公司胜出中标。签订了数字合同后，成然公司于去年11月入场开展工作。</w:t>
      </w:r>
    </w:p>
    <w:p w14:paraId="28AC467E">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我馆经讨论决定，先作民国档案和群众查阅频繁的82年山林承包档案，然后再作怀化县档案。数字化工作开展一个月来，区档案局多次上门指导，我馆也邀请市档案馆的业务骨干前来指导。目前数字化工作开展比较顺利，按照档案数字化的要求开展扫描工作，截止日前，巳完成3个全宗、322卷档案约4万页资料的扫描工作。</w:t>
      </w:r>
    </w:p>
    <w:p w14:paraId="5F0A1792">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（1）产出指标分析</w:t>
      </w:r>
    </w:p>
    <w:p w14:paraId="66C75F9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档案移交和接收工作完成率100%，档案保管质量完好率100%，各项工作均</w:t>
      </w:r>
      <w:r>
        <w:rPr>
          <w:rFonts w:hint="eastAsia" w:ascii="仿宋" w:hAnsi="仿宋" w:eastAsia="仿宋" w:cs="仿宋"/>
          <w:snapToGrid w:val="0"/>
          <w:color w:val="000000"/>
          <w:spacing w:val="0"/>
          <w:sz w:val="32"/>
          <w:szCs w:val="32"/>
          <w:lang w:val="en-US" w:eastAsia="zh-CN" w:bidi="ar-SA"/>
        </w:rPr>
        <w:t>2023年12月31日之前完成</w:t>
      </w:r>
      <w:r>
        <w:rPr>
          <w:rFonts w:hint="eastAsia" w:cs="仿宋"/>
          <w:snapToGrid w:val="0"/>
          <w:color w:val="000000"/>
          <w:spacing w:val="0"/>
          <w:sz w:val="32"/>
          <w:szCs w:val="32"/>
          <w:lang w:val="en-US" w:eastAsia="zh-CN" w:bidi="ar-SA"/>
        </w:rPr>
        <w:t>，</w:t>
      </w:r>
      <w:r>
        <w:rPr>
          <w:rFonts w:hint="default" w:cs="仿宋"/>
          <w:snapToGrid w:val="0"/>
          <w:color w:val="000000"/>
          <w:spacing w:val="0"/>
          <w:sz w:val="32"/>
          <w:szCs w:val="32"/>
          <w:lang w:val="en-US" w:eastAsia="zh-CN" w:bidi="ar-SA"/>
        </w:rPr>
        <w:t>整体支出成本节约率</w:t>
      </w:r>
      <w:r>
        <w:rPr>
          <w:rFonts w:hint="eastAsia" w:cs="仿宋"/>
          <w:snapToGrid w:val="0"/>
          <w:color w:val="000000"/>
          <w:spacing w:val="0"/>
          <w:sz w:val="32"/>
          <w:szCs w:val="32"/>
          <w:lang w:val="en-US" w:eastAsia="zh-CN" w:bidi="ar-SA"/>
        </w:rPr>
        <w:t>0%，完成年初目标。</w:t>
      </w:r>
    </w:p>
    <w:p w14:paraId="3B36BC2A">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（2）效益指标分析</w:t>
      </w:r>
    </w:p>
    <w:p w14:paraId="171B874E">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通过工作开展，充分发挥财政资金使用效益；提高社会综合效益，提高馆藏档案原件的保管保护和馆藏档案资源管理水平；做好“九防”措施，在一定程度上保护生态环境；长期有效保管好档案资源，推进我区档案事业可持续发展，基本完成年初目标，扣2分。</w:t>
      </w:r>
    </w:p>
    <w:p w14:paraId="3204B72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（3）满意度指标分析</w:t>
      </w:r>
    </w:p>
    <w:p w14:paraId="7840040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档案利用者满意度</w:t>
      </w:r>
      <w:r>
        <w:rPr>
          <w:rFonts w:hint="eastAsia" w:cs="仿宋"/>
          <w:snapToGrid w:val="0"/>
          <w:color w:val="000000"/>
          <w:spacing w:val="0"/>
          <w:sz w:val="32"/>
          <w:szCs w:val="32"/>
          <w:lang w:val="en-US" w:eastAsia="zh-CN" w:bidi="ar-SA"/>
        </w:rPr>
        <w:t>98%，完成年初目标。</w:t>
      </w:r>
    </w:p>
    <w:p w14:paraId="43F43A83">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七、存在的问题及原因分析</w:t>
      </w:r>
    </w:p>
    <w:p w14:paraId="61B6CF3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绩效目标设置不够规范，绩效目标管理水平有待提升。部门整体支出绩效目标未明确设置能够体现履职效果的社会、经济等效益指标，且部门整体支出绩效指标的目标值有待进一步量化。</w:t>
      </w:r>
    </w:p>
    <w:p w14:paraId="6B29754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八、下一步改进措施</w:t>
      </w:r>
    </w:p>
    <w:p w14:paraId="554C1C0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ascii="Times New Roman" w:hAnsi="Times New Roman" w:eastAsia="黑体" w:cs="黑体"/>
          <w:spacing w:val="0"/>
          <w:sz w:val="32"/>
          <w:szCs w:val="32"/>
          <w:lang w:eastAsia="zh-CN"/>
        </w:rPr>
      </w:pPr>
      <w:r>
        <w:rPr>
          <w:rFonts w:hint="eastAsia" w:ascii="仿宋" w:hAnsi="仿宋" w:eastAsia="仿宋" w:cs="仿宋"/>
          <w:snapToGrid w:val="0"/>
          <w:color w:val="000000"/>
          <w:spacing w:val="0"/>
          <w:sz w:val="32"/>
          <w:szCs w:val="32"/>
          <w:lang w:val="en-US" w:eastAsia="zh-CN" w:bidi="ar-SA"/>
        </w:rPr>
        <w:t>加强对绩效目标的审核，保证各</w:t>
      </w:r>
      <w:r>
        <w:rPr>
          <w:rFonts w:hint="eastAsia" w:cs="仿宋"/>
          <w:snapToGrid w:val="0"/>
          <w:color w:val="000000"/>
          <w:spacing w:val="0"/>
          <w:sz w:val="32"/>
          <w:szCs w:val="32"/>
          <w:lang w:val="en-US" w:eastAsia="zh-CN" w:bidi="ar-SA"/>
        </w:rPr>
        <w:t>部室</w:t>
      </w:r>
      <w:r>
        <w:rPr>
          <w:rFonts w:hint="eastAsia" w:ascii="仿宋" w:hAnsi="仿宋" w:eastAsia="仿宋" w:cs="仿宋"/>
          <w:snapToGrid w:val="0"/>
          <w:color w:val="000000"/>
          <w:spacing w:val="0"/>
          <w:sz w:val="32"/>
          <w:szCs w:val="32"/>
          <w:lang w:val="en-US" w:eastAsia="zh-CN" w:bidi="ar-SA"/>
        </w:rPr>
        <w:t>严格按照部门职责和工作计划</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提炼出对应的数量、质量、时效以及效益指标，确保指标设定合理、合规</w:t>
      </w:r>
      <w:r>
        <w:rPr>
          <w:rFonts w:hint="eastAsia" w:cs="仿宋"/>
          <w:snapToGrid w:val="0"/>
          <w:color w:val="000000"/>
          <w:spacing w:val="0"/>
          <w:sz w:val="32"/>
          <w:szCs w:val="32"/>
          <w:lang w:val="en-US" w:eastAsia="zh-CN" w:bidi="ar-SA"/>
        </w:rPr>
        <w:t>。</w:t>
      </w:r>
    </w:p>
    <w:p w14:paraId="35003FD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九、其他需要说明的情况</w:t>
      </w:r>
    </w:p>
    <w:p w14:paraId="3739A00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无。</w:t>
      </w:r>
    </w:p>
    <w:p w14:paraId="47F2A453">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p>
    <w:p w14:paraId="1A2016D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p>
    <w:p w14:paraId="61648D9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spacing w:val="0"/>
          <w:sz w:val="32"/>
          <w:szCs w:val="32"/>
          <w:lang w:eastAsia="zh-CN"/>
        </w:rPr>
        <w:t>报告应包括以下附件：</w:t>
      </w:r>
    </w:p>
    <w:p w14:paraId="37242ED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spacing w:val="0"/>
          <w:sz w:val="32"/>
          <w:szCs w:val="32"/>
          <w:lang w:eastAsia="zh-CN"/>
        </w:rPr>
        <w:t>1.</w:t>
      </w:r>
      <w:r>
        <w:rPr>
          <w:spacing w:val="0"/>
          <w:sz w:val="32"/>
          <w:szCs w:val="32"/>
          <w:lang w:eastAsia="zh-CN"/>
        </w:rPr>
        <w:t>部门整体支出绩效评价基础数据表</w:t>
      </w:r>
    </w:p>
    <w:p w14:paraId="2B0163A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ascii="宋体" w:hAnsi="宋体" w:eastAsia="宋体" w:cs="宋体"/>
          <w:spacing w:val="0"/>
          <w:sz w:val="32"/>
          <w:szCs w:val="32"/>
          <w:lang w:eastAsia="zh-CN"/>
        </w:rPr>
        <w:t>2.</w:t>
      </w:r>
      <w:r>
        <w:rPr>
          <w:spacing w:val="0"/>
          <w:sz w:val="32"/>
          <w:szCs w:val="32"/>
          <w:lang w:eastAsia="zh-CN"/>
        </w:rPr>
        <w:t>部门整体支出绩效自评表</w:t>
      </w:r>
    </w:p>
    <w:p w14:paraId="3E3BE7E2">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6A8865C0">
      <w:pPr>
        <w:pStyle w:val="2"/>
        <w:spacing w:before="75" w:line="222" w:lineRule="auto"/>
        <w:rPr>
          <w:sz w:val="24"/>
          <w:szCs w:val="24"/>
          <w:lang w:eastAsia="zh-CN"/>
        </w:rPr>
      </w:pPr>
      <w:r>
        <w:rPr>
          <w:spacing w:val="15"/>
          <w:sz w:val="24"/>
          <w:szCs w:val="24"/>
          <w:lang w:eastAsia="zh-CN"/>
        </w:rPr>
        <w:t>附件1-1</w:t>
      </w:r>
    </w:p>
    <w:p w14:paraId="037D0C2C">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0CBAEF2C">
      <w:pPr>
        <w:spacing w:line="219" w:lineRule="auto"/>
        <w:ind w:left="545"/>
        <w:rPr>
          <w:rFonts w:hint="eastAsia" w:ascii="宋体" w:hAnsi="宋体" w:eastAsia="宋体" w:cs="宋体"/>
          <w:spacing w:val="-1"/>
          <w:lang w:eastAsia="zh-CN"/>
        </w:rPr>
      </w:pPr>
    </w:p>
    <w:p w14:paraId="2907C2C6">
      <w:pPr>
        <w:spacing w:line="219" w:lineRule="auto"/>
        <w:rPr>
          <w:rFonts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怀化市鹤城区档案馆  </w:t>
      </w:r>
      <w:r>
        <w:rPr>
          <w:rFonts w:hint="eastAsia" w:ascii="宋体" w:hAnsi="宋体" w:eastAsia="宋体" w:cs="宋体"/>
          <w:spacing w:val="-1"/>
          <w:lang w:val="en-US" w:eastAsia="zh-CN"/>
        </w:rPr>
        <w:t xml:space="preserve">      </w:t>
      </w:r>
      <w:r>
        <w:rPr>
          <w:rFonts w:hint="eastAsia" w:ascii="宋体" w:hAnsi="宋体" w:eastAsia="宋体" w:cs="宋体"/>
          <w:spacing w:val="-1"/>
          <w:lang w:eastAsia="zh-CN"/>
        </w:rPr>
        <w:t xml:space="preserve">            </w:t>
      </w:r>
      <w:r>
        <w:rPr>
          <w:rFonts w:hint="eastAsia" w:ascii="宋体" w:hAnsi="宋体" w:eastAsia="宋体" w:cs="宋体"/>
          <w:spacing w:val="-1"/>
          <w:lang w:val="en-US" w:eastAsia="zh-CN"/>
        </w:rPr>
        <w:t xml:space="preserve">        </w:t>
      </w:r>
      <w:r>
        <w:rPr>
          <w:rFonts w:hint="eastAsia" w:ascii="宋体" w:hAnsi="宋体" w:eastAsia="宋体" w:cs="宋体"/>
          <w:spacing w:val="-1"/>
          <w:lang w:eastAsia="zh-CN"/>
        </w:rPr>
        <w:t xml:space="preserve"> </w:t>
      </w:r>
      <w:r>
        <w:rPr>
          <w:rFonts w:hint="eastAsia" w:ascii="宋体" w:hAnsi="宋体" w:eastAsia="宋体" w:cs="宋体"/>
          <w:spacing w:val="-1"/>
          <w:lang w:val="en-US" w:eastAsia="zh-CN"/>
        </w:rPr>
        <w:t xml:space="preserve">   </w:t>
      </w:r>
      <w:r>
        <w:rPr>
          <w:rFonts w:hint="eastAsia" w:ascii="宋体" w:hAnsi="宋体" w:eastAsia="宋体" w:cs="宋体"/>
          <w:spacing w:val="-1"/>
          <w:lang w:eastAsia="zh-CN"/>
        </w:rPr>
        <w:t xml:space="preserve">          单位：万元</w:t>
      </w:r>
    </w:p>
    <w:p w14:paraId="749FB4B8">
      <w:pPr>
        <w:spacing w:line="37" w:lineRule="exact"/>
      </w:pPr>
    </w:p>
    <w:tbl>
      <w:tblPr>
        <w:tblStyle w:val="8"/>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3305F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731F788E">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1D38E288">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21D7AA25">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1FC8C8C2">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6766E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13A420E4">
            <w:pPr>
              <w:pStyle w:val="9"/>
            </w:pPr>
          </w:p>
        </w:tc>
        <w:tc>
          <w:tcPr>
            <w:tcW w:w="2018" w:type="dxa"/>
            <w:gridSpan w:val="2"/>
            <w:vAlign w:val="center"/>
          </w:tcPr>
          <w:p w14:paraId="4856D816">
            <w:pPr>
              <w:pStyle w:val="9"/>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8</w:t>
            </w:r>
          </w:p>
        </w:tc>
        <w:tc>
          <w:tcPr>
            <w:tcW w:w="2197" w:type="dxa"/>
            <w:gridSpan w:val="2"/>
            <w:vAlign w:val="center"/>
          </w:tcPr>
          <w:p w14:paraId="75482CE7">
            <w:pPr>
              <w:pStyle w:val="9"/>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7</w:t>
            </w:r>
          </w:p>
        </w:tc>
        <w:tc>
          <w:tcPr>
            <w:tcW w:w="1843" w:type="dxa"/>
            <w:gridSpan w:val="2"/>
            <w:vAlign w:val="center"/>
          </w:tcPr>
          <w:p w14:paraId="5A0C6766">
            <w:pPr>
              <w:pStyle w:val="9"/>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87.50%</w:t>
            </w:r>
          </w:p>
        </w:tc>
      </w:tr>
      <w:tr w14:paraId="58A3E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C6C62D7">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529742B5">
            <w:pPr>
              <w:spacing w:before="99" w:line="219" w:lineRule="auto"/>
              <w:ind w:left="403"/>
              <w:jc w:val="left"/>
              <w:rPr>
                <w:rFonts w:hint="eastAsia" w:ascii="宋体" w:hAnsi="宋体" w:eastAsia="宋体" w:cs="宋体"/>
                <w:sz w:val="20"/>
                <w:szCs w:val="20"/>
              </w:rPr>
            </w:pPr>
            <w:r>
              <w:rPr>
                <w:rFonts w:hint="eastAsia" w:ascii="宋体" w:hAnsi="宋体" w:eastAsia="宋体" w:cs="宋体"/>
                <w:spacing w:val="-2"/>
                <w:sz w:val="20"/>
                <w:szCs w:val="20"/>
              </w:rPr>
              <w:t>2022年决算数</w:t>
            </w:r>
          </w:p>
        </w:tc>
        <w:tc>
          <w:tcPr>
            <w:tcW w:w="2197" w:type="dxa"/>
            <w:gridSpan w:val="2"/>
          </w:tcPr>
          <w:p w14:paraId="11D6BE20">
            <w:pPr>
              <w:spacing w:before="99" w:line="219" w:lineRule="auto"/>
              <w:ind w:left="496"/>
              <w:jc w:val="left"/>
              <w:rPr>
                <w:rFonts w:hint="eastAsia" w:ascii="宋体" w:hAnsi="宋体" w:eastAsia="宋体" w:cs="宋体"/>
                <w:sz w:val="20"/>
                <w:szCs w:val="20"/>
              </w:rPr>
            </w:pPr>
            <w:r>
              <w:rPr>
                <w:rFonts w:hint="eastAsia" w:ascii="宋体" w:hAnsi="宋体" w:eastAsia="宋体" w:cs="宋体"/>
                <w:spacing w:val="-2"/>
                <w:sz w:val="20"/>
                <w:szCs w:val="20"/>
              </w:rPr>
              <w:t>2023年预算数</w:t>
            </w:r>
          </w:p>
        </w:tc>
        <w:tc>
          <w:tcPr>
            <w:tcW w:w="1843" w:type="dxa"/>
            <w:gridSpan w:val="2"/>
          </w:tcPr>
          <w:p w14:paraId="5D852B37">
            <w:pPr>
              <w:spacing w:before="99" w:line="219" w:lineRule="auto"/>
              <w:ind w:left="318"/>
              <w:jc w:val="left"/>
              <w:rPr>
                <w:rFonts w:hint="eastAsia" w:ascii="宋体" w:hAnsi="宋体" w:eastAsia="宋体" w:cs="宋体"/>
                <w:sz w:val="20"/>
                <w:szCs w:val="20"/>
              </w:rPr>
            </w:pPr>
            <w:r>
              <w:rPr>
                <w:rFonts w:hint="eastAsia" w:ascii="宋体" w:hAnsi="宋体" w:eastAsia="宋体" w:cs="宋体"/>
                <w:spacing w:val="-2"/>
                <w:sz w:val="20"/>
                <w:szCs w:val="20"/>
              </w:rPr>
              <w:t>2023年决算数</w:t>
            </w:r>
          </w:p>
        </w:tc>
      </w:tr>
      <w:tr w14:paraId="020F8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728543D">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vAlign w:val="center"/>
          </w:tcPr>
          <w:p w14:paraId="566D8B44">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2B156B0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0.20</w:t>
            </w:r>
          </w:p>
        </w:tc>
        <w:tc>
          <w:tcPr>
            <w:tcW w:w="1843" w:type="dxa"/>
            <w:gridSpan w:val="2"/>
            <w:vAlign w:val="center"/>
          </w:tcPr>
          <w:p w14:paraId="0C90EEFF">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2F5B7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D33542C">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vAlign w:val="center"/>
          </w:tcPr>
          <w:p w14:paraId="62372B45">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2E6003AA">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4B3B2B86">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29B73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EF68D74">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vAlign w:val="center"/>
          </w:tcPr>
          <w:p w14:paraId="4C5070A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3D4A690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4EDC8A9B">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r>
      <w:tr w14:paraId="0F28D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5FDD5685">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vAlign w:val="center"/>
          </w:tcPr>
          <w:p w14:paraId="507DA891">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42951A7A">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6FA60812">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r>
      <w:tr w14:paraId="3FA776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8B052FD">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vAlign w:val="center"/>
          </w:tcPr>
          <w:p w14:paraId="2BCABD92">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0927CBE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541A4D15">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zh-CN" w:bidi="ar-SA"/>
              </w:rPr>
              <w:t>0.00</w:t>
            </w:r>
          </w:p>
        </w:tc>
      </w:tr>
      <w:tr w14:paraId="76FDB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A23D4C6">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vAlign w:val="center"/>
          </w:tcPr>
          <w:p w14:paraId="2C868C3D">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33496E8D">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0.20</w:t>
            </w:r>
          </w:p>
        </w:tc>
        <w:tc>
          <w:tcPr>
            <w:tcW w:w="1843" w:type="dxa"/>
            <w:gridSpan w:val="2"/>
            <w:vAlign w:val="center"/>
          </w:tcPr>
          <w:p w14:paraId="08D9C3A7">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168D1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553E1DD">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vAlign w:val="center"/>
          </w:tcPr>
          <w:p w14:paraId="19958BF4">
            <w:pPr>
              <w:pStyle w:val="9"/>
              <w:jc w:val="center"/>
              <w:rPr>
                <w:rFonts w:hint="eastAsia" w:ascii="Times New Roman" w:hAnsi="Times New Roman" w:eastAsia="仿宋" w:cs="宋体"/>
                <w:snapToGrid w:val="0"/>
                <w:color w:val="000000"/>
                <w:spacing w:val="-2"/>
                <w:sz w:val="20"/>
                <w:szCs w:val="20"/>
                <w:lang w:val="en-US" w:eastAsia="en-US" w:bidi="ar-SA"/>
              </w:rPr>
            </w:pPr>
            <w:r>
              <w:rPr>
                <w:rFonts w:hint="default" w:ascii="Times New Roman" w:hAnsi="Times New Roman" w:eastAsia="仿宋" w:cs="宋体"/>
                <w:snapToGrid w:val="0"/>
                <w:color w:val="000000"/>
                <w:spacing w:val="-2"/>
                <w:sz w:val="20"/>
                <w:szCs w:val="20"/>
                <w:lang w:val="en-US" w:eastAsia="zh-CN" w:bidi="ar-SA"/>
              </w:rPr>
              <w:t>11.63</w:t>
            </w:r>
          </w:p>
        </w:tc>
        <w:tc>
          <w:tcPr>
            <w:tcW w:w="2197" w:type="dxa"/>
            <w:gridSpan w:val="2"/>
            <w:vAlign w:val="center"/>
          </w:tcPr>
          <w:p w14:paraId="0C9D3077">
            <w:pPr>
              <w:pStyle w:val="9"/>
              <w:jc w:val="center"/>
              <w:rPr>
                <w:rFonts w:hint="default" w:ascii="Times New Roman" w:hAnsi="Times New Roman" w:eastAsia="仿宋" w:cs="宋体"/>
                <w:snapToGrid w:val="0"/>
                <w:color w:val="000000"/>
                <w:spacing w:val="-2"/>
                <w:sz w:val="20"/>
                <w:szCs w:val="20"/>
                <w:lang w:val="en-US" w:eastAsia="zh-CN" w:bidi="ar-SA"/>
              </w:rPr>
            </w:pPr>
            <w:r>
              <w:rPr>
                <w:rFonts w:hint="default" w:ascii="Times New Roman" w:hAnsi="Times New Roman" w:eastAsia="仿宋" w:cs="宋体"/>
                <w:snapToGrid w:val="0"/>
                <w:color w:val="000000"/>
                <w:spacing w:val="-2"/>
                <w:sz w:val="20"/>
                <w:szCs w:val="20"/>
                <w:lang w:val="en-US" w:eastAsia="zh-CN" w:bidi="ar-SA"/>
              </w:rPr>
              <w:t>2.61</w:t>
            </w:r>
          </w:p>
        </w:tc>
        <w:tc>
          <w:tcPr>
            <w:tcW w:w="1843" w:type="dxa"/>
            <w:gridSpan w:val="2"/>
            <w:vAlign w:val="center"/>
          </w:tcPr>
          <w:p w14:paraId="7E252172">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12.47</w:t>
            </w:r>
          </w:p>
        </w:tc>
      </w:tr>
      <w:tr w14:paraId="4A50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56D04D7">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shd w:val="clear" w:color="auto" w:fill="auto"/>
            <w:vAlign w:val="center"/>
          </w:tcPr>
          <w:p w14:paraId="223F341A">
            <w:pPr>
              <w:pStyle w:val="9"/>
              <w:jc w:val="center"/>
              <w:rPr>
                <w:rFonts w:hint="default" w:ascii="Times New Roman" w:hAnsi="Times New Roman" w:eastAsia="仿宋" w:cs="宋体"/>
                <w:snapToGrid w:val="0"/>
                <w:color w:val="000000"/>
                <w:spacing w:val="-2"/>
                <w:sz w:val="20"/>
                <w:szCs w:val="20"/>
                <w:lang w:val="en-US" w:eastAsia="zh-CN" w:bidi="ar-SA"/>
              </w:rPr>
            </w:pPr>
            <w:r>
              <w:rPr>
                <w:rFonts w:hint="default" w:ascii="Times New Roman" w:hAnsi="Times New Roman" w:eastAsia="仿宋" w:cs="宋体"/>
                <w:snapToGrid w:val="0"/>
                <w:color w:val="000000"/>
                <w:spacing w:val="-2"/>
                <w:sz w:val="20"/>
                <w:szCs w:val="20"/>
                <w:lang w:val="en-US" w:eastAsia="zh-CN" w:bidi="ar-SA"/>
              </w:rPr>
              <w:t>11.63</w:t>
            </w:r>
          </w:p>
        </w:tc>
        <w:tc>
          <w:tcPr>
            <w:tcW w:w="2197" w:type="dxa"/>
            <w:gridSpan w:val="2"/>
            <w:shd w:val="clear" w:color="auto" w:fill="auto"/>
            <w:vAlign w:val="center"/>
          </w:tcPr>
          <w:p w14:paraId="3EA0C60E">
            <w:pPr>
              <w:pStyle w:val="9"/>
              <w:jc w:val="center"/>
              <w:rPr>
                <w:rFonts w:hint="default" w:ascii="Times New Roman" w:hAnsi="Times New Roman" w:eastAsia="仿宋" w:cs="宋体"/>
                <w:snapToGrid w:val="0"/>
                <w:color w:val="000000"/>
                <w:spacing w:val="-2"/>
                <w:sz w:val="20"/>
                <w:szCs w:val="20"/>
                <w:lang w:val="en-US" w:eastAsia="zh-CN" w:bidi="ar-SA"/>
              </w:rPr>
            </w:pPr>
            <w:r>
              <w:rPr>
                <w:rFonts w:hint="default" w:ascii="Times New Roman" w:hAnsi="Times New Roman" w:eastAsia="仿宋" w:cs="宋体"/>
                <w:snapToGrid w:val="0"/>
                <w:color w:val="000000"/>
                <w:spacing w:val="-2"/>
                <w:sz w:val="20"/>
                <w:szCs w:val="20"/>
                <w:lang w:val="en-US" w:eastAsia="zh-CN" w:bidi="ar-SA"/>
              </w:rPr>
              <w:t>2.61</w:t>
            </w:r>
          </w:p>
        </w:tc>
        <w:tc>
          <w:tcPr>
            <w:tcW w:w="1843" w:type="dxa"/>
            <w:gridSpan w:val="2"/>
            <w:shd w:val="clear" w:color="auto" w:fill="auto"/>
            <w:vAlign w:val="center"/>
          </w:tcPr>
          <w:p w14:paraId="0F0EE2BB">
            <w:pPr>
              <w:pStyle w:val="9"/>
              <w:jc w:val="center"/>
              <w:rPr>
                <w:rFonts w:hint="default" w:ascii="Times New Roman" w:hAnsi="Times New Roman" w:eastAsia="仿宋" w:cs="宋体"/>
                <w:snapToGrid w:val="0"/>
                <w:color w:val="000000"/>
                <w:spacing w:val="-2"/>
                <w:sz w:val="20"/>
                <w:szCs w:val="20"/>
                <w:lang w:val="en-US" w:eastAsia="zh-CN" w:bidi="ar-SA"/>
              </w:rPr>
            </w:pPr>
            <w:r>
              <w:rPr>
                <w:rFonts w:hint="default" w:ascii="Times New Roman" w:hAnsi="Times New Roman" w:eastAsia="仿宋" w:cs="宋体"/>
                <w:snapToGrid w:val="0"/>
                <w:color w:val="000000"/>
                <w:spacing w:val="-2"/>
                <w:sz w:val="20"/>
                <w:szCs w:val="20"/>
                <w:lang w:val="en-US" w:eastAsia="zh-CN" w:bidi="ar-SA"/>
              </w:rPr>
              <w:t>12.47</w:t>
            </w:r>
          </w:p>
        </w:tc>
      </w:tr>
      <w:tr w14:paraId="6D2F0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212EF4E">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vAlign w:val="center"/>
          </w:tcPr>
          <w:p w14:paraId="550925BA">
            <w:pPr>
              <w:pStyle w:val="9"/>
              <w:jc w:val="center"/>
              <w:rPr>
                <w:rFonts w:hint="default"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5113E2C6">
            <w:pPr>
              <w:pStyle w:val="9"/>
              <w:jc w:val="center"/>
              <w:rPr>
                <w:rFonts w:hint="default"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220CABD0">
            <w:pPr>
              <w:pStyle w:val="9"/>
              <w:jc w:val="center"/>
              <w:rPr>
                <w:rFonts w:hint="default" w:ascii="Times New Roman" w:hAnsi="Times New Roman" w:eastAsia="仿宋" w:cs="宋体"/>
                <w:snapToGrid w:val="0"/>
                <w:color w:val="000000"/>
                <w:spacing w:val="-2"/>
                <w:sz w:val="20"/>
                <w:szCs w:val="20"/>
                <w:lang w:val="en-US" w:eastAsia="zh-CN" w:bidi="ar-SA"/>
              </w:rPr>
            </w:pPr>
          </w:p>
        </w:tc>
      </w:tr>
      <w:tr w14:paraId="59DB5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3331" w:type="dxa"/>
            <w:tcBorders>
              <w:bottom w:val="nil"/>
            </w:tcBorders>
          </w:tcPr>
          <w:p w14:paraId="5CAC3187">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3、专项资金</w:t>
            </w:r>
          </w:p>
          <w:p w14:paraId="05ECFE6F">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vAlign w:val="center"/>
          </w:tcPr>
          <w:p w14:paraId="16A33A47">
            <w:pPr>
              <w:pStyle w:val="9"/>
              <w:jc w:val="both"/>
              <w:rPr>
                <w:rFonts w:hint="default"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407C6D33">
            <w:pPr>
              <w:pStyle w:val="9"/>
              <w:jc w:val="center"/>
              <w:rPr>
                <w:rFonts w:hint="default" w:ascii="Times New Roman" w:hAnsi="Times New Roman" w:eastAsia="仿宋" w:cs="宋体"/>
                <w:snapToGrid w:val="0"/>
                <w:color w:val="000000"/>
                <w:spacing w:val="-2"/>
                <w:sz w:val="20"/>
                <w:szCs w:val="20"/>
                <w:lang w:val="en-US" w:eastAsia="zh-CN" w:bidi="ar-SA"/>
              </w:rPr>
            </w:pPr>
          </w:p>
        </w:tc>
        <w:tc>
          <w:tcPr>
            <w:tcW w:w="1843" w:type="dxa"/>
            <w:gridSpan w:val="2"/>
            <w:tcBorders>
              <w:bottom w:val="nil"/>
            </w:tcBorders>
            <w:vAlign w:val="center"/>
          </w:tcPr>
          <w:p w14:paraId="331DAC8D">
            <w:pPr>
              <w:pStyle w:val="9"/>
              <w:jc w:val="center"/>
              <w:rPr>
                <w:rFonts w:hint="eastAsia" w:ascii="Times New Roman" w:hAnsi="Times New Roman" w:eastAsia="仿宋" w:cs="宋体"/>
                <w:snapToGrid w:val="0"/>
                <w:color w:val="000000"/>
                <w:spacing w:val="-2"/>
                <w:sz w:val="20"/>
                <w:szCs w:val="20"/>
                <w:lang w:val="en-US" w:eastAsia="zh-CN" w:bidi="ar-SA"/>
              </w:rPr>
            </w:pPr>
          </w:p>
        </w:tc>
      </w:tr>
      <w:tr w14:paraId="4BA17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3F3301F">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vAlign w:val="center"/>
          </w:tcPr>
          <w:p w14:paraId="396A40DE">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5698B463">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79470C48">
            <w:pPr>
              <w:pStyle w:val="9"/>
              <w:jc w:val="center"/>
              <w:rPr>
                <w:rFonts w:hint="eastAsia" w:ascii="Times New Roman" w:hAnsi="Times New Roman" w:eastAsia="仿宋" w:cs="宋体"/>
                <w:snapToGrid w:val="0"/>
                <w:color w:val="000000"/>
                <w:spacing w:val="-2"/>
                <w:sz w:val="20"/>
                <w:szCs w:val="20"/>
                <w:lang w:val="en-US" w:eastAsia="zh-CN" w:bidi="ar-SA"/>
              </w:rPr>
            </w:pPr>
          </w:p>
        </w:tc>
      </w:tr>
      <w:tr w14:paraId="06ACD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27A27727">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vAlign w:val="center"/>
          </w:tcPr>
          <w:p w14:paraId="381E7E3A">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2197" w:type="dxa"/>
            <w:gridSpan w:val="2"/>
            <w:vAlign w:val="center"/>
          </w:tcPr>
          <w:p w14:paraId="66102930">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1843" w:type="dxa"/>
            <w:gridSpan w:val="2"/>
            <w:vAlign w:val="center"/>
          </w:tcPr>
          <w:p w14:paraId="179193AD">
            <w:pPr>
              <w:pStyle w:val="9"/>
              <w:jc w:val="center"/>
              <w:rPr>
                <w:rFonts w:hint="eastAsia" w:ascii="Times New Roman" w:hAnsi="Times New Roman" w:eastAsia="仿宋" w:cs="宋体"/>
                <w:snapToGrid w:val="0"/>
                <w:color w:val="000000"/>
                <w:spacing w:val="-2"/>
                <w:sz w:val="20"/>
                <w:szCs w:val="20"/>
                <w:lang w:val="en-US" w:eastAsia="en-US" w:bidi="ar-SA"/>
              </w:rPr>
            </w:pPr>
          </w:p>
        </w:tc>
      </w:tr>
      <w:tr w14:paraId="7A2C3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AF2EEF1">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shd w:val="clear" w:color="auto" w:fill="auto"/>
            <w:vAlign w:val="center"/>
          </w:tcPr>
          <w:p w14:paraId="04450C07">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_GB2312" w:cs="Times New Roman"/>
                <w:sz w:val="20"/>
                <w:szCs w:val="20"/>
                <w:lang w:val="en-US" w:eastAsia="zh-CN"/>
              </w:rPr>
              <w:t>12.20</w:t>
            </w:r>
          </w:p>
        </w:tc>
        <w:tc>
          <w:tcPr>
            <w:tcW w:w="2197" w:type="dxa"/>
            <w:gridSpan w:val="2"/>
            <w:vAlign w:val="center"/>
          </w:tcPr>
          <w:p w14:paraId="5F13579F">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9.84</w:t>
            </w:r>
          </w:p>
        </w:tc>
        <w:tc>
          <w:tcPr>
            <w:tcW w:w="1843" w:type="dxa"/>
            <w:gridSpan w:val="2"/>
            <w:vAlign w:val="center"/>
          </w:tcPr>
          <w:p w14:paraId="769FD8CD">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11.90</w:t>
            </w:r>
          </w:p>
        </w:tc>
      </w:tr>
      <w:tr w14:paraId="47CEA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4218B09">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shd w:val="clear" w:color="auto" w:fill="auto"/>
            <w:vAlign w:val="center"/>
          </w:tcPr>
          <w:p w14:paraId="7538C785">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_GB2312" w:cs="Times New Roman"/>
                <w:color w:val="auto"/>
                <w:sz w:val="20"/>
                <w:szCs w:val="20"/>
                <w:lang w:val="en-US" w:eastAsia="zh-CN"/>
              </w:rPr>
              <w:t>0.02</w:t>
            </w:r>
          </w:p>
        </w:tc>
        <w:tc>
          <w:tcPr>
            <w:tcW w:w="2197" w:type="dxa"/>
            <w:gridSpan w:val="2"/>
            <w:vAlign w:val="center"/>
          </w:tcPr>
          <w:p w14:paraId="5085D3EB">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0.50</w:t>
            </w:r>
          </w:p>
        </w:tc>
        <w:tc>
          <w:tcPr>
            <w:tcW w:w="1843" w:type="dxa"/>
            <w:gridSpan w:val="2"/>
            <w:vAlign w:val="center"/>
          </w:tcPr>
          <w:p w14:paraId="7D7D716E">
            <w:pPr>
              <w:pStyle w:val="9"/>
              <w:jc w:val="center"/>
              <w:rPr>
                <w:rFonts w:hint="default" w:ascii="Times New Roman" w:hAnsi="Times New Roman" w:eastAsia="仿宋" w:cs="宋体"/>
                <w:snapToGrid w:val="0"/>
                <w:color w:val="000000"/>
                <w:spacing w:val="-2"/>
                <w:sz w:val="20"/>
                <w:szCs w:val="20"/>
                <w:lang w:val="en-US" w:eastAsia="zh-CN" w:bidi="ar-SA"/>
              </w:rPr>
            </w:pPr>
            <w:r>
              <w:rPr>
                <w:rFonts w:hint="default" w:ascii="Times New Roman" w:hAnsi="Times New Roman" w:eastAsia="仿宋" w:cs="宋体"/>
                <w:snapToGrid w:val="0"/>
                <w:color w:val="000000"/>
                <w:spacing w:val="-2"/>
                <w:sz w:val="20"/>
                <w:szCs w:val="20"/>
                <w:lang w:val="en-US" w:eastAsia="zh-CN" w:bidi="ar-SA"/>
              </w:rPr>
              <w:t>0.15</w:t>
            </w:r>
          </w:p>
        </w:tc>
      </w:tr>
      <w:tr w14:paraId="7C1F4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7887C95">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shd w:val="clear" w:color="auto" w:fill="auto"/>
            <w:vAlign w:val="center"/>
          </w:tcPr>
          <w:p w14:paraId="4F1764CF">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_GB2312" w:cs="Times New Roman"/>
                <w:color w:val="auto"/>
                <w:sz w:val="20"/>
                <w:szCs w:val="20"/>
                <w:lang w:val="en-US" w:eastAsia="zh-CN"/>
              </w:rPr>
              <w:t>0.35</w:t>
            </w:r>
            <w:r>
              <w:rPr>
                <w:rFonts w:ascii="Times New Roman" w:hAnsi="Times New Roman" w:eastAsia="仿宋_GB2312" w:cs="Times New Roman"/>
                <w:color w:val="auto"/>
                <w:sz w:val="20"/>
                <w:szCs w:val="20"/>
              </w:rPr>
              <w:t>　</w:t>
            </w:r>
          </w:p>
        </w:tc>
        <w:tc>
          <w:tcPr>
            <w:tcW w:w="2197" w:type="dxa"/>
            <w:gridSpan w:val="2"/>
            <w:vAlign w:val="center"/>
          </w:tcPr>
          <w:p w14:paraId="4F7506F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1.70</w:t>
            </w:r>
          </w:p>
        </w:tc>
        <w:tc>
          <w:tcPr>
            <w:tcW w:w="1843" w:type="dxa"/>
            <w:gridSpan w:val="2"/>
            <w:vAlign w:val="center"/>
          </w:tcPr>
          <w:p w14:paraId="7E3CCC89">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0.61</w:t>
            </w:r>
          </w:p>
        </w:tc>
      </w:tr>
      <w:tr w14:paraId="7CA05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4E8394FE">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shd w:val="clear" w:color="auto" w:fill="auto"/>
            <w:vAlign w:val="center"/>
          </w:tcPr>
          <w:p w14:paraId="2BC586ED">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_GB2312" w:cs="Times New Roman"/>
                <w:color w:val="auto"/>
                <w:sz w:val="20"/>
                <w:szCs w:val="20"/>
                <w:lang w:val="en-US" w:eastAsia="zh-CN"/>
              </w:rPr>
              <w:t>0.00</w:t>
            </w:r>
            <w:r>
              <w:rPr>
                <w:rFonts w:ascii="Times New Roman" w:hAnsi="Times New Roman" w:eastAsia="仿宋_GB2312" w:cs="Times New Roman"/>
                <w:color w:val="auto"/>
                <w:sz w:val="20"/>
                <w:szCs w:val="20"/>
              </w:rPr>
              <w:t>　</w:t>
            </w:r>
          </w:p>
        </w:tc>
        <w:tc>
          <w:tcPr>
            <w:tcW w:w="2197" w:type="dxa"/>
            <w:gridSpan w:val="2"/>
            <w:vAlign w:val="center"/>
          </w:tcPr>
          <w:p w14:paraId="12C2B250">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30B4FB85">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6EB46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D7CB3BE">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shd w:val="clear" w:color="auto" w:fill="auto"/>
            <w:vAlign w:val="center"/>
          </w:tcPr>
          <w:p w14:paraId="608955EB">
            <w:pPr>
              <w:widowControl/>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_GB2312" w:cs="Times New Roman"/>
                <w:sz w:val="20"/>
                <w:szCs w:val="20"/>
                <w:lang w:val="en-US" w:eastAsia="zh-CN"/>
              </w:rPr>
              <w:t>4.21</w:t>
            </w:r>
            <w:r>
              <w:rPr>
                <w:rFonts w:ascii="Times New Roman" w:hAnsi="Times New Roman" w:eastAsia="仿宋_GB2312" w:cs="Times New Roman"/>
                <w:sz w:val="20"/>
                <w:szCs w:val="20"/>
              </w:rPr>
              <w:t>　</w:t>
            </w:r>
          </w:p>
        </w:tc>
        <w:tc>
          <w:tcPr>
            <w:tcW w:w="2197" w:type="dxa"/>
            <w:gridSpan w:val="2"/>
            <w:vAlign w:val="center"/>
          </w:tcPr>
          <w:p w14:paraId="421E89B0">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644C908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3.12</w:t>
            </w:r>
          </w:p>
        </w:tc>
      </w:tr>
      <w:tr w14:paraId="73909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802AC4">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vAlign w:val="center"/>
          </w:tcPr>
          <w:p w14:paraId="4DF90DD1">
            <w:pPr>
              <w:widowControl/>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_GB2312" w:cs="Times New Roman"/>
                <w:sz w:val="20"/>
                <w:szCs w:val="20"/>
                <w:lang w:val="en-US" w:eastAsia="zh-CN"/>
              </w:rPr>
              <w:t>150.99</w:t>
            </w:r>
          </w:p>
        </w:tc>
        <w:tc>
          <w:tcPr>
            <w:tcW w:w="2197" w:type="dxa"/>
            <w:gridSpan w:val="2"/>
            <w:vAlign w:val="center"/>
          </w:tcPr>
          <w:p w14:paraId="31DA7037">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5E97D04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123.79</w:t>
            </w:r>
          </w:p>
        </w:tc>
      </w:tr>
      <w:tr w14:paraId="264DD1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0F430FC0">
            <w:pPr>
              <w:pStyle w:val="9"/>
              <w:spacing w:line="269" w:lineRule="auto"/>
              <w:rPr>
                <w:lang w:eastAsia="zh-CN"/>
              </w:rPr>
            </w:pPr>
          </w:p>
          <w:p w14:paraId="3F374745">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196A90D8">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14F96B8A">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65D8E5A2">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09AA87D">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30527082">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67C3EB06">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19CB67F9">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0767EE2D">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79EA3107">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7BB728D5">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6BD6D519">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747FD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1C819978">
            <w:pPr>
              <w:pStyle w:val="9"/>
            </w:pPr>
          </w:p>
        </w:tc>
        <w:tc>
          <w:tcPr>
            <w:tcW w:w="1169" w:type="dxa"/>
          </w:tcPr>
          <w:p w14:paraId="3AF61B00">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849" w:type="dxa"/>
          </w:tcPr>
          <w:p w14:paraId="622FE38B">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1109" w:type="dxa"/>
          </w:tcPr>
          <w:p w14:paraId="34384586">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1088" w:type="dxa"/>
          </w:tcPr>
          <w:p w14:paraId="7B270C63">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969" w:type="dxa"/>
          </w:tcPr>
          <w:p w14:paraId="31130EA2">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874" w:type="dxa"/>
          </w:tcPr>
          <w:p w14:paraId="52B9DD21">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r>
      <w:tr w14:paraId="54252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30D82BEC">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6F2EB643">
            <w:pPr>
              <w:pStyle w:val="9"/>
              <w:rPr>
                <w:rFonts w:hint="eastAsia" w:eastAsia="宋体"/>
                <w:lang w:eastAsia="zh-CN"/>
              </w:rPr>
            </w:pPr>
            <w:r>
              <w:rPr>
                <w:rFonts w:hint="eastAsia"/>
              </w:rPr>
              <w:t>严格控制差旅费、公务接待费、会议费、培训费等支出</w:t>
            </w:r>
            <w:r>
              <w:rPr>
                <w:rFonts w:hint="eastAsia" w:eastAsia="宋体"/>
                <w:lang w:eastAsia="zh-CN"/>
              </w:rPr>
              <w:t>。</w:t>
            </w:r>
          </w:p>
        </w:tc>
      </w:tr>
    </w:tbl>
    <w:p w14:paraId="074B21EB">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1D1B4CC2">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蒲徽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2024.9.30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17369494333</w:t>
      </w:r>
    </w:p>
    <w:p w14:paraId="6B36ACE5">
      <w:pPr>
        <w:spacing w:line="242" w:lineRule="auto"/>
        <w:rPr>
          <w:lang w:eastAsia="zh-CN"/>
        </w:rPr>
      </w:pPr>
    </w:p>
    <w:p w14:paraId="03D88EF8">
      <w:pPr>
        <w:pStyle w:val="2"/>
        <w:spacing w:before="100" w:line="222" w:lineRule="auto"/>
        <w:ind w:left="414"/>
        <w:rPr>
          <w:spacing w:val="15"/>
          <w:sz w:val="24"/>
          <w:szCs w:val="24"/>
          <w:lang w:eastAsia="zh-CN"/>
        </w:rPr>
      </w:pPr>
    </w:p>
    <w:p w14:paraId="2B1611A4">
      <w:pPr>
        <w:pStyle w:val="2"/>
        <w:spacing w:before="100" w:line="222" w:lineRule="auto"/>
        <w:ind w:left="414"/>
        <w:rPr>
          <w:spacing w:val="15"/>
          <w:sz w:val="24"/>
          <w:szCs w:val="24"/>
          <w:lang w:eastAsia="zh-CN"/>
        </w:rPr>
      </w:pPr>
    </w:p>
    <w:p w14:paraId="0288C3BD">
      <w:pPr>
        <w:pStyle w:val="2"/>
        <w:spacing w:before="100" w:line="222" w:lineRule="auto"/>
        <w:ind w:left="414"/>
        <w:rPr>
          <w:sz w:val="24"/>
          <w:szCs w:val="24"/>
          <w:lang w:eastAsia="zh-CN"/>
        </w:rPr>
      </w:pPr>
      <w:r>
        <w:rPr>
          <w:spacing w:val="15"/>
          <w:sz w:val="24"/>
          <w:szCs w:val="24"/>
          <w:lang w:eastAsia="zh-CN"/>
        </w:rPr>
        <w:t>附件1-2</w:t>
      </w:r>
    </w:p>
    <w:p w14:paraId="495B4F98">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8"/>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194"/>
      </w:tblGrid>
      <w:tr w14:paraId="137CC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144" w:type="dxa"/>
          </w:tcPr>
          <w:p w14:paraId="28CE310B">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tcPr>
          <w:p w14:paraId="6C50187A">
            <w:pPr>
              <w:pStyle w:val="9"/>
              <w:rPr>
                <w:rFonts w:hint="eastAsia" w:eastAsia="宋体"/>
                <w:lang w:eastAsia="zh-CN"/>
              </w:rPr>
            </w:pPr>
            <w:r>
              <w:rPr>
                <w:rFonts w:hint="eastAsia" w:eastAsia="宋体"/>
                <w:lang w:eastAsia="zh-CN"/>
              </w:rPr>
              <w:t>怀化市鹤城区档案馆</w:t>
            </w:r>
          </w:p>
        </w:tc>
      </w:tr>
      <w:tr w14:paraId="699F6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50D9431">
            <w:pPr>
              <w:pStyle w:val="9"/>
              <w:spacing w:line="244" w:lineRule="auto"/>
            </w:pPr>
          </w:p>
          <w:p w14:paraId="4C94DBB8">
            <w:pPr>
              <w:pStyle w:val="9"/>
              <w:spacing w:line="244" w:lineRule="auto"/>
            </w:pPr>
          </w:p>
          <w:p w14:paraId="4C22F7C5">
            <w:pPr>
              <w:pStyle w:val="9"/>
              <w:spacing w:line="245" w:lineRule="auto"/>
            </w:pPr>
          </w:p>
          <w:p w14:paraId="62EA80B7">
            <w:pPr>
              <w:pStyle w:val="9"/>
              <w:spacing w:line="245" w:lineRule="auto"/>
            </w:pPr>
          </w:p>
          <w:p w14:paraId="1276F76F">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4508E872">
            <w:pPr>
              <w:pStyle w:val="9"/>
            </w:pPr>
          </w:p>
        </w:tc>
        <w:tc>
          <w:tcPr>
            <w:tcW w:w="1039" w:type="dxa"/>
          </w:tcPr>
          <w:p w14:paraId="5B84E579">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2D636BC1">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2BF75239">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560746A7">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686D0C28">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94" w:type="dxa"/>
          </w:tcPr>
          <w:p w14:paraId="7722EB5B">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4FB13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1B858BE0">
            <w:pPr>
              <w:pStyle w:val="9"/>
            </w:pPr>
          </w:p>
        </w:tc>
        <w:tc>
          <w:tcPr>
            <w:tcW w:w="2278" w:type="dxa"/>
            <w:gridSpan w:val="2"/>
          </w:tcPr>
          <w:p w14:paraId="69C6B651">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vAlign w:val="center"/>
          </w:tcPr>
          <w:p w14:paraId="4314FA1C">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161.49</w:t>
            </w:r>
          </w:p>
        </w:tc>
        <w:tc>
          <w:tcPr>
            <w:tcW w:w="1288" w:type="dxa"/>
            <w:vAlign w:val="center"/>
          </w:tcPr>
          <w:p w14:paraId="227F35DF">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136.26</w:t>
            </w:r>
          </w:p>
        </w:tc>
        <w:tc>
          <w:tcPr>
            <w:tcW w:w="1129" w:type="dxa"/>
            <w:vAlign w:val="center"/>
          </w:tcPr>
          <w:p w14:paraId="1364AFDC">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136.26</w:t>
            </w:r>
          </w:p>
        </w:tc>
        <w:tc>
          <w:tcPr>
            <w:tcW w:w="699" w:type="dxa"/>
            <w:vAlign w:val="center"/>
          </w:tcPr>
          <w:p w14:paraId="21307FE5">
            <w:pPr>
              <w:spacing w:before="120" w:line="184" w:lineRule="auto"/>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w:t>
            </w:r>
          </w:p>
        </w:tc>
        <w:tc>
          <w:tcPr>
            <w:tcW w:w="449" w:type="dxa"/>
            <w:vAlign w:val="center"/>
          </w:tcPr>
          <w:p w14:paraId="6F3D297D">
            <w:pPr>
              <w:pStyle w:val="9"/>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100%</w:t>
            </w:r>
          </w:p>
        </w:tc>
        <w:tc>
          <w:tcPr>
            <w:tcW w:w="1194" w:type="dxa"/>
            <w:vAlign w:val="center"/>
          </w:tcPr>
          <w:p w14:paraId="1BB0DA2D">
            <w:pPr>
              <w:pStyle w:val="9"/>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w:t>
            </w:r>
          </w:p>
        </w:tc>
      </w:tr>
      <w:tr w14:paraId="21C3B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3F5B6FE4">
            <w:pPr>
              <w:pStyle w:val="9"/>
            </w:pPr>
          </w:p>
        </w:tc>
        <w:tc>
          <w:tcPr>
            <w:tcW w:w="4605" w:type="dxa"/>
            <w:gridSpan w:val="4"/>
          </w:tcPr>
          <w:p w14:paraId="5B0A352D">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tcPr>
          <w:p w14:paraId="228D0B50">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61654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9DC675D">
            <w:pPr>
              <w:pStyle w:val="9"/>
            </w:pPr>
          </w:p>
        </w:tc>
        <w:tc>
          <w:tcPr>
            <w:tcW w:w="4605" w:type="dxa"/>
            <w:gridSpan w:val="4"/>
          </w:tcPr>
          <w:p w14:paraId="67A44E11">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eastAsia="zh-CN"/>
              </w:rPr>
              <w:t>134.57</w:t>
            </w:r>
          </w:p>
        </w:tc>
        <w:tc>
          <w:tcPr>
            <w:tcW w:w="3471" w:type="dxa"/>
            <w:gridSpan w:val="4"/>
          </w:tcPr>
          <w:p w14:paraId="353CC9AC">
            <w:pPr>
              <w:spacing w:before="68" w:line="219" w:lineRule="auto"/>
              <w:ind w:left="95"/>
              <w:rPr>
                <w:rFonts w:ascii="宋体" w:hAnsi="宋体" w:eastAsia="宋体" w:cs="宋体"/>
                <w:sz w:val="20"/>
                <w:szCs w:val="20"/>
              </w:rPr>
            </w:pPr>
            <w:r>
              <w:rPr>
                <w:rFonts w:ascii="宋体" w:hAnsi="宋体" w:eastAsia="宋体" w:cs="宋体"/>
                <w:sz w:val="20"/>
                <w:szCs w:val="20"/>
              </w:rPr>
              <w:t>其中：基本支出：</w:t>
            </w:r>
            <w:r>
              <w:rPr>
                <w:rFonts w:hint="eastAsia" w:ascii="宋体" w:hAnsi="宋体" w:eastAsia="宋体" w:cs="宋体"/>
                <w:sz w:val="20"/>
                <w:szCs w:val="20"/>
              </w:rPr>
              <w:t>123.79</w:t>
            </w:r>
          </w:p>
        </w:tc>
      </w:tr>
      <w:tr w14:paraId="3EE6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56C0ED3E">
            <w:pPr>
              <w:pStyle w:val="9"/>
            </w:pPr>
          </w:p>
        </w:tc>
        <w:tc>
          <w:tcPr>
            <w:tcW w:w="4605" w:type="dxa"/>
            <w:gridSpan w:val="4"/>
          </w:tcPr>
          <w:p w14:paraId="391ADB14">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tcPr>
          <w:p w14:paraId="52AE0575">
            <w:pPr>
              <w:spacing w:before="70" w:line="220" w:lineRule="auto"/>
              <w:ind w:left="715"/>
              <w:rPr>
                <w:rFonts w:hint="eastAsia"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rPr>
              <w:t>12.47</w:t>
            </w:r>
          </w:p>
        </w:tc>
      </w:tr>
      <w:tr w14:paraId="326C7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621A518">
            <w:pPr>
              <w:pStyle w:val="9"/>
            </w:pPr>
          </w:p>
        </w:tc>
        <w:tc>
          <w:tcPr>
            <w:tcW w:w="4605" w:type="dxa"/>
            <w:gridSpan w:val="4"/>
          </w:tcPr>
          <w:p w14:paraId="0D9C5AD4">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tcPr>
          <w:p w14:paraId="47566689">
            <w:pPr>
              <w:pStyle w:val="9"/>
              <w:rPr>
                <w:lang w:eastAsia="zh-CN"/>
              </w:rPr>
            </w:pPr>
          </w:p>
        </w:tc>
      </w:tr>
      <w:tr w14:paraId="4DA89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597025F2">
            <w:pPr>
              <w:pStyle w:val="9"/>
              <w:rPr>
                <w:lang w:eastAsia="zh-CN"/>
              </w:rPr>
            </w:pPr>
          </w:p>
        </w:tc>
        <w:tc>
          <w:tcPr>
            <w:tcW w:w="4605" w:type="dxa"/>
            <w:gridSpan w:val="4"/>
          </w:tcPr>
          <w:p w14:paraId="365B6EE3">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r>
              <w:rPr>
                <w:rFonts w:hint="eastAsia" w:ascii="宋体" w:hAnsi="宋体" w:eastAsia="宋体" w:cs="宋体"/>
                <w:spacing w:val="-1"/>
                <w:sz w:val="20"/>
                <w:szCs w:val="20"/>
              </w:rPr>
              <w:t>1.69</w:t>
            </w:r>
          </w:p>
        </w:tc>
        <w:tc>
          <w:tcPr>
            <w:tcW w:w="3471" w:type="dxa"/>
            <w:gridSpan w:val="4"/>
          </w:tcPr>
          <w:p w14:paraId="3BFB2068">
            <w:pPr>
              <w:pStyle w:val="9"/>
            </w:pPr>
          </w:p>
        </w:tc>
      </w:tr>
      <w:tr w14:paraId="612E2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2CA80833">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21F22C7E">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tcPr>
          <w:p w14:paraId="131643B9">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32C4A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253B7732">
            <w:pPr>
              <w:pStyle w:val="9"/>
            </w:pPr>
          </w:p>
        </w:tc>
        <w:tc>
          <w:tcPr>
            <w:tcW w:w="4605" w:type="dxa"/>
            <w:gridSpan w:val="4"/>
          </w:tcPr>
          <w:p w14:paraId="3A4EEAD1">
            <w:pPr>
              <w:pStyle w:val="9"/>
              <w:spacing w:line="230" w:lineRule="exact"/>
              <w:rPr>
                <w:sz w:val="20"/>
              </w:rPr>
            </w:pPr>
            <w:r>
              <w:rPr>
                <w:rFonts w:hint="eastAsia"/>
                <w:sz w:val="20"/>
              </w:rPr>
              <w:t>对馆藏档案、资料尤其是馆藏国家重点档案，统筹规划、精心组织、做好抢救和保管保护工作，完成档案移交和接收年度计划。推进档案馆档案信息化建设。　</w:t>
            </w:r>
          </w:p>
        </w:tc>
        <w:tc>
          <w:tcPr>
            <w:tcW w:w="3471" w:type="dxa"/>
            <w:gridSpan w:val="4"/>
          </w:tcPr>
          <w:p w14:paraId="082B1EFD">
            <w:pPr>
              <w:pStyle w:val="9"/>
              <w:spacing w:line="230" w:lineRule="exact"/>
              <w:rPr>
                <w:sz w:val="20"/>
              </w:rPr>
            </w:pPr>
            <w:r>
              <w:rPr>
                <w:rFonts w:hint="eastAsia"/>
                <w:sz w:val="20"/>
              </w:rPr>
              <w:t>2023年，区档案馆认真落实区委和区政府的各项工作部署和要求，加强领导班子和档案工作队伍建设，巩固党风廉政建设，发扬档案工作人员能吃苦、甘寂寞、艰苦朴素的优良传统，克服全区档案工作人员和经费不足等困难，以档案管理规范化、科学化和信息化建设为中心，加强业务建设和做好查阅服务工作，较好地完成了全年各项工作任务。</w:t>
            </w:r>
          </w:p>
        </w:tc>
      </w:tr>
      <w:tr w14:paraId="1A1A7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top w:val="single" w:color="auto" w:sz="4" w:space="0"/>
              <w:left w:val="single" w:color="auto" w:sz="4" w:space="0"/>
              <w:bottom w:val="nil"/>
            </w:tcBorders>
            <w:textDirection w:val="tbRlV"/>
          </w:tcPr>
          <w:p w14:paraId="219AB68D">
            <w:pPr>
              <w:pStyle w:val="9"/>
              <w:spacing w:line="396" w:lineRule="auto"/>
            </w:pPr>
          </w:p>
          <w:p w14:paraId="2C0A9ABA">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Borders>
              <w:top w:val="single" w:color="auto" w:sz="4" w:space="0"/>
              <w:right w:val="single" w:color="auto" w:sz="4" w:space="0"/>
            </w:tcBorders>
          </w:tcPr>
          <w:p w14:paraId="1C6D9D6B">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Borders>
              <w:left w:val="single" w:color="auto" w:sz="4" w:space="0"/>
            </w:tcBorders>
          </w:tcPr>
          <w:p w14:paraId="46336658">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247CB1F4">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12A71753">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2192823E">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0EF084CB">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241C9BF5">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194" w:type="dxa"/>
          </w:tcPr>
          <w:p w14:paraId="2901E1F6">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6BD4A866">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7D73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left w:val="single" w:color="auto" w:sz="4" w:space="0"/>
              <w:bottom w:val="nil"/>
            </w:tcBorders>
            <w:textDirection w:val="tbRlV"/>
          </w:tcPr>
          <w:p w14:paraId="4BA1FB81">
            <w:pPr>
              <w:pStyle w:val="9"/>
              <w:rPr>
                <w:lang w:eastAsia="zh-CN"/>
              </w:rPr>
            </w:pPr>
          </w:p>
        </w:tc>
        <w:tc>
          <w:tcPr>
            <w:tcW w:w="1169" w:type="dxa"/>
            <w:vMerge w:val="restart"/>
            <w:tcBorders>
              <w:bottom w:val="nil"/>
              <w:right w:val="single" w:color="auto" w:sz="4" w:space="0"/>
            </w:tcBorders>
          </w:tcPr>
          <w:p w14:paraId="26A23CC4">
            <w:pPr>
              <w:pStyle w:val="9"/>
              <w:spacing w:line="277" w:lineRule="auto"/>
              <w:rPr>
                <w:lang w:eastAsia="zh-CN"/>
              </w:rPr>
            </w:pPr>
          </w:p>
          <w:p w14:paraId="7A9E2361">
            <w:pPr>
              <w:pStyle w:val="9"/>
              <w:spacing w:line="277" w:lineRule="auto"/>
              <w:rPr>
                <w:lang w:eastAsia="zh-CN"/>
              </w:rPr>
            </w:pPr>
          </w:p>
          <w:p w14:paraId="07977815">
            <w:pPr>
              <w:pStyle w:val="9"/>
              <w:spacing w:line="278" w:lineRule="auto"/>
              <w:rPr>
                <w:lang w:eastAsia="zh-CN"/>
              </w:rPr>
            </w:pPr>
          </w:p>
          <w:p w14:paraId="00298A6F">
            <w:pPr>
              <w:pStyle w:val="9"/>
              <w:spacing w:line="278" w:lineRule="auto"/>
              <w:rPr>
                <w:lang w:eastAsia="zh-CN"/>
              </w:rPr>
            </w:pPr>
          </w:p>
          <w:p w14:paraId="63DC7D6C">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333CD3AC">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vMerge w:val="restart"/>
            <w:tcBorders>
              <w:left w:val="single" w:color="auto" w:sz="4" w:space="0"/>
              <w:bottom w:val="nil"/>
            </w:tcBorders>
          </w:tcPr>
          <w:p w14:paraId="54F581DE">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tcPr>
          <w:p w14:paraId="5FC07E85">
            <w:pPr>
              <w:pStyle w:val="9"/>
              <w:rPr>
                <w:rFonts w:hint="eastAsia" w:ascii="宋体" w:hAnsi="宋体" w:eastAsia="宋体" w:cs="宋体"/>
                <w:sz w:val="20"/>
                <w:szCs w:val="20"/>
                <w:lang w:eastAsia="zh-CN"/>
              </w:rPr>
            </w:pPr>
            <w:r>
              <w:rPr>
                <w:rFonts w:hint="eastAsia" w:ascii="宋体" w:hAnsi="宋体" w:eastAsia="宋体" w:cs="宋体"/>
                <w:sz w:val="20"/>
                <w:szCs w:val="20"/>
                <w:lang w:eastAsia="zh-CN"/>
              </w:rPr>
              <w:t>档案移交和接收工作完成率</w:t>
            </w:r>
          </w:p>
        </w:tc>
        <w:tc>
          <w:tcPr>
            <w:tcW w:w="1288" w:type="dxa"/>
            <w:vAlign w:val="center"/>
          </w:tcPr>
          <w:p w14:paraId="60D5EA22">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129" w:type="dxa"/>
            <w:shd w:val="clear" w:color="auto" w:fill="auto"/>
            <w:vAlign w:val="center"/>
          </w:tcPr>
          <w:p w14:paraId="45C8A084">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99" w:type="dxa"/>
            <w:vAlign w:val="center"/>
          </w:tcPr>
          <w:p w14:paraId="56D27426">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1334C825">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08A0A329">
            <w:pPr>
              <w:pStyle w:val="9"/>
              <w:jc w:val="center"/>
              <w:rPr>
                <w:rFonts w:hint="eastAsia" w:ascii="宋体" w:hAnsi="宋体" w:eastAsia="宋体" w:cs="宋体"/>
                <w:sz w:val="20"/>
                <w:szCs w:val="20"/>
              </w:rPr>
            </w:pPr>
          </w:p>
        </w:tc>
      </w:tr>
      <w:tr w14:paraId="7B34A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78BB6628">
            <w:pPr>
              <w:pStyle w:val="9"/>
            </w:pPr>
          </w:p>
        </w:tc>
        <w:tc>
          <w:tcPr>
            <w:tcW w:w="1169" w:type="dxa"/>
            <w:vMerge w:val="continue"/>
            <w:tcBorders>
              <w:top w:val="nil"/>
              <w:bottom w:val="nil"/>
              <w:right w:val="single" w:color="auto" w:sz="4" w:space="0"/>
            </w:tcBorders>
          </w:tcPr>
          <w:p w14:paraId="402D5B02">
            <w:pPr>
              <w:pStyle w:val="9"/>
            </w:pPr>
          </w:p>
        </w:tc>
        <w:tc>
          <w:tcPr>
            <w:tcW w:w="1109" w:type="dxa"/>
            <w:vMerge w:val="continue"/>
            <w:tcBorders>
              <w:top w:val="nil"/>
              <w:left w:val="single" w:color="auto" w:sz="4" w:space="0"/>
            </w:tcBorders>
          </w:tcPr>
          <w:p w14:paraId="786CB1F1">
            <w:pPr>
              <w:pStyle w:val="9"/>
            </w:pPr>
          </w:p>
        </w:tc>
        <w:tc>
          <w:tcPr>
            <w:tcW w:w="1039" w:type="dxa"/>
          </w:tcPr>
          <w:p w14:paraId="4D46469C">
            <w:pPr>
              <w:pStyle w:val="9"/>
              <w:rPr>
                <w:rFonts w:hint="eastAsia" w:ascii="宋体" w:hAnsi="宋体" w:eastAsia="宋体" w:cs="宋体"/>
                <w:sz w:val="20"/>
                <w:szCs w:val="20"/>
              </w:rPr>
            </w:pPr>
          </w:p>
        </w:tc>
        <w:tc>
          <w:tcPr>
            <w:tcW w:w="1288" w:type="dxa"/>
            <w:vAlign w:val="center"/>
          </w:tcPr>
          <w:p w14:paraId="1383AD8C">
            <w:pPr>
              <w:pStyle w:val="9"/>
              <w:jc w:val="center"/>
              <w:rPr>
                <w:rFonts w:hint="eastAsia" w:ascii="宋体" w:hAnsi="宋体" w:eastAsia="宋体" w:cs="宋体"/>
                <w:sz w:val="20"/>
                <w:szCs w:val="20"/>
              </w:rPr>
            </w:pPr>
          </w:p>
        </w:tc>
        <w:tc>
          <w:tcPr>
            <w:tcW w:w="1129" w:type="dxa"/>
            <w:shd w:val="clear" w:color="auto" w:fill="auto"/>
            <w:vAlign w:val="center"/>
          </w:tcPr>
          <w:p w14:paraId="0435991A">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7A5F8E51">
            <w:pPr>
              <w:pStyle w:val="9"/>
              <w:jc w:val="center"/>
              <w:rPr>
                <w:rFonts w:hint="eastAsia" w:ascii="宋体" w:hAnsi="宋体" w:eastAsia="宋体" w:cs="宋体"/>
                <w:sz w:val="20"/>
                <w:szCs w:val="20"/>
              </w:rPr>
            </w:pPr>
          </w:p>
        </w:tc>
        <w:tc>
          <w:tcPr>
            <w:tcW w:w="449" w:type="dxa"/>
            <w:vAlign w:val="center"/>
          </w:tcPr>
          <w:p w14:paraId="04D8A46E">
            <w:pPr>
              <w:pStyle w:val="9"/>
              <w:jc w:val="center"/>
              <w:rPr>
                <w:rFonts w:hint="eastAsia" w:ascii="宋体" w:hAnsi="宋体" w:eastAsia="宋体" w:cs="宋体"/>
                <w:sz w:val="20"/>
                <w:szCs w:val="20"/>
              </w:rPr>
            </w:pPr>
          </w:p>
        </w:tc>
        <w:tc>
          <w:tcPr>
            <w:tcW w:w="1194" w:type="dxa"/>
            <w:vAlign w:val="center"/>
          </w:tcPr>
          <w:p w14:paraId="2381C896">
            <w:pPr>
              <w:pStyle w:val="9"/>
              <w:jc w:val="center"/>
              <w:rPr>
                <w:rFonts w:hint="eastAsia" w:ascii="宋体" w:hAnsi="宋体" w:eastAsia="宋体" w:cs="宋体"/>
                <w:sz w:val="20"/>
                <w:szCs w:val="20"/>
              </w:rPr>
            </w:pPr>
          </w:p>
        </w:tc>
      </w:tr>
      <w:tr w14:paraId="77DE0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nil"/>
            </w:tcBorders>
            <w:textDirection w:val="tbRlV"/>
          </w:tcPr>
          <w:p w14:paraId="4F889739">
            <w:pPr>
              <w:pStyle w:val="9"/>
            </w:pPr>
          </w:p>
        </w:tc>
        <w:tc>
          <w:tcPr>
            <w:tcW w:w="1169" w:type="dxa"/>
            <w:vMerge w:val="continue"/>
            <w:tcBorders>
              <w:top w:val="nil"/>
              <w:bottom w:val="nil"/>
              <w:right w:val="single" w:color="auto" w:sz="4" w:space="0"/>
            </w:tcBorders>
          </w:tcPr>
          <w:p w14:paraId="614661D4">
            <w:pPr>
              <w:pStyle w:val="9"/>
            </w:pPr>
          </w:p>
        </w:tc>
        <w:tc>
          <w:tcPr>
            <w:tcW w:w="1109" w:type="dxa"/>
            <w:vMerge w:val="restart"/>
            <w:tcBorders>
              <w:left w:val="single" w:color="auto" w:sz="4" w:space="0"/>
              <w:bottom w:val="nil"/>
            </w:tcBorders>
          </w:tcPr>
          <w:p w14:paraId="70BE7FA0">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tcPr>
          <w:p w14:paraId="6847C7E2">
            <w:pPr>
              <w:pStyle w:val="9"/>
              <w:rPr>
                <w:rFonts w:hint="eastAsia" w:ascii="宋体" w:hAnsi="宋体" w:eastAsia="宋体" w:cs="宋体"/>
                <w:sz w:val="20"/>
                <w:szCs w:val="20"/>
              </w:rPr>
            </w:pPr>
            <w:r>
              <w:rPr>
                <w:rFonts w:hint="eastAsia" w:ascii="宋体" w:hAnsi="宋体" w:eastAsia="宋体" w:cs="宋体"/>
                <w:sz w:val="20"/>
                <w:szCs w:val="20"/>
              </w:rPr>
              <w:t>档案保管质量完好率</w:t>
            </w:r>
          </w:p>
        </w:tc>
        <w:tc>
          <w:tcPr>
            <w:tcW w:w="1288" w:type="dxa"/>
            <w:vAlign w:val="center"/>
          </w:tcPr>
          <w:p w14:paraId="7354E378">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129" w:type="dxa"/>
            <w:shd w:val="clear" w:color="auto" w:fill="auto"/>
            <w:vAlign w:val="center"/>
          </w:tcPr>
          <w:p w14:paraId="4D1CD67C">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99" w:type="dxa"/>
            <w:vAlign w:val="center"/>
          </w:tcPr>
          <w:p w14:paraId="1A22F522">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449" w:type="dxa"/>
            <w:vAlign w:val="center"/>
          </w:tcPr>
          <w:p w14:paraId="46B1994D">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194" w:type="dxa"/>
            <w:vAlign w:val="center"/>
          </w:tcPr>
          <w:p w14:paraId="4C7B0FE2">
            <w:pPr>
              <w:pStyle w:val="9"/>
              <w:jc w:val="center"/>
              <w:rPr>
                <w:rFonts w:hint="eastAsia" w:ascii="宋体" w:hAnsi="宋体" w:eastAsia="宋体" w:cs="宋体"/>
                <w:sz w:val="20"/>
                <w:szCs w:val="20"/>
              </w:rPr>
            </w:pPr>
          </w:p>
        </w:tc>
      </w:tr>
      <w:tr w14:paraId="58F1B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0B004586">
            <w:pPr>
              <w:pStyle w:val="9"/>
            </w:pPr>
          </w:p>
        </w:tc>
        <w:tc>
          <w:tcPr>
            <w:tcW w:w="1169" w:type="dxa"/>
            <w:vMerge w:val="continue"/>
            <w:tcBorders>
              <w:top w:val="nil"/>
              <w:bottom w:val="nil"/>
              <w:right w:val="single" w:color="auto" w:sz="4" w:space="0"/>
            </w:tcBorders>
          </w:tcPr>
          <w:p w14:paraId="39D30229">
            <w:pPr>
              <w:pStyle w:val="9"/>
            </w:pPr>
          </w:p>
        </w:tc>
        <w:tc>
          <w:tcPr>
            <w:tcW w:w="1109" w:type="dxa"/>
            <w:vMerge w:val="continue"/>
            <w:tcBorders>
              <w:top w:val="nil"/>
              <w:left w:val="single" w:color="auto" w:sz="4" w:space="0"/>
            </w:tcBorders>
          </w:tcPr>
          <w:p w14:paraId="0DFEE8F7">
            <w:pPr>
              <w:pStyle w:val="9"/>
            </w:pPr>
          </w:p>
        </w:tc>
        <w:tc>
          <w:tcPr>
            <w:tcW w:w="1039" w:type="dxa"/>
          </w:tcPr>
          <w:p w14:paraId="7E27B1A9">
            <w:pPr>
              <w:pStyle w:val="9"/>
              <w:rPr>
                <w:rFonts w:hint="eastAsia" w:ascii="宋体" w:hAnsi="宋体" w:eastAsia="宋体" w:cs="宋体"/>
                <w:sz w:val="20"/>
                <w:szCs w:val="20"/>
              </w:rPr>
            </w:pPr>
          </w:p>
        </w:tc>
        <w:tc>
          <w:tcPr>
            <w:tcW w:w="1288" w:type="dxa"/>
            <w:vAlign w:val="center"/>
          </w:tcPr>
          <w:p w14:paraId="01DAA7BF">
            <w:pPr>
              <w:pStyle w:val="9"/>
              <w:jc w:val="both"/>
              <w:rPr>
                <w:rFonts w:hint="eastAsia" w:ascii="宋体" w:hAnsi="宋体" w:eastAsia="宋体" w:cs="宋体"/>
                <w:sz w:val="20"/>
                <w:szCs w:val="20"/>
                <w:lang w:val="en-US" w:eastAsia="zh-CN"/>
              </w:rPr>
            </w:pPr>
          </w:p>
        </w:tc>
        <w:tc>
          <w:tcPr>
            <w:tcW w:w="1129" w:type="dxa"/>
            <w:shd w:val="clear" w:color="auto" w:fill="auto"/>
            <w:vAlign w:val="center"/>
          </w:tcPr>
          <w:p w14:paraId="44643740">
            <w:pPr>
              <w:pStyle w:val="9"/>
              <w:jc w:val="center"/>
              <w:rPr>
                <w:rFonts w:hint="default" w:ascii="宋体" w:hAnsi="宋体" w:eastAsia="宋体" w:cs="宋体"/>
                <w:snapToGrid w:val="0"/>
                <w:color w:val="000000"/>
                <w:sz w:val="20"/>
                <w:szCs w:val="20"/>
                <w:lang w:val="en-US" w:eastAsia="zh-CN" w:bidi="ar-SA"/>
              </w:rPr>
            </w:pPr>
          </w:p>
        </w:tc>
        <w:tc>
          <w:tcPr>
            <w:tcW w:w="699" w:type="dxa"/>
            <w:vAlign w:val="center"/>
          </w:tcPr>
          <w:p w14:paraId="7F0FA5F3">
            <w:pPr>
              <w:pStyle w:val="9"/>
              <w:jc w:val="center"/>
              <w:rPr>
                <w:rFonts w:hint="eastAsia" w:ascii="宋体" w:hAnsi="宋体" w:eastAsia="宋体" w:cs="宋体"/>
                <w:sz w:val="20"/>
                <w:szCs w:val="20"/>
                <w:lang w:val="en-US" w:eastAsia="zh-CN"/>
              </w:rPr>
            </w:pPr>
          </w:p>
        </w:tc>
        <w:tc>
          <w:tcPr>
            <w:tcW w:w="449" w:type="dxa"/>
            <w:vAlign w:val="center"/>
          </w:tcPr>
          <w:p w14:paraId="5432EC3E">
            <w:pPr>
              <w:pStyle w:val="9"/>
              <w:jc w:val="center"/>
              <w:rPr>
                <w:rFonts w:hint="eastAsia" w:ascii="宋体" w:hAnsi="宋体" w:eastAsia="宋体" w:cs="宋体"/>
                <w:sz w:val="20"/>
                <w:szCs w:val="20"/>
                <w:lang w:val="en-US" w:eastAsia="zh-CN"/>
              </w:rPr>
            </w:pPr>
          </w:p>
        </w:tc>
        <w:tc>
          <w:tcPr>
            <w:tcW w:w="1194" w:type="dxa"/>
            <w:vAlign w:val="center"/>
          </w:tcPr>
          <w:p w14:paraId="3D3F1AC6">
            <w:pPr>
              <w:pStyle w:val="9"/>
              <w:jc w:val="center"/>
              <w:rPr>
                <w:rFonts w:hint="eastAsia" w:ascii="宋体" w:hAnsi="宋体" w:eastAsia="宋体" w:cs="宋体"/>
                <w:sz w:val="20"/>
                <w:szCs w:val="20"/>
              </w:rPr>
            </w:pPr>
          </w:p>
        </w:tc>
      </w:tr>
      <w:tr w14:paraId="204B0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24CD8893">
            <w:pPr>
              <w:pStyle w:val="9"/>
            </w:pPr>
          </w:p>
        </w:tc>
        <w:tc>
          <w:tcPr>
            <w:tcW w:w="1169" w:type="dxa"/>
            <w:vMerge w:val="continue"/>
            <w:tcBorders>
              <w:top w:val="nil"/>
              <w:bottom w:val="nil"/>
              <w:right w:val="single" w:color="auto" w:sz="4" w:space="0"/>
            </w:tcBorders>
          </w:tcPr>
          <w:p w14:paraId="7604A1F9">
            <w:pPr>
              <w:pStyle w:val="9"/>
            </w:pPr>
          </w:p>
        </w:tc>
        <w:tc>
          <w:tcPr>
            <w:tcW w:w="1109" w:type="dxa"/>
            <w:vMerge w:val="restart"/>
            <w:tcBorders>
              <w:left w:val="single" w:color="auto" w:sz="4" w:space="0"/>
              <w:bottom w:val="nil"/>
            </w:tcBorders>
          </w:tcPr>
          <w:p w14:paraId="16663B75">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tcPr>
          <w:p w14:paraId="5C2ECCBF">
            <w:pPr>
              <w:pStyle w:val="9"/>
              <w:rPr>
                <w:rFonts w:hint="eastAsia" w:ascii="宋体" w:hAnsi="宋体" w:eastAsia="宋体" w:cs="宋体"/>
                <w:sz w:val="20"/>
                <w:szCs w:val="20"/>
              </w:rPr>
            </w:pPr>
            <w:r>
              <w:rPr>
                <w:rFonts w:hint="eastAsia" w:ascii="宋体" w:hAnsi="宋体" w:eastAsia="宋体" w:cs="宋体"/>
                <w:sz w:val="20"/>
                <w:szCs w:val="20"/>
              </w:rPr>
              <w:t>完成及时率</w:t>
            </w:r>
          </w:p>
        </w:tc>
        <w:tc>
          <w:tcPr>
            <w:tcW w:w="1288" w:type="dxa"/>
            <w:vAlign w:val="center"/>
          </w:tcPr>
          <w:p w14:paraId="797240C4">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129" w:type="dxa"/>
            <w:shd w:val="clear" w:color="auto" w:fill="auto"/>
            <w:vAlign w:val="center"/>
          </w:tcPr>
          <w:p w14:paraId="39DF8A14">
            <w:pPr>
              <w:pStyle w:val="9"/>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99" w:type="dxa"/>
            <w:vAlign w:val="center"/>
          </w:tcPr>
          <w:p w14:paraId="6E49E726">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1094EB8F">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3297CE18">
            <w:pPr>
              <w:pStyle w:val="9"/>
              <w:jc w:val="center"/>
              <w:rPr>
                <w:rFonts w:hint="eastAsia" w:ascii="宋体" w:hAnsi="宋体" w:eastAsia="宋体" w:cs="宋体"/>
                <w:sz w:val="20"/>
                <w:szCs w:val="20"/>
              </w:rPr>
            </w:pPr>
          </w:p>
        </w:tc>
      </w:tr>
      <w:tr w14:paraId="25EE3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5C4D2FAC">
            <w:pPr>
              <w:pStyle w:val="9"/>
            </w:pPr>
          </w:p>
        </w:tc>
        <w:tc>
          <w:tcPr>
            <w:tcW w:w="1169" w:type="dxa"/>
            <w:vMerge w:val="continue"/>
            <w:tcBorders>
              <w:top w:val="nil"/>
              <w:bottom w:val="nil"/>
              <w:right w:val="single" w:color="auto" w:sz="4" w:space="0"/>
            </w:tcBorders>
          </w:tcPr>
          <w:p w14:paraId="1EF7FDE0">
            <w:pPr>
              <w:pStyle w:val="9"/>
            </w:pPr>
          </w:p>
        </w:tc>
        <w:tc>
          <w:tcPr>
            <w:tcW w:w="1109" w:type="dxa"/>
            <w:vMerge w:val="continue"/>
            <w:tcBorders>
              <w:top w:val="nil"/>
              <w:left w:val="single" w:color="auto" w:sz="4" w:space="0"/>
            </w:tcBorders>
          </w:tcPr>
          <w:p w14:paraId="77B412EB">
            <w:pPr>
              <w:pStyle w:val="9"/>
            </w:pPr>
          </w:p>
        </w:tc>
        <w:tc>
          <w:tcPr>
            <w:tcW w:w="1039" w:type="dxa"/>
          </w:tcPr>
          <w:p w14:paraId="1BAF87F2">
            <w:pPr>
              <w:pStyle w:val="9"/>
              <w:rPr>
                <w:rFonts w:hint="eastAsia" w:ascii="宋体" w:hAnsi="宋体" w:eastAsia="宋体" w:cs="宋体"/>
                <w:sz w:val="20"/>
                <w:szCs w:val="20"/>
              </w:rPr>
            </w:pPr>
          </w:p>
        </w:tc>
        <w:tc>
          <w:tcPr>
            <w:tcW w:w="1288" w:type="dxa"/>
            <w:vAlign w:val="center"/>
          </w:tcPr>
          <w:p w14:paraId="0EC5BFCD">
            <w:pPr>
              <w:pStyle w:val="9"/>
              <w:jc w:val="center"/>
              <w:rPr>
                <w:rFonts w:hint="eastAsia" w:ascii="宋体" w:hAnsi="宋体" w:eastAsia="宋体" w:cs="宋体"/>
                <w:sz w:val="20"/>
                <w:szCs w:val="20"/>
              </w:rPr>
            </w:pPr>
          </w:p>
        </w:tc>
        <w:tc>
          <w:tcPr>
            <w:tcW w:w="1129" w:type="dxa"/>
            <w:shd w:val="clear" w:color="auto" w:fill="auto"/>
            <w:vAlign w:val="center"/>
          </w:tcPr>
          <w:p w14:paraId="1DBFBFDE">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0950EE86">
            <w:pPr>
              <w:pStyle w:val="9"/>
              <w:jc w:val="center"/>
              <w:rPr>
                <w:rFonts w:hint="eastAsia" w:ascii="宋体" w:hAnsi="宋体" w:eastAsia="宋体" w:cs="宋体"/>
                <w:sz w:val="20"/>
                <w:szCs w:val="20"/>
              </w:rPr>
            </w:pPr>
          </w:p>
        </w:tc>
        <w:tc>
          <w:tcPr>
            <w:tcW w:w="449" w:type="dxa"/>
            <w:vAlign w:val="center"/>
          </w:tcPr>
          <w:p w14:paraId="65A9D549">
            <w:pPr>
              <w:pStyle w:val="9"/>
              <w:jc w:val="center"/>
              <w:rPr>
                <w:rFonts w:hint="eastAsia" w:ascii="宋体" w:hAnsi="宋体" w:eastAsia="宋体" w:cs="宋体"/>
                <w:sz w:val="20"/>
                <w:szCs w:val="20"/>
              </w:rPr>
            </w:pPr>
          </w:p>
        </w:tc>
        <w:tc>
          <w:tcPr>
            <w:tcW w:w="1194" w:type="dxa"/>
            <w:vAlign w:val="center"/>
          </w:tcPr>
          <w:p w14:paraId="5EE81B63">
            <w:pPr>
              <w:pStyle w:val="9"/>
              <w:jc w:val="center"/>
              <w:rPr>
                <w:rFonts w:hint="eastAsia" w:ascii="宋体" w:hAnsi="宋体" w:eastAsia="宋体" w:cs="宋体"/>
                <w:sz w:val="20"/>
                <w:szCs w:val="20"/>
              </w:rPr>
            </w:pPr>
          </w:p>
        </w:tc>
      </w:tr>
      <w:tr w14:paraId="7E520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nil"/>
            </w:tcBorders>
            <w:textDirection w:val="tbRlV"/>
          </w:tcPr>
          <w:p w14:paraId="42DE6B2A">
            <w:pPr>
              <w:pStyle w:val="9"/>
            </w:pPr>
          </w:p>
        </w:tc>
        <w:tc>
          <w:tcPr>
            <w:tcW w:w="1169" w:type="dxa"/>
            <w:vMerge w:val="continue"/>
            <w:tcBorders>
              <w:top w:val="nil"/>
              <w:bottom w:val="nil"/>
              <w:right w:val="single" w:color="auto" w:sz="4" w:space="0"/>
            </w:tcBorders>
          </w:tcPr>
          <w:p w14:paraId="5B78EF9F">
            <w:pPr>
              <w:pStyle w:val="9"/>
            </w:pPr>
          </w:p>
        </w:tc>
        <w:tc>
          <w:tcPr>
            <w:tcW w:w="1109" w:type="dxa"/>
            <w:vMerge w:val="restart"/>
            <w:tcBorders>
              <w:left w:val="single" w:color="auto" w:sz="4" w:space="0"/>
              <w:bottom w:val="nil"/>
            </w:tcBorders>
          </w:tcPr>
          <w:p w14:paraId="43D92211">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tcPr>
          <w:p w14:paraId="41ECB806">
            <w:pPr>
              <w:pStyle w:val="9"/>
              <w:rPr>
                <w:rFonts w:hint="eastAsia" w:ascii="宋体" w:hAnsi="宋体" w:eastAsia="宋体" w:cs="宋体"/>
                <w:sz w:val="20"/>
                <w:szCs w:val="20"/>
              </w:rPr>
            </w:pPr>
            <w:r>
              <w:rPr>
                <w:rFonts w:hint="eastAsia" w:ascii="宋体" w:hAnsi="宋体" w:eastAsia="宋体" w:cs="宋体"/>
                <w:sz w:val="20"/>
                <w:szCs w:val="20"/>
              </w:rPr>
              <w:t>整体支出成本节约率</w:t>
            </w:r>
          </w:p>
        </w:tc>
        <w:tc>
          <w:tcPr>
            <w:tcW w:w="1288" w:type="dxa"/>
            <w:vAlign w:val="center"/>
          </w:tcPr>
          <w:p w14:paraId="3BD96465">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w:t>
            </w:r>
          </w:p>
        </w:tc>
        <w:tc>
          <w:tcPr>
            <w:tcW w:w="1129" w:type="dxa"/>
            <w:shd w:val="clear" w:color="auto" w:fill="auto"/>
            <w:vAlign w:val="center"/>
          </w:tcPr>
          <w:p w14:paraId="78E14571">
            <w:pPr>
              <w:pStyle w:val="9"/>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0%</w:t>
            </w:r>
          </w:p>
        </w:tc>
        <w:tc>
          <w:tcPr>
            <w:tcW w:w="699" w:type="dxa"/>
            <w:vAlign w:val="center"/>
          </w:tcPr>
          <w:p w14:paraId="7FCEA78E">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449" w:type="dxa"/>
            <w:vAlign w:val="center"/>
          </w:tcPr>
          <w:p w14:paraId="0DC4F089">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15</w:t>
            </w:r>
          </w:p>
        </w:tc>
        <w:tc>
          <w:tcPr>
            <w:tcW w:w="1194" w:type="dxa"/>
            <w:vAlign w:val="center"/>
          </w:tcPr>
          <w:p w14:paraId="366DEAA8">
            <w:pPr>
              <w:pStyle w:val="9"/>
              <w:jc w:val="center"/>
              <w:rPr>
                <w:rFonts w:hint="eastAsia" w:ascii="宋体" w:hAnsi="宋体" w:eastAsia="宋体" w:cs="宋体"/>
                <w:sz w:val="20"/>
                <w:szCs w:val="20"/>
              </w:rPr>
            </w:pPr>
          </w:p>
        </w:tc>
      </w:tr>
      <w:tr w14:paraId="774C4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1313F4E1">
            <w:pPr>
              <w:pStyle w:val="9"/>
            </w:pPr>
          </w:p>
        </w:tc>
        <w:tc>
          <w:tcPr>
            <w:tcW w:w="1169" w:type="dxa"/>
            <w:vMerge w:val="continue"/>
            <w:tcBorders>
              <w:top w:val="nil"/>
              <w:right w:val="single" w:color="auto" w:sz="4" w:space="0"/>
            </w:tcBorders>
          </w:tcPr>
          <w:p w14:paraId="5515CA65">
            <w:pPr>
              <w:pStyle w:val="9"/>
            </w:pPr>
          </w:p>
        </w:tc>
        <w:tc>
          <w:tcPr>
            <w:tcW w:w="1109" w:type="dxa"/>
            <w:vMerge w:val="continue"/>
            <w:tcBorders>
              <w:top w:val="nil"/>
              <w:left w:val="single" w:color="auto" w:sz="4" w:space="0"/>
            </w:tcBorders>
          </w:tcPr>
          <w:p w14:paraId="71202744">
            <w:pPr>
              <w:pStyle w:val="9"/>
            </w:pPr>
          </w:p>
        </w:tc>
        <w:tc>
          <w:tcPr>
            <w:tcW w:w="1039" w:type="dxa"/>
          </w:tcPr>
          <w:p w14:paraId="134C6900">
            <w:pPr>
              <w:pStyle w:val="9"/>
              <w:rPr>
                <w:rFonts w:hint="eastAsia" w:ascii="宋体" w:hAnsi="宋体" w:eastAsia="宋体" w:cs="宋体"/>
                <w:sz w:val="20"/>
                <w:szCs w:val="20"/>
              </w:rPr>
            </w:pPr>
          </w:p>
        </w:tc>
        <w:tc>
          <w:tcPr>
            <w:tcW w:w="1288" w:type="dxa"/>
            <w:vAlign w:val="center"/>
          </w:tcPr>
          <w:p w14:paraId="088FEE28">
            <w:pPr>
              <w:pStyle w:val="9"/>
              <w:jc w:val="center"/>
              <w:rPr>
                <w:rFonts w:hint="eastAsia" w:ascii="宋体" w:hAnsi="宋体" w:eastAsia="宋体" w:cs="宋体"/>
                <w:sz w:val="20"/>
                <w:szCs w:val="20"/>
              </w:rPr>
            </w:pPr>
          </w:p>
        </w:tc>
        <w:tc>
          <w:tcPr>
            <w:tcW w:w="1129" w:type="dxa"/>
            <w:shd w:val="clear" w:color="auto" w:fill="auto"/>
            <w:vAlign w:val="center"/>
          </w:tcPr>
          <w:p w14:paraId="1D624D89">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2DE125E2">
            <w:pPr>
              <w:pStyle w:val="9"/>
              <w:jc w:val="center"/>
              <w:rPr>
                <w:rFonts w:hint="eastAsia" w:ascii="宋体" w:hAnsi="宋体" w:eastAsia="宋体" w:cs="宋体"/>
                <w:sz w:val="20"/>
                <w:szCs w:val="20"/>
              </w:rPr>
            </w:pPr>
          </w:p>
        </w:tc>
        <w:tc>
          <w:tcPr>
            <w:tcW w:w="449" w:type="dxa"/>
            <w:vAlign w:val="center"/>
          </w:tcPr>
          <w:p w14:paraId="7B708A56">
            <w:pPr>
              <w:pStyle w:val="9"/>
              <w:jc w:val="center"/>
              <w:rPr>
                <w:rFonts w:hint="eastAsia" w:ascii="宋体" w:hAnsi="宋体" w:eastAsia="宋体" w:cs="宋体"/>
                <w:sz w:val="20"/>
                <w:szCs w:val="20"/>
              </w:rPr>
            </w:pPr>
          </w:p>
        </w:tc>
        <w:tc>
          <w:tcPr>
            <w:tcW w:w="1194" w:type="dxa"/>
            <w:vAlign w:val="center"/>
          </w:tcPr>
          <w:p w14:paraId="0994821A">
            <w:pPr>
              <w:pStyle w:val="9"/>
              <w:jc w:val="center"/>
              <w:rPr>
                <w:rFonts w:hint="eastAsia" w:ascii="宋体" w:hAnsi="宋体" w:eastAsia="宋体" w:cs="宋体"/>
                <w:sz w:val="20"/>
                <w:szCs w:val="20"/>
              </w:rPr>
            </w:pPr>
          </w:p>
        </w:tc>
      </w:tr>
      <w:tr w14:paraId="780B9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single" w:color="auto" w:sz="4" w:space="0"/>
            </w:tcBorders>
            <w:textDirection w:val="tbRlV"/>
          </w:tcPr>
          <w:p w14:paraId="25AB1ADA">
            <w:pPr>
              <w:pStyle w:val="9"/>
            </w:pPr>
          </w:p>
        </w:tc>
        <w:tc>
          <w:tcPr>
            <w:tcW w:w="1169" w:type="dxa"/>
            <w:vMerge w:val="restart"/>
            <w:tcBorders>
              <w:bottom w:val="single" w:color="auto" w:sz="4" w:space="0"/>
              <w:right w:val="single" w:color="auto" w:sz="4" w:space="0"/>
            </w:tcBorders>
          </w:tcPr>
          <w:p w14:paraId="5F8F9068">
            <w:pPr>
              <w:pStyle w:val="9"/>
              <w:spacing w:line="270" w:lineRule="auto"/>
            </w:pPr>
          </w:p>
          <w:p w14:paraId="78F56A06">
            <w:pPr>
              <w:pStyle w:val="9"/>
              <w:spacing w:line="271" w:lineRule="auto"/>
            </w:pPr>
          </w:p>
          <w:p w14:paraId="13018B80">
            <w:pPr>
              <w:pStyle w:val="9"/>
              <w:spacing w:line="271" w:lineRule="auto"/>
            </w:pPr>
          </w:p>
          <w:p w14:paraId="4E28CC5F">
            <w:pPr>
              <w:pStyle w:val="9"/>
              <w:spacing w:line="271" w:lineRule="auto"/>
            </w:pPr>
          </w:p>
          <w:p w14:paraId="60C053AE">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13A5E580">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vMerge w:val="restart"/>
            <w:tcBorders>
              <w:left w:val="single" w:color="auto" w:sz="4" w:space="0"/>
              <w:bottom w:val="nil"/>
            </w:tcBorders>
          </w:tcPr>
          <w:p w14:paraId="6584348C">
            <w:pPr>
              <w:spacing w:before="145" w:line="216" w:lineRule="auto"/>
              <w:ind w:left="241" w:right="266"/>
              <w:rPr>
                <w:rFonts w:ascii="宋体" w:hAnsi="宋体" w:eastAsia="宋体" w:cs="宋体"/>
                <w:spacing w:val="-4"/>
                <w:sz w:val="20"/>
                <w:szCs w:val="20"/>
              </w:rPr>
            </w:pPr>
            <w:r>
              <w:rPr>
                <w:rFonts w:ascii="宋体" w:hAnsi="宋体" w:eastAsia="宋体" w:cs="宋体"/>
                <w:spacing w:val="-4"/>
                <w:sz w:val="20"/>
                <w:szCs w:val="20"/>
              </w:rPr>
              <w:t>经济效益指标</w:t>
            </w:r>
          </w:p>
          <w:p w14:paraId="5932EAAD">
            <w:pPr>
              <w:spacing w:before="145" w:line="216" w:lineRule="auto"/>
              <w:ind w:left="241" w:right="266"/>
              <w:rPr>
                <w:rFonts w:ascii="宋体" w:hAnsi="宋体" w:eastAsia="宋体" w:cs="宋体"/>
                <w:spacing w:val="-4"/>
                <w:sz w:val="20"/>
                <w:szCs w:val="20"/>
              </w:rPr>
            </w:pPr>
          </w:p>
        </w:tc>
        <w:tc>
          <w:tcPr>
            <w:tcW w:w="1039" w:type="dxa"/>
          </w:tcPr>
          <w:p w14:paraId="68022236">
            <w:pPr>
              <w:pStyle w:val="9"/>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资金使用效益</w:t>
            </w:r>
          </w:p>
        </w:tc>
        <w:tc>
          <w:tcPr>
            <w:tcW w:w="1288" w:type="dxa"/>
            <w:vAlign w:val="center"/>
          </w:tcPr>
          <w:p w14:paraId="3992F947">
            <w:pPr>
              <w:pStyle w:val="9"/>
              <w:jc w:val="center"/>
              <w:rPr>
                <w:rFonts w:hint="eastAsia" w:ascii="宋体" w:hAnsi="宋体" w:eastAsia="宋体" w:cs="宋体"/>
                <w:sz w:val="20"/>
                <w:szCs w:val="20"/>
              </w:rPr>
            </w:pPr>
            <w:r>
              <w:rPr>
                <w:rFonts w:hint="eastAsia" w:ascii="宋体" w:hAnsi="宋体" w:eastAsia="宋体" w:cs="宋体"/>
                <w:sz w:val="20"/>
                <w:szCs w:val="20"/>
              </w:rPr>
              <w:t>效果明显</w:t>
            </w:r>
          </w:p>
        </w:tc>
        <w:tc>
          <w:tcPr>
            <w:tcW w:w="1129" w:type="dxa"/>
            <w:shd w:val="clear" w:color="auto" w:fill="auto"/>
            <w:vAlign w:val="center"/>
          </w:tcPr>
          <w:p w14:paraId="57D89E14">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napToGrid w:val="0"/>
                <w:color w:val="000000"/>
                <w:sz w:val="20"/>
                <w:szCs w:val="20"/>
                <w:lang w:val="en-US" w:eastAsia="en-US" w:bidi="ar-SA"/>
              </w:rPr>
              <w:t>效果明显</w:t>
            </w:r>
          </w:p>
        </w:tc>
        <w:tc>
          <w:tcPr>
            <w:tcW w:w="699" w:type="dxa"/>
            <w:vAlign w:val="center"/>
          </w:tcPr>
          <w:p w14:paraId="20D36554">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449" w:type="dxa"/>
            <w:vAlign w:val="center"/>
          </w:tcPr>
          <w:p w14:paraId="5A0C9E02">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1194" w:type="dxa"/>
            <w:vAlign w:val="center"/>
          </w:tcPr>
          <w:p w14:paraId="44F363FE">
            <w:pPr>
              <w:pStyle w:val="9"/>
              <w:jc w:val="center"/>
              <w:rPr>
                <w:rFonts w:hint="eastAsia" w:ascii="宋体" w:hAnsi="宋体" w:eastAsia="宋体" w:cs="宋体"/>
                <w:sz w:val="20"/>
                <w:szCs w:val="20"/>
              </w:rPr>
            </w:pPr>
          </w:p>
        </w:tc>
      </w:tr>
      <w:tr w14:paraId="6F56F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43083DBA">
            <w:pPr>
              <w:pStyle w:val="9"/>
            </w:pPr>
          </w:p>
        </w:tc>
        <w:tc>
          <w:tcPr>
            <w:tcW w:w="1169" w:type="dxa"/>
            <w:vMerge w:val="continue"/>
            <w:tcBorders>
              <w:top w:val="single" w:color="auto" w:sz="4" w:space="0"/>
              <w:bottom w:val="single" w:color="auto" w:sz="4" w:space="0"/>
              <w:right w:val="single" w:color="auto" w:sz="4" w:space="0"/>
            </w:tcBorders>
          </w:tcPr>
          <w:p w14:paraId="648218CA">
            <w:pPr>
              <w:pStyle w:val="9"/>
            </w:pPr>
          </w:p>
        </w:tc>
        <w:tc>
          <w:tcPr>
            <w:tcW w:w="1109" w:type="dxa"/>
            <w:vMerge w:val="continue"/>
            <w:tcBorders>
              <w:top w:val="nil"/>
              <w:left w:val="single" w:color="auto" w:sz="4" w:space="0"/>
            </w:tcBorders>
          </w:tcPr>
          <w:p w14:paraId="7A7E2E9B">
            <w:pPr>
              <w:pStyle w:val="9"/>
            </w:pPr>
          </w:p>
        </w:tc>
        <w:tc>
          <w:tcPr>
            <w:tcW w:w="1039" w:type="dxa"/>
          </w:tcPr>
          <w:p w14:paraId="4830EC0C">
            <w:pPr>
              <w:pStyle w:val="9"/>
              <w:rPr>
                <w:rFonts w:hint="eastAsia" w:ascii="宋体" w:hAnsi="宋体" w:eastAsia="宋体" w:cs="宋体"/>
                <w:sz w:val="20"/>
                <w:szCs w:val="20"/>
              </w:rPr>
            </w:pPr>
          </w:p>
        </w:tc>
        <w:tc>
          <w:tcPr>
            <w:tcW w:w="1288" w:type="dxa"/>
            <w:vAlign w:val="center"/>
          </w:tcPr>
          <w:p w14:paraId="517D98A3">
            <w:pPr>
              <w:pStyle w:val="9"/>
              <w:jc w:val="center"/>
              <w:rPr>
                <w:rFonts w:hint="eastAsia" w:ascii="宋体" w:hAnsi="宋体" w:eastAsia="宋体" w:cs="宋体"/>
                <w:sz w:val="20"/>
                <w:szCs w:val="20"/>
              </w:rPr>
            </w:pPr>
          </w:p>
        </w:tc>
        <w:tc>
          <w:tcPr>
            <w:tcW w:w="1129" w:type="dxa"/>
            <w:shd w:val="clear" w:color="auto" w:fill="auto"/>
            <w:vAlign w:val="center"/>
          </w:tcPr>
          <w:p w14:paraId="0F770F93">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44A34370">
            <w:pPr>
              <w:pStyle w:val="9"/>
              <w:jc w:val="center"/>
              <w:rPr>
                <w:rFonts w:hint="eastAsia" w:ascii="宋体" w:hAnsi="宋体" w:eastAsia="宋体" w:cs="宋体"/>
                <w:sz w:val="20"/>
                <w:szCs w:val="20"/>
              </w:rPr>
            </w:pPr>
          </w:p>
        </w:tc>
        <w:tc>
          <w:tcPr>
            <w:tcW w:w="449" w:type="dxa"/>
            <w:vAlign w:val="center"/>
          </w:tcPr>
          <w:p w14:paraId="4A43FC62">
            <w:pPr>
              <w:pStyle w:val="9"/>
              <w:jc w:val="center"/>
              <w:rPr>
                <w:rFonts w:hint="eastAsia" w:ascii="宋体" w:hAnsi="宋体" w:eastAsia="宋体" w:cs="宋体"/>
                <w:sz w:val="20"/>
                <w:szCs w:val="20"/>
              </w:rPr>
            </w:pPr>
          </w:p>
        </w:tc>
        <w:tc>
          <w:tcPr>
            <w:tcW w:w="1194" w:type="dxa"/>
            <w:vAlign w:val="center"/>
          </w:tcPr>
          <w:p w14:paraId="3DBF6866">
            <w:pPr>
              <w:pStyle w:val="9"/>
              <w:jc w:val="center"/>
              <w:rPr>
                <w:rFonts w:hint="eastAsia" w:ascii="宋体" w:hAnsi="宋体" w:eastAsia="宋体" w:cs="宋体"/>
                <w:sz w:val="20"/>
                <w:szCs w:val="20"/>
              </w:rPr>
            </w:pPr>
          </w:p>
        </w:tc>
      </w:tr>
      <w:tr w14:paraId="5D20F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386546F0">
            <w:pPr>
              <w:pStyle w:val="9"/>
            </w:pPr>
          </w:p>
        </w:tc>
        <w:tc>
          <w:tcPr>
            <w:tcW w:w="1169" w:type="dxa"/>
            <w:vMerge w:val="continue"/>
            <w:tcBorders>
              <w:top w:val="single" w:color="auto" w:sz="4" w:space="0"/>
              <w:bottom w:val="single" w:color="auto" w:sz="4" w:space="0"/>
              <w:right w:val="single" w:color="auto" w:sz="4" w:space="0"/>
            </w:tcBorders>
          </w:tcPr>
          <w:p w14:paraId="2F56ECFB">
            <w:pPr>
              <w:pStyle w:val="9"/>
            </w:pPr>
          </w:p>
        </w:tc>
        <w:tc>
          <w:tcPr>
            <w:tcW w:w="1109" w:type="dxa"/>
            <w:vMerge w:val="restart"/>
            <w:tcBorders>
              <w:left w:val="single" w:color="auto" w:sz="4" w:space="0"/>
              <w:bottom w:val="nil"/>
            </w:tcBorders>
          </w:tcPr>
          <w:p w14:paraId="716FA67E">
            <w:pPr>
              <w:spacing w:before="124" w:line="226" w:lineRule="auto"/>
              <w:ind w:left="241" w:right="266"/>
              <w:rPr>
                <w:rFonts w:ascii="宋体" w:hAnsi="宋体" w:eastAsia="宋体" w:cs="宋体"/>
                <w:spacing w:val="-4"/>
                <w:sz w:val="20"/>
                <w:szCs w:val="20"/>
              </w:rPr>
            </w:pPr>
            <w:r>
              <w:rPr>
                <w:rFonts w:ascii="宋体" w:hAnsi="宋体" w:eastAsia="宋体" w:cs="宋体"/>
                <w:spacing w:val="-4"/>
                <w:sz w:val="20"/>
                <w:szCs w:val="20"/>
              </w:rPr>
              <w:t>社会效益指标</w:t>
            </w:r>
          </w:p>
          <w:p w14:paraId="0DC91B6F">
            <w:pPr>
              <w:spacing w:before="124" w:line="226" w:lineRule="auto"/>
              <w:ind w:left="241" w:right="266"/>
              <w:rPr>
                <w:rFonts w:ascii="宋体" w:hAnsi="宋体" w:eastAsia="宋体" w:cs="宋体"/>
                <w:spacing w:val="-4"/>
                <w:sz w:val="20"/>
                <w:szCs w:val="20"/>
              </w:rPr>
            </w:pPr>
          </w:p>
        </w:tc>
        <w:tc>
          <w:tcPr>
            <w:tcW w:w="1039" w:type="dxa"/>
          </w:tcPr>
          <w:p w14:paraId="09EC947C">
            <w:pPr>
              <w:pStyle w:val="9"/>
              <w:rPr>
                <w:rFonts w:hint="eastAsia" w:ascii="宋体" w:hAnsi="宋体" w:eastAsia="宋体" w:cs="宋体"/>
                <w:sz w:val="20"/>
                <w:szCs w:val="20"/>
              </w:rPr>
            </w:pPr>
            <w:r>
              <w:rPr>
                <w:rFonts w:hint="eastAsia" w:ascii="宋体" w:hAnsi="宋体" w:eastAsia="宋体" w:cs="宋体"/>
                <w:sz w:val="20"/>
                <w:szCs w:val="20"/>
              </w:rPr>
              <w:t>社会效益情况</w:t>
            </w:r>
          </w:p>
        </w:tc>
        <w:tc>
          <w:tcPr>
            <w:tcW w:w="1288" w:type="dxa"/>
            <w:vAlign w:val="center"/>
          </w:tcPr>
          <w:p w14:paraId="078FB4FF">
            <w:pPr>
              <w:pStyle w:val="9"/>
              <w:jc w:val="center"/>
              <w:rPr>
                <w:rFonts w:hint="eastAsia" w:ascii="宋体" w:hAnsi="宋体" w:eastAsia="宋体" w:cs="宋体"/>
                <w:sz w:val="20"/>
                <w:szCs w:val="20"/>
              </w:rPr>
            </w:pPr>
            <w:r>
              <w:rPr>
                <w:rFonts w:hint="eastAsia" w:ascii="宋体" w:hAnsi="宋体" w:eastAsia="宋体" w:cs="宋体"/>
                <w:sz w:val="20"/>
                <w:szCs w:val="20"/>
              </w:rPr>
              <w:t>效果明显</w:t>
            </w:r>
          </w:p>
        </w:tc>
        <w:tc>
          <w:tcPr>
            <w:tcW w:w="1129" w:type="dxa"/>
            <w:shd w:val="clear" w:color="auto" w:fill="auto"/>
            <w:vAlign w:val="center"/>
          </w:tcPr>
          <w:p w14:paraId="7CD4DF06">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效果明显</w:t>
            </w:r>
          </w:p>
        </w:tc>
        <w:tc>
          <w:tcPr>
            <w:tcW w:w="699" w:type="dxa"/>
            <w:vAlign w:val="center"/>
          </w:tcPr>
          <w:p w14:paraId="2849D989">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1C64C077">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0C5A24C6">
            <w:pPr>
              <w:pStyle w:val="9"/>
              <w:jc w:val="center"/>
              <w:rPr>
                <w:rFonts w:hint="eastAsia" w:ascii="宋体" w:hAnsi="宋体" w:eastAsia="宋体" w:cs="宋体"/>
                <w:sz w:val="20"/>
                <w:szCs w:val="20"/>
              </w:rPr>
            </w:pPr>
          </w:p>
        </w:tc>
      </w:tr>
      <w:tr w14:paraId="0ADD8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single" w:color="auto" w:sz="4" w:space="0"/>
              <w:left w:val="single" w:color="auto" w:sz="4" w:space="0"/>
              <w:bottom w:val="single" w:color="auto" w:sz="4" w:space="0"/>
            </w:tcBorders>
            <w:textDirection w:val="tbRlV"/>
          </w:tcPr>
          <w:p w14:paraId="04E8521F">
            <w:pPr>
              <w:pStyle w:val="9"/>
            </w:pPr>
          </w:p>
        </w:tc>
        <w:tc>
          <w:tcPr>
            <w:tcW w:w="1169" w:type="dxa"/>
            <w:vMerge w:val="continue"/>
            <w:tcBorders>
              <w:top w:val="single" w:color="auto" w:sz="4" w:space="0"/>
              <w:bottom w:val="single" w:color="auto" w:sz="4" w:space="0"/>
              <w:right w:val="single" w:color="auto" w:sz="4" w:space="0"/>
            </w:tcBorders>
          </w:tcPr>
          <w:p w14:paraId="47C6F101">
            <w:pPr>
              <w:pStyle w:val="9"/>
            </w:pPr>
          </w:p>
        </w:tc>
        <w:tc>
          <w:tcPr>
            <w:tcW w:w="1109" w:type="dxa"/>
            <w:vMerge w:val="continue"/>
            <w:tcBorders>
              <w:top w:val="nil"/>
              <w:left w:val="single" w:color="auto" w:sz="4" w:space="0"/>
            </w:tcBorders>
          </w:tcPr>
          <w:p w14:paraId="1A323250">
            <w:pPr>
              <w:pStyle w:val="9"/>
            </w:pPr>
          </w:p>
        </w:tc>
        <w:tc>
          <w:tcPr>
            <w:tcW w:w="1039" w:type="dxa"/>
            <w:vAlign w:val="top"/>
          </w:tcPr>
          <w:p w14:paraId="725B9D2A">
            <w:pPr>
              <w:pStyle w:val="9"/>
              <w:rPr>
                <w:rFonts w:hint="eastAsia" w:ascii="宋体" w:hAnsi="宋体" w:eastAsia="宋体" w:cs="宋体"/>
                <w:sz w:val="20"/>
                <w:szCs w:val="20"/>
              </w:rPr>
            </w:pPr>
          </w:p>
        </w:tc>
        <w:tc>
          <w:tcPr>
            <w:tcW w:w="1288" w:type="dxa"/>
            <w:vAlign w:val="center"/>
          </w:tcPr>
          <w:p w14:paraId="21C5FC0C">
            <w:pPr>
              <w:pStyle w:val="9"/>
              <w:jc w:val="center"/>
              <w:rPr>
                <w:rFonts w:hint="eastAsia" w:ascii="宋体" w:hAnsi="宋体" w:eastAsia="宋体" w:cs="宋体"/>
                <w:sz w:val="20"/>
                <w:szCs w:val="20"/>
              </w:rPr>
            </w:pPr>
          </w:p>
        </w:tc>
        <w:tc>
          <w:tcPr>
            <w:tcW w:w="1129" w:type="dxa"/>
            <w:shd w:val="clear" w:color="auto" w:fill="auto"/>
            <w:vAlign w:val="center"/>
          </w:tcPr>
          <w:p w14:paraId="493C098A">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052505C1">
            <w:pPr>
              <w:pStyle w:val="9"/>
              <w:jc w:val="center"/>
              <w:rPr>
                <w:rFonts w:hint="eastAsia" w:ascii="宋体" w:hAnsi="宋体" w:eastAsia="宋体" w:cs="宋体"/>
                <w:sz w:val="20"/>
                <w:szCs w:val="20"/>
                <w:lang w:val="en-US" w:eastAsia="zh-CN"/>
              </w:rPr>
            </w:pPr>
          </w:p>
        </w:tc>
        <w:tc>
          <w:tcPr>
            <w:tcW w:w="449" w:type="dxa"/>
            <w:vAlign w:val="center"/>
          </w:tcPr>
          <w:p w14:paraId="5E011FB6">
            <w:pPr>
              <w:pStyle w:val="9"/>
              <w:jc w:val="center"/>
              <w:rPr>
                <w:rFonts w:hint="default" w:ascii="宋体" w:hAnsi="宋体" w:eastAsia="宋体" w:cs="宋体"/>
                <w:sz w:val="20"/>
                <w:szCs w:val="20"/>
                <w:lang w:val="en-US" w:eastAsia="zh-CN"/>
              </w:rPr>
            </w:pPr>
          </w:p>
        </w:tc>
        <w:tc>
          <w:tcPr>
            <w:tcW w:w="1194" w:type="dxa"/>
            <w:vAlign w:val="center"/>
          </w:tcPr>
          <w:p w14:paraId="0DA9DE94">
            <w:pPr>
              <w:pStyle w:val="9"/>
              <w:jc w:val="center"/>
              <w:rPr>
                <w:rFonts w:hint="eastAsia" w:ascii="宋体" w:hAnsi="宋体" w:eastAsia="宋体" w:cs="宋体"/>
                <w:sz w:val="20"/>
                <w:szCs w:val="20"/>
              </w:rPr>
            </w:pPr>
          </w:p>
        </w:tc>
      </w:tr>
      <w:tr w14:paraId="2B607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33093D6E">
            <w:pPr>
              <w:pStyle w:val="9"/>
            </w:pPr>
          </w:p>
        </w:tc>
        <w:tc>
          <w:tcPr>
            <w:tcW w:w="1169" w:type="dxa"/>
            <w:vMerge w:val="continue"/>
            <w:tcBorders>
              <w:top w:val="single" w:color="auto" w:sz="4" w:space="0"/>
              <w:bottom w:val="single" w:color="auto" w:sz="4" w:space="0"/>
              <w:right w:val="single" w:color="auto" w:sz="4" w:space="0"/>
            </w:tcBorders>
          </w:tcPr>
          <w:p w14:paraId="7C7BEA8D">
            <w:pPr>
              <w:pStyle w:val="9"/>
            </w:pPr>
          </w:p>
        </w:tc>
        <w:tc>
          <w:tcPr>
            <w:tcW w:w="1109" w:type="dxa"/>
            <w:vMerge w:val="restart"/>
            <w:tcBorders>
              <w:left w:val="single" w:color="auto" w:sz="4" w:space="0"/>
              <w:bottom w:val="nil"/>
            </w:tcBorders>
          </w:tcPr>
          <w:p w14:paraId="01598242">
            <w:pPr>
              <w:spacing w:before="145" w:line="212" w:lineRule="auto"/>
              <w:ind w:left="241" w:right="266"/>
              <w:rPr>
                <w:rFonts w:ascii="宋体" w:hAnsi="宋体" w:eastAsia="宋体" w:cs="宋体"/>
                <w:spacing w:val="-4"/>
                <w:sz w:val="20"/>
                <w:szCs w:val="20"/>
              </w:rPr>
            </w:pPr>
            <w:r>
              <w:rPr>
                <w:rFonts w:ascii="宋体" w:hAnsi="宋体" w:eastAsia="宋体" w:cs="宋体"/>
                <w:spacing w:val="-4"/>
                <w:sz w:val="20"/>
                <w:szCs w:val="20"/>
              </w:rPr>
              <w:t>生态效益指标</w:t>
            </w:r>
          </w:p>
          <w:p w14:paraId="7DA36785">
            <w:pPr>
              <w:spacing w:before="145" w:line="212" w:lineRule="auto"/>
              <w:ind w:left="241" w:right="266"/>
              <w:rPr>
                <w:rFonts w:ascii="宋体" w:hAnsi="宋体" w:eastAsia="宋体" w:cs="宋体"/>
                <w:spacing w:val="-4"/>
                <w:sz w:val="20"/>
                <w:szCs w:val="20"/>
              </w:rPr>
            </w:pPr>
          </w:p>
        </w:tc>
        <w:tc>
          <w:tcPr>
            <w:tcW w:w="1039" w:type="dxa"/>
          </w:tcPr>
          <w:p w14:paraId="3BE6071F">
            <w:pPr>
              <w:pStyle w:val="9"/>
              <w:rPr>
                <w:rFonts w:hint="eastAsia" w:ascii="宋体" w:hAnsi="宋体" w:eastAsia="宋体" w:cs="宋体"/>
                <w:sz w:val="20"/>
                <w:szCs w:val="20"/>
              </w:rPr>
            </w:pPr>
            <w:r>
              <w:rPr>
                <w:rFonts w:hint="eastAsia" w:ascii="宋体" w:hAnsi="宋体" w:eastAsia="宋体" w:cs="宋体"/>
                <w:sz w:val="20"/>
                <w:szCs w:val="20"/>
              </w:rPr>
              <w:t>生态效益情况</w:t>
            </w:r>
          </w:p>
        </w:tc>
        <w:tc>
          <w:tcPr>
            <w:tcW w:w="1288" w:type="dxa"/>
            <w:vAlign w:val="center"/>
          </w:tcPr>
          <w:p w14:paraId="60B9ABC9">
            <w:pPr>
              <w:pStyle w:val="9"/>
              <w:jc w:val="center"/>
              <w:rPr>
                <w:rFonts w:hint="eastAsia" w:ascii="宋体" w:hAnsi="宋体" w:eastAsia="宋体" w:cs="宋体"/>
                <w:sz w:val="20"/>
                <w:szCs w:val="20"/>
              </w:rPr>
            </w:pPr>
            <w:r>
              <w:rPr>
                <w:rFonts w:hint="eastAsia" w:ascii="宋体" w:hAnsi="宋体" w:eastAsia="宋体" w:cs="宋体"/>
                <w:sz w:val="20"/>
                <w:szCs w:val="20"/>
              </w:rPr>
              <w:t>效果明显</w:t>
            </w:r>
          </w:p>
        </w:tc>
        <w:tc>
          <w:tcPr>
            <w:tcW w:w="1129" w:type="dxa"/>
            <w:shd w:val="clear" w:color="auto" w:fill="auto"/>
            <w:vAlign w:val="center"/>
          </w:tcPr>
          <w:p w14:paraId="5B2BD7FF">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en-US" w:bidi="ar-SA"/>
              </w:rPr>
              <w:t>效果</w:t>
            </w:r>
            <w:r>
              <w:rPr>
                <w:rFonts w:hint="eastAsia" w:ascii="宋体" w:hAnsi="宋体" w:eastAsia="宋体" w:cs="宋体"/>
                <w:snapToGrid w:val="0"/>
                <w:color w:val="000000"/>
                <w:sz w:val="20"/>
                <w:szCs w:val="20"/>
                <w:lang w:val="en-US" w:eastAsia="zh-CN" w:bidi="ar-SA"/>
              </w:rPr>
              <w:t>良好</w:t>
            </w:r>
          </w:p>
        </w:tc>
        <w:tc>
          <w:tcPr>
            <w:tcW w:w="699" w:type="dxa"/>
            <w:vAlign w:val="center"/>
          </w:tcPr>
          <w:p w14:paraId="1D0E2CC0">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449" w:type="dxa"/>
            <w:vAlign w:val="center"/>
          </w:tcPr>
          <w:p w14:paraId="31BC1D7F">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w:t>
            </w:r>
          </w:p>
        </w:tc>
        <w:tc>
          <w:tcPr>
            <w:tcW w:w="1194" w:type="dxa"/>
            <w:vAlign w:val="center"/>
          </w:tcPr>
          <w:p w14:paraId="78A65675">
            <w:pPr>
              <w:pStyle w:val="9"/>
              <w:jc w:val="center"/>
              <w:rPr>
                <w:rFonts w:hint="eastAsia" w:ascii="宋体" w:hAnsi="宋体" w:eastAsia="宋体" w:cs="宋体"/>
                <w:sz w:val="20"/>
                <w:szCs w:val="20"/>
              </w:rPr>
            </w:pPr>
          </w:p>
        </w:tc>
      </w:tr>
      <w:tr w14:paraId="78C5B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single" w:color="auto" w:sz="4" w:space="0"/>
              <w:left w:val="single" w:color="auto" w:sz="4" w:space="0"/>
              <w:bottom w:val="single" w:color="auto" w:sz="4" w:space="0"/>
            </w:tcBorders>
            <w:textDirection w:val="tbRlV"/>
          </w:tcPr>
          <w:p w14:paraId="2CA554ED">
            <w:pPr>
              <w:pStyle w:val="9"/>
            </w:pPr>
          </w:p>
        </w:tc>
        <w:tc>
          <w:tcPr>
            <w:tcW w:w="1169" w:type="dxa"/>
            <w:vMerge w:val="continue"/>
            <w:tcBorders>
              <w:top w:val="single" w:color="auto" w:sz="4" w:space="0"/>
              <w:bottom w:val="single" w:color="auto" w:sz="4" w:space="0"/>
              <w:right w:val="single" w:color="auto" w:sz="4" w:space="0"/>
            </w:tcBorders>
          </w:tcPr>
          <w:p w14:paraId="21ED10E3">
            <w:pPr>
              <w:pStyle w:val="9"/>
            </w:pPr>
          </w:p>
        </w:tc>
        <w:tc>
          <w:tcPr>
            <w:tcW w:w="1109" w:type="dxa"/>
            <w:vMerge w:val="continue"/>
            <w:tcBorders>
              <w:top w:val="nil"/>
              <w:left w:val="single" w:color="auto" w:sz="4" w:space="0"/>
            </w:tcBorders>
          </w:tcPr>
          <w:p w14:paraId="4872AE02">
            <w:pPr>
              <w:pStyle w:val="9"/>
            </w:pPr>
          </w:p>
        </w:tc>
        <w:tc>
          <w:tcPr>
            <w:tcW w:w="1039" w:type="dxa"/>
          </w:tcPr>
          <w:p w14:paraId="371CFE22">
            <w:pPr>
              <w:pStyle w:val="9"/>
              <w:rPr>
                <w:rFonts w:hint="eastAsia" w:ascii="宋体" w:hAnsi="宋体" w:eastAsia="宋体" w:cs="宋体"/>
                <w:sz w:val="20"/>
                <w:szCs w:val="20"/>
              </w:rPr>
            </w:pPr>
          </w:p>
        </w:tc>
        <w:tc>
          <w:tcPr>
            <w:tcW w:w="1288" w:type="dxa"/>
            <w:vAlign w:val="center"/>
          </w:tcPr>
          <w:p w14:paraId="3CD443C9">
            <w:pPr>
              <w:pStyle w:val="9"/>
              <w:jc w:val="center"/>
              <w:rPr>
                <w:rFonts w:hint="eastAsia" w:ascii="宋体" w:hAnsi="宋体" w:eastAsia="宋体" w:cs="宋体"/>
                <w:sz w:val="20"/>
                <w:szCs w:val="20"/>
              </w:rPr>
            </w:pPr>
          </w:p>
        </w:tc>
        <w:tc>
          <w:tcPr>
            <w:tcW w:w="1129" w:type="dxa"/>
            <w:shd w:val="clear" w:color="auto" w:fill="auto"/>
            <w:vAlign w:val="center"/>
          </w:tcPr>
          <w:p w14:paraId="450AE282">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5070E566">
            <w:pPr>
              <w:pStyle w:val="9"/>
              <w:jc w:val="center"/>
              <w:rPr>
                <w:rFonts w:hint="eastAsia" w:ascii="宋体" w:hAnsi="宋体" w:eastAsia="宋体" w:cs="宋体"/>
                <w:sz w:val="20"/>
                <w:szCs w:val="20"/>
              </w:rPr>
            </w:pPr>
          </w:p>
        </w:tc>
        <w:tc>
          <w:tcPr>
            <w:tcW w:w="449" w:type="dxa"/>
            <w:vAlign w:val="center"/>
          </w:tcPr>
          <w:p w14:paraId="5EB2CF63">
            <w:pPr>
              <w:pStyle w:val="9"/>
              <w:jc w:val="center"/>
              <w:rPr>
                <w:rFonts w:hint="eastAsia" w:ascii="宋体" w:hAnsi="宋体" w:eastAsia="宋体" w:cs="宋体"/>
                <w:sz w:val="20"/>
                <w:szCs w:val="20"/>
              </w:rPr>
            </w:pPr>
          </w:p>
        </w:tc>
        <w:tc>
          <w:tcPr>
            <w:tcW w:w="1194" w:type="dxa"/>
            <w:vAlign w:val="center"/>
          </w:tcPr>
          <w:p w14:paraId="7A0FD864">
            <w:pPr>
              <w:pStyle w:val="9"/>
              <w:jc w:val="center"/>
              <w:rPr>
                <w:rFonts w:hint="eastAsia" w:ascii="宋体" w:hAnsi="宋体" w:eastAsia="宋体" w:cs="宋体"/>
                <w:sz w:val="20"/>
                <w:szCs w:val="20"/>
              </w:rPr>
            </w:pPr>
          </w:p>
        </w:tc>
      </w:tr>
      <w:tr w14:paraId="769BE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781562BB">
            <w:pPr>
              <w:pStyle w:val="9"/>
            </w:pPr>
          </w:p>
        </w:tc>
        <w:tc>
          <w:tcPr>
            <w:tcW w:w="1169" w:type="dxa"/>
            <w:vMerge w:val="continue"/>
            <w:tcBorders>
              <w:top w:val="single" w:color="auto" w:sz="4" w:space="0"/>
              <w:bottom w:val="single" w:color="auto" w:sz="4" w:space="0"/>
              <w:right w:val="single" w:color="auto" w:sz="4" w:space="0"/>
            </w:tcBorders>
          </w:tcPr>
          <w:p w14:paraId="26942C6D">
            <w:pPr>
              <w:pStyle w:val="9"/>
            </w:pPr>
          </w:p>
        </w:tc>
        <w:tc>
          <w:tcPr>
            <w:tcW w:w="1109" w:type="dxa"/>
            <w:vMerge w:val="restart"/>
            <w:tcBorders>
              <w:left w:val="single" w:color="auto" w:sz="4" w:space="0"/>
              <w:bottom w:val="nil"/>
            </w:tcBorders>
          </w:tcPr>
          <w:p w14:paraId="79A93E15">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1411045B">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tcPr>
          <w:p w14:paraId="74777800">
            <w:pPr>
              <w:pStyle w:val="9"/>
              <w:rPr>
                <w:rFonts w:hint="eastAsia" w:ascii="宋体" w:hAnsi="宋体" w:eastAsia="宋体" w:cs="宋体"/>
                <w:sz w:val="20"/>
                <w:szCs w:val="20"/>
              </w:rPr>
            </w:pPr>
            <w:r>
              <w:rPr>
                <w:rFonts w:hint="eastAsia" w:ascii="宋体" w:hAnsi="宋体" w:eastAsia="宋体" w:cs="宋体"/>
                <w:sz w:val="20"/>
                <w:szCs w:val="20"/>
              </w:rPr>
              <w:t>长期有效保管好档案资源</w:t>
            </w:r>
          </w:p>
        </w:tc>
        <w:tc>
          <w:tcPr>
            <w:tcW w:w="1288" w:type="dxa"/>
            <w:vAlign w:val="center"/>
          </w:tcPr>
          <w:p w14:paraId="2B810917">
            <w:pPr>
              <w:pStyle w:val="9"/>
              <w:jc w:val="center"/>
              <w:rPr>
                <w:rFonts w:hint="eastAsia" w:ascii="宋体" w:hAnsi="宋体" w:eastAsia="宋体" w:cs="宋体"/>
                <w:sz w:val="20"/>
                <w:szCs w:val="20"/>
              </w:rPr>
            </w:pPr>
            <w:r>
              <w:rPr>
                <w:rFonts w:hint="eastAsia" w:ascii="宋体" w:hAnsi="宋体" w:eastAsia="宋体" w:cs="宋体"/>
                <w:sz w:val="20"/>
                <w:szCs w:val="20"/>
              </w:rPr>
              <w:t>效果明显</w:t>
            </w:r>
          </w:p>
        </w:tc>
        <w:tc>
          <w:tcPr>
            <w:tcW w:w="1129" w:type="dxa"/>
            <w:shd w:val="clear" w:color="auto" w:fill="auto"/>
            <w:vAlign w:val="center"/>
          </w:tcPr>
          <w:p w14:paraId="76595B30">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rPr>
              <w:t>效果</w:t>
            </w:r>
            <w:r>
              <w:rPr>
                <w:rFonts w:hint="eastAsia" w:ascii="宋体" w:hAnsi="宋体" w:eastAsia="宋体" w:cs="宋体"/>
                <w:sz w:val="20"/>
                <w:szCs w:val="20"/>
                <w:lang w:val="en-US" w:eastAsia="zh-CN"/>
              </w:rPr>
              <w:t>良好</w:t>
            </w:r>
          </w:p>
        </w:tc>
        <w:tc>
          <w:tcPr>
            <w:tcW w:w="699" w:type="dxa"/>
            <w:vAlign w:val="center"/>
          </w:tcPr>
          <w:p w14:paraId="42790AA5">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3290786A">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9</w:t>
            </w:r>
          </w:p>
        </w:tc>
        <w:tc>
          <w:tcPr>
            <w:tcW w:w="1194" w:type="dxa"/>
            <w:vAlign w:val="center"/>
          </w:tcPr>
          <w:p w14:paraId="1B8C0E55">
            <w:pPr>
              <w:pStyle w:val="9"/>
              <w:jc w:val="center"/>
              <w:rPr>
                <w:rFonts w:hint="eastAsia" w:ascii="宋体" w:hAnsi="宋体" w:eastAsia="宋体" w:cs="宋体"/>
                <w:sz w:val="20"/>
                <w:szCs w:val="20"/>
              </w:rPr>
            </w:pPr>
          </w:p>
        </w:tc>
      </w:tr>
      <w:tr w14:paraId="3E3A4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144" w:type="dxa"/>
            <w:vMerge w:val="continue"/>
            <w:tcBorders>
              <w:top w:val="single" w:color="auto" w:sz="4" w:space="0"/>
              <w:left w:val="single" w:color="auto" w:sz="4" w:space="0"/>
              <w:bottom w:val="single" w:color="auto" w:sz="4" w:space="0"/>
            </w:tcBorders>
            <w:textDirection w:val="tbRlV"/>
          </w:tcPr>
          <w:p w14:paraId="691B0591">
            <w:pPr>
              <w:pStyle w:val="9"/>
            </w:pPr>
          </w:p>
        </w:tc>
        <w:tc>
          <w:tcPr>
            <w:tcW w:w="1169" w:type="dxa"/>
            <w:vMerge w:val="continue"/>
            <w:tcBorders>
              <w:top w:val="single" w:color="auto" w:sz="4" w:space="0"/>
              <w:bottom w:val="single" w:color="auto" w:sz="4" w:space="0"/>
              <w:right w:val="single" w:color="auto" w:sz="4" w:space="0"/>
            </w:tcBorders>
          </w:tcPr>
          <w:p w14:paraId="2D538725">
            <w:pPr>
              <w:pStyle w:val="9"/>
            </w:pPr>
          </w:p>
        </w:tc>
        <w:tc>
          <w:tcPr>
            <w:tcW w:w="1109" w:type="dxa"/>
            <w:vMerge w:val="continue"/>
            <w:tcBorders>
              <w:top w:val="nil"/>
              <w:left w:val="single" w:color="auto" w:sz="4" w:space="0"/>
            </w:tcBorders>
          </w:tcPr>
          <w:p w14:paraId="247536AD">
            <w:pPr>
              <w:pStyle w:val="9"/>
            </w:pPr>
          </w:p>
        </w:tc>
        <w:tc>
          <w:tcPr>
            <w:tcW w:w="1039" w:type="dxa"/>
          </w:tcPr>
          <w:p w14:paraId="5BF41E1D">
            <w:pPr>
              <w:pStyle w:val="9"/>
              <w:spacing w:line="238" w:lineRule="exact"/>
              <w:rPr>
                <w:rFonts w:hint="eastAsia" w:ascii="宋体" w:hAnsi="宋体" w:eastAsia="宋体" w:cs="宋体"/>
                <w:sz w:val="20"/>
                <w:szCs w:val="20"/>
              </w:rPr>
            </w:pPr>
          </w:p>
        </w:tc>
        <w:tc>
          <w:tcPr>
            <w:tcW w:w="1288" w:type="dxa"/>
            <w:vAlign w:val="center"/>
          </w:tcPr>
          <w:p w14:paraId="2286D9F7">
            <w:pPr>
              <w:pStyle w:val="9"/>
              <w:spacing w:line="238" w:lineRule="exact"/>
              <w:jc w:val="center"/>
              <w:rPr>
                <w:rFonts w:hint="eastAsia" w:ascii="宋体" w:hAnsi="宋体" w:eastAsia="宋体" w:cs="宋体"/>
                <w:sz w:val="20"/>
                <w:szCs w:val="20"/>
              </w:rPr>
            </w:pPr>
          </w:p>
        </w:tc>
        <w:tc>
          <w:tcPr>
            <w:tcW w:w="1129" w:type="dxa"/>
            <w:shd w:val="clear" w:color="auto" w:fill="auto"/>
            <w:vAlign w:val="center"/>
          </w:tcPr>
          <w:p w14:paraId="05F98966">
            <w:pPr>
              <w:pStyle w:val="9"/>
              <w:spacing w:line="238" w:lineRule="exact"/>
              <w:jc w:val="center"/>
              <w:rPr>
                <w:rFonts w:hint="eastAsia" w:ascii="宋体" w:hAnsi="宋体" w:eastAsia="宋体" w:cs="宋体"/>
                <w:snapToGrid w:val="0"/>
                <w:color w:val="000000"/>
                <w:sz w:val="20"/>
                <w:szCs w:val="20"/>
                <w:lang w:val="en-US" w:eastAsia="en-US" w:bidi="ar-SA"/>
              </w:rPr>
            </w:pPr>
          </w:p>
        </w:tc>
        <w:tc>
          <w:tcPr>
            <w:tcW w:w="699" w:type="dxa"/>
            <w:vAlign w:val="center"/>
          </w:tcPr>
          <w:p w14:paraId="590538D6">
            <w:pPr>
              <w:pStyle w:val="9"/>
              <w:spacing w:line="238" w:lineRule="exact"/>
              <w:jc w:val="center"/>
              <w:rPr>
                <w:rFonts w:hint="eastAsia" w:ascii="宋体" w:hAnsi="宋体" w:eastAsia="宋体" w:cs="宋体"/>
                <w:sz w:val="20"/>
                <w:szCs w:val="20"/>
              </w:rPr>
            </w:pPr>
          </w:p>
        </w:tc>
        <w:tc>
          <w:tcPr>
            <w:tcW w:w="449" w:type="dxa"/>
            <w:vAlign w:val="center"/>
          </w:tcPr>
          <w:p w14:paraId="602D4B2C">
            <w:pPr>
              <w:pStyle w:val="9"/>
              <w:spacing w:line="238" w:lineRule="exact"/>
              <w:jc w:val="center"/>
              <w:rPr>
                <w:rFonts w:hint="eastAsia" w:ascii="宋体" w:hAnsi="宋体" w:eastAsia="宋体" w:cs="宋体"/>
                <w:sz w:val="20"/>
                <w:szCs w:val="20"/>
              </w:rPr>
            </w:pPr>
          </w:p>
        </w:tc>
        <w:tc>
          <w:tcPr>
            <w:tcW w:w="1194" w:type="dxa"/>
            <w:vAlign w:val="center"/>
          </w:tcPr>
          <w:p w14:paraId="7111C154">
            <w:pPr>
              <w:pStyle w:val="9"/>
              <w:spacing w:line="238" w:lineRule="exact"/>
              <w:jc w:val="center"/>
              <w:rPr>
                <w:rFonts w:hint="eastAsia" w:ascii="宋体" w:hAnsi="宋体" w:eastAsia="宋体" w:cs="宋体"/>
                <w:sz w:val="20"/>
                <w:szCs w:val="20"/>
              </w:rPr>
            </w:pPr>
          </w:p>
        </w:tc>
      </w:tr>
      <w:tr w14:paraId="5BD53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7F3BD8F3">
            <w:pPr>
              <w:pStyle w:val="9"/>
            </w:pPr>
          </w:p>
        </w:tc>
        <w:tc>
          <w:tcPr>
            <w:tcW w:w="1169" w:type="dxa"/>
            <w:vMerge w:val="restart"/>
            <w:tcBorders>
              <w:top w:val="single" w:color="auto" w:sz="4" w:space="0"/>
              <w:bottom w:val="single" w:color="auto" w:sz="4" w:space="0"/>
            </w:tcBorders>
          </w:tcPr>
          <w:p w14:paraId="6AD9C660">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60FDE92B">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38431E23">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vMerge w:val="restart"/>
            <w:tcBorders>
              <w:bottom w:val="nil"/>
            </w:tcBorders>
          </w:tcPr>
          <w:p w14:paraId="29456F06">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08FA35BD">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02EBA34E">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tcPr>
          <w:p w14:paraId="2784F366">
            <w:pPr>
              <w:pStyle w:val="9"/>
              <w:rPr>
                <w:rFonts w:hint="eastAsia" w:ascii="宋体" w:hAnsi="宋体" w:eastAsia="宋体" w:cs="宋体"/>
                <w:sz w:val="20"/>
                <w:szCs w:val="20"/>
              </w:rPr>
            </w:pPr>
            <w:r>
              <w:rPr>
                <w:rFonts w:hint="eastAsia" w:ascii="宋体" w:hAnsi="宋体" w:eastAsia="宋体" w:cs="宋体"/>
                <w:sz w:val="20"/>
                <w:szCs w:val="20"/>
              </w:rPr>
              <w:t>档案利用者满意度</w:t>
            </w:r>
          </w:p>
        </w:tc>
        <w:tc>
          <w:tcPr>
            <w:tcW w:w="1288" w:type="dxa"/>
            <w:vAlign w:val="center"/>
          </w:tcPr>
          <w:p w14:paraId="6215A54B">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≥95%</w:t>
            </w:r>
          </w:p>
        </w:tc>
        <w:tc>
          <w:tcPr>
            <w:tcW w:w="1129" w:type="dxa"/>
            <w:shd w:val="clear" w:color="auto" w:fill="auto"/>
            <w:vAlign w:val="center"/>
          </w:tcPr>
          <w:p w14:paraId="360D49DA">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98%</w:t>
            </w:r>
          </w:p>
        </w:tc>
        <w:tc>
          <w:tcPr>
            <w:tcW w:w="699" w:type="dxa"/>
            <w:vAlign w:val="center"/>
          </w:tcPr>
          <w:p w14:paraId="0A9ECA77">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6B749462">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0397A65B">
            <w:pPr>
              <w:pStyle w:val="9"/>
              <w:jc w:val="center"/>
              <w:rPr>
                <w:rFonts w:hint="eastAsia" w:ascii="宋体" w:hAnsi="宋体" w:eastAsia="宋体" w:cs="宋体"/>
                <w:sz w:val="20"/>
                <w:szCs w:val="20"/>
              </w:rPr>
            </w:pPr>
          </w:p>
        </w:tc>
      </w:tr>
      <w:tr w14:paraId="32C8C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44" w:type="dxa"/>
            <w:vMerge w:val="continue"/>
            <w:tcBorders>
              <w:top w:val="single" w:color="auto" w:sz="4" w:space="0"/>
              <w:left w:val="single" w:color="auto" w:sz="4" w:space="0"/>
              <w:bottom w:val="single" w:color="auto" w:sz="4" w:space="0"/>
            </w:tcBorders>
            <w:textDirection w:val="tbRlV"/>
          </w:tcPr>
          <w:p w14:paraId="66BE5AA4">
            <w:pPr>
              <w:pStyle w:val="9"/>
            </w:pPr>
          </w:p>
        </w:tc>
        <w:tc>
          <w:tcPr>
            <w:tcW w:w="1169" w:type="dxa"/>
            <w:vMerge w:val="continue"/>
            <w:tcBorders>
              <w:top w:val="single" w:color="auto" w:sz="4" w:space="0"/>
              <w:bottom w:val="single" w:color="auto" w:sz="4" w:space="0"/>
            </w:tcBorders>
          </w:tcPr>
          <w:p w14:paraId="7C514AD0">
            <w:pPr>
              <w:pStyle w:val="9"/>
            </w:pPr>
          </w:p>
        </w:tc>
        <w:tc>
          <w:tcPr>
            <w:tcW w:w="1109" w:type="dxa"/>
            <w:vMerge w:val="continue"/>
            <w:tcBorders>
              <w:top w:val="nil"/>
            </w:tcBorders>
          </w:tcPr>
          <w:p w14:paraId="43170835">
            <w:pPr>
              <w:pStyle w:val="9"/>
            </w:pPr>
          </w:p>
        </w:tc>
        <w:tc>
          <w:tcPr>
            <w:tcW w:w="1039" w:type="dxa"/>
          </w:tcPr>
          <w:p w14:paraId="2D49778A">
            <w:pPr>
              <w:pStyle w:val="9"/>
              <w:rPr>
                <w:rFonts w:hint="eastAsia" w:ascii="宋体" w:hAnsi="宋体" w:eastAsia="宋体" w:cs="宋体"/>
                <w:sz w:val="20"/>
                <w:szCs w:val="20"/>
              </w:rPr>
            </w:pPr>
          </w:p>
        </w:tc>
        <w:tc>
          <w:tcPr>
            <w:tcW w:w="1288" w:type="dxa"/>
            <w:vAlign w:val="center"/>
          </w:tcPr>
          <w:p w14:paraId="74078B5E">
            <w:pPr>
              <w:pStyle w:val="9"/>
              <w:jc w:val="center"/>
              <w:rPr>
                <w:rFonts w:hint="eastAsia" w:ascii="宋体" w:hAnsi="宋体" w:eastAsia="宋体" w:cs="宋体"/>
                <w:sz w:val="20"/>
                <w:szCs w:val="20"/>
              </w:rPr>
            </w:pPr>
          </w:p>
        </w:tc>
        <w:tc>
          <w:tcPr>
            <w:tcW w:w="1129" w:type="dxa"/>
            <w:vAlign w:val="center"/>
          </w:tcPr>
          <w:p w14:paraId="0C71E8B9">
            <w:pPr>
              <w:pStyle w:val="9"/>
              <w:jc w:val="center"/>
              <w:rPr>
                <w:rFonts w:hint="eastAsia" w:ascii="宋体" w:hAnsi="宋体" w:eastAsia="宋体" w:cs="宋体"/>
                <w:sz w:val="20"/>
                <w:szCs w:val="20"/>
              </w:rPr>
            </w:pPr>
          </w:p>
        </w:tc>
        <w:tc>
          <w:tcPr>
            <w:tcW w:w="699" w:type="dxa"/>
            <w:vAlign w:val="center"/>
          </w:tcPr>
          <w:p w14:paraId="6D381FCA">
            <w:pPr>
              <w:pStyle w:val="9"/>
              <w:jc w:val="center"/>
              <w:rPr>
                <w:rFonts w:hint="eastAsia" w:ascii="宋体" w:hAnsi="宋体" w:eastAsia="宋体" w:cs="宋体"/>
                <w:sz w:val="20"/>
                <w:szCs w:val="20"/>
                <w:lang w:val="en-US" w:eastAsia="zh-CN"/>
              </w:rPr>
            </w:pPr>
          </w:p>
        </w:tc>
        <w:tc>
          <w:tcPr>
            <w:tcW w:w="449" w:type="dxa"/>
            <w:vAlign w:val="center"/>
          </w:tcPr>
          <w:p w14:paraId="7B62FCC9">
            <w:pPr>
              <w:pStyle w:val="9"/>
              <w:jc w:val="center"/>
              <w:rPr>
                <w:rFonts w:hint="eastAsia" w:ascii="宋体" w:hAnsi="宋体" w:eastAsia="宋体" w:cs="宋体"/>
                <w:sz w:val="20"/>
                <w:szCs w:val="20"/>
              </w:rPr>
            </w:pPr>
          </w:p>
        </w:tc>
        <w:tc>
          <w:tcPr>
            <w:tcW w:w="1194" w:type="dxa"/>
            <w:vAlign w:val="center"/>
          </w:tcPr>
          <w:p w14:paraId="7D7589C9">
            <w:pPr>
              <w:pStyle w:val="9"/>
              <w:jc w:val="center"/>
              <w:rPr>
                <w:rFonts w:hint="eastAsia" w:ascii="宋体" w:hAnsi="宋体" w:eastAsia="宋体" w:cs="宋体"/>
                <w:sz w:val="20"/>
                <w:szCs w:val="20"/>
              </w:rPr>
            </w:pPr>
          </w:p>
        </w:tc>
      </w:tr>
      <w:tr w14:paraId="1E941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78" w:type="dxa"/>
            <w:gridSpan w:val="6"/>
          </w:tcPr>
          <w:p w14:paraId="32A63F1A">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tcPr>
          <w:p w14:paraId="119BE640">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vAlign w:val="center"/>
          </w:tcPr>
          <w:p w14:paraId="39A411E1">
            <w:pPr>
              <w:pStyle w:val="9"/>
              <w:jc w:val="center"/>
              <w:rPr>
                <w:rFonts w:hint="default" w:eastAsia="宋体"/>
                <w:lang w:val="en-US" w:eastAsia="zh-CN"/>
              </w:rPr>
            </w:pPr>
            <w:r>
              <w:rPr>
                <w:rFonts w:hint="eastAsia" w:ascii="宋体" w:hAnsi="宋体" w:eastAsia="宋体" w:cs="宋体"/>
                <w:snapToGrid w:val="0"/>
                <w:color w:val="000000"/>
                <w:spacing w:val="-6"/>
                <w:sz w:val="20"/>
                <w:szCs w:val="20"/>
                <w:lang w:val="en-US" w:eastAsia="zh-CN" w:bidi="ar-SA"/>
              </w:rPr>
              <w:t>98</w:t>
            </w:r>
          </w:p>
        </w:tc>
        <w:tc>
          <w:tcPr>
            <w:tcW w:w="1194" w:type="dxa"/>
          </w:tcPr>
          <w:p w14:paraId="3E294802">
            <w:pPr>
              <w:pStyle w:val="9"/>
            </w:pPr>
          </w:p>
        </w:tc>
      </w:tr>
    </w:tbl>
    <w:p w14:paraId="491679A2">
      <w:pPr>
        <w:pStyle w:val="2"/>
        <w:spacing w:before="12" w:line="285" w:lineRule="auto"/>
        <w:ind w:right="285" w:firstLine="420" w:firstLineChars="200"/>
        <w:rPr>
          <w:rFonts w:ascii="宋体" w:hAnsi="宋体" w:eastAsia="宋体" w:cs="宋体"/>
          <w:sz w:val="21"/>
          <w:szCs w:val="21"/>
        </w:rPr>
      </w:pPr>
    </w:p>
    <w:p w14:paraId="7D2C20BF">
      <w:pPr>
        <w:spacing w:line="261" w:lineRule="auto"/>
        <w:ind w:firstLine="630" w:firstLineChars="300"/>
        <w:rPr>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蒲徽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2024.9.30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17369494333</w:t>
      </w:r>
      <w:bookmarkStart w:id="0" w:name="_GoBack"/>
      <w:bookmarkEnd w:id="0"/>
    </w:p>
    <w:p w14:paraId="520448E6">
      <w:pPr>
        <w:spacing w:line="261" w:lineRule="auto"/>
        <w:rPr>
          <w:lang w:eastAsia="zh-CN"/>
        </w:rPr>
      </w:pPr>
    </w:p>
    <w:p w14:paraId="6894C1FD">
      <w:pPr>
        <w:spacing w:line="261" w:lineRule="auto"/>
        <w:rPr>
          <w:lang w:eastAsia="zh-CN"/>
        </w:rPr>
      </w:pPr>
    </w:p>
    <w:p w14:paraId="7259E274">
      <w:pPr>
        <w:pStyle w:val="2"/>
        <w:spacing w:before="12" w:line="285" w:lineRule="auto"/>
        <w:ind w:right="285" w:firstLine="460" w:firstLineChars="200"/>
        <w:rPr>
          <w:sz w:val="23"/>
          <w:szCs w:val="23"/>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09421030">
        <w:pPr>
          <w:pStyle w:val="3"/>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5D8CEF3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572DF">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5CD201CB">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8E439">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zEwNTM5NzYwMDRjMzkwZTVkZjY2ODkwMGIxNGU0OTUifQ=="/>
  </w:docVars>
  <w:rsids>
    <w:rsidRoot w:val="00D65F4E"/>
    <w:rsid w:val="00252DD3"/>
    <w:rsid w:val="002B6923"/>
    <w:rsid w:val="003A0F30"/>
    <w:rsid w:val="006B3AFB"/>
    <w:rsid w:val="00814CEE"/>
    <w:rsid w:val="00C24372"/>
    <w:rsid w:val="00D65F4E"/>
    <w:rsid w:val="01001D75"/>
    <w:rsid w:val="02704AC1"/>
    <w:rsid w:val="04AC10F3"/>
    <w:rsid w:val="04F512AE"/>
    <w:rsid w:val="05834B0B"/>
    <w:rsid w:val="05BE1FE7"/>
    <w:rsid w:val="05F129CA"/>
    <w:rsid w:val="07035F04"/>
    <w:rsid w:val="072B31D6"/>
    <w:rsid w:val="0760103D"/>
    <w:rsid w:val="07656DFD"/>
    <w:rsid w:val="08A64DAE"/>
    <w:rsid w:val="09410F65"/>
    <w:rsid w:val="09A432A2"/>
    <w:rsid w:val="09F06AB0"/>
    <w:rsid w:val="0A540824"/>
    <w:rsid w:val="0B625909"/>
    <w:rsid w:val="0C0149DC"/>
    <w:rsid w:val="0CA23AC9"/>
    <w:rsid w:val="0D0A17F5"/>
    <w:rsid w:val="0DC83A03"/>
    <w:rsid w:val="0E3D760D"/>
    <w:rsid w:val="0E5928AD"/>
    <w:rsid w:val="0EAB140B"/>
    <w:rsid w:val="0F754DE2"/>
    <w:rsid w:val="11A71B81"/>
    <w:rsid w:val="125E66E4"/>
    <w:rsid w:val="12C0739F"/>
    <w:rsid w:val="12CC7AF2"/>
    <w:rsid w:val="13741F37"/>
    <w:rsid w:val="13CB62C0"/>
    <w:rsid w:val="14363F8E"/>
    <w:rsid w:val="14D64C58"/>
    <w:rsid w:val="15063063"/>
    <w:rsid w:val="153876C0"/>
    <w:rsid w:val="15E6711C"/>
    <w:rsid w:val="162C6AF9"/>
    <w:rsid w:val="173043C7"/>
    <w:rsid w:val="177C4139"/>
    <w:rsid w:val="17D171D4"/>
    <w:rsid w:val="17E256C1"/>
    <w:rsid w:val="1804388A"/>
    <w:rsid w:val="181D2B9D"/>
    <w:rsid w:val="18291542"/>
    <w:rsid w:val="18C4321E"/>
    <w:rsid w:val="191D6165"/>
    <w:rsid w:val="1AC44733"/>
    <w:rsid w:val="1ADC0AEE"/>
    <w:rsid w:val="1B2F50C2"/>
    <w:rsid w:val="1B79458F"/>
    <w:rsid w:val="1CC25AC1"/>
    <w:rsid w:val="1E0D7210"/>
    <w:rsid w:val="1E490AF9"/>
    <w:rsid w:val="1E544A65"/>
    <w:rsid w:val="1E544E3F"/>
    <w:rsid w:val="1EAC6A29"/>
    <w:rsid w:val="1EC93E4D"/>
    <w:rsid w:val="1F204D21"/>
    <w:rsid w:val="1FB5190D"/>
    <w:rsid w:val="203E1903"/>
    <w:rsid w:val="204436B2"/>
    <w:rsid w:val="20936872"/>
    <w:rsid w:val="21584C46"/>
    <w:rsid w:val="21B87493"/>
    <w:rsid w:val="21DA76B4"/>
    <w:rsid w:val="21E8421C"/>
    <w:rsid w:val="22697E66"/>
    <w:rsid w:val="249E6E14"/>
    <w:rsid w:val="24A05D7F"/>
    <w:rsid w:val="24E92FC0"/>
    <w:rsid w:val="2506036D"/>
    <w:rsid w:val="25853B30"/>
    <w:rsid w:val="25DD571A"/>
    <w:rsid w:val="25EE5B79"/>
    <w:rsid w:val="26C54B2C"/>
    <w:rsid w:val="273E043A"/>
    <w:rsid w:val="27BD5803"/>
    <w:rsid w:val="27D8088F"/>
    <w:rsid w:val="27E56B08"/>
    <w:rsid w:val="288A4F06"/>
    <w:rsid w:val="2B6761B2"/>
    <w:rsid w:val="2BDF2261"/>
    <w:rsid w:val="2CB25B52"/>
    <w:rsid w:val="2CBC252D"/>
    <w:rsid w:val="2D5B3AF4"/>
    <w:rsid w:val="2ED022C0"/>
    <w:rsid w:val="2F177EEF"/>
    <w:rsid w:val="2F3E36CD"/>
    <w:rsid w:val="2F666780"/>
    <w:rsid w:val="2F7B047E"/>
    <w:rsid w:val="2FECE574"/>
    <w:rsid w:val="30093CDB"/>
    <w:rsid w:val="30F71D86"/>
    <w:rsid w:val="31C205E6"/>
    <w:rsid w:val="3220530C"/>
    <w:rsid w:val="325A4C76"/>
    <w:rsid w:val="326C0551"/>
    <w:rsid w:val="32781B3A"/>
    <w:rsid w:val="33B73A4E"/>
    <w:rsid w:val="3402472D"/>
    <w:rsid w:val="346516FC"/>
    <w:rsid w:val="3579545F"/>
    <w:rsid w:val="357C40D9"/>
    <w:rsid w:val="35CF24B1"/>
    <w:rsid w:val="35E30B2B"/>
    <w:rsid w:val="364477DE"/>
    <w:rsid w:val="367D0837"/>
    <w:rsid w:val="36F80606"/>
    <w:rsid w:val="38063B19"/>
    <w:rsid w:val="38174ABC"/>
    <w:rsid w:val="38F848ED"/>
    <w:rsid w:val="3A39340F"/>
    <w:rsid w:val="3A9E14C4"/>
    <w:rsid w:val="3AAA6417"/>
    <w:rsid w:val="3BA174BE"/>
    <w:rsid w:val="3C1934F8"/>
    <w:rsid w:val="3C1E607A"/>
    <w:rsid w:val="3C2D6FA3"/>
    <w:rsid w:val="3C594CA6"/>
    <w:rsid w:val="3DE25BD6"/>
    <w:rsid w:val="3EF21DDE"/>
    <w:rsid w:val="3F1D4611"/>
    <w:rsid w:val="3F5B7984"/>
    <w:rsid w:val="3F5C5366"/>
    <w:rsid w:val="3F7D3D52"/>
    <w:rsid w:val="3F9DD004"/>
    <w:rsid w:val="3FE61943"/>
    <w:rsid w:val="40842F0A"/>
    <w:rsid w:val="40A37834"/>
    <w:rsid w:val="41766CF7"/>
    <w:rsid w:val="42274495"/>
    <w:rsid w:val="43113ABC"/>
    <w:rsid w:val="437377FC"/>
    <w:rsid w:val="43955089"/>
    <w:rsid w:val="44B57B36"/>
    <w:rsid w:val="44E85D88"/>
    <w:rsid w:val="44F34F3D"/>
    <w:rsid w:val="44FF566F"/>
    <w:rsid w:val="45030CC9"/>
    <w:rsid w:val="45C06792"/>
    <w:rsid w:val="46ED1809"/>
    <w:rsid w:val="476C2932"/>
    <w:rsid w:val="4899252F"/>
    <w:rsid w:val="48A71E8C"/>
    <w:rsid w:val="49A85EBB"/>
    <w:rsid w:val="4A2B43F6"/>
    <w:rsid w:val="4AAC3789"/>
    <w:rsid w:val="4AD11442"/>
    <w:rsid w:val="4AFD0A37"/>
    <w:rsid w:val="4B661B8A"/>
    <w:rsid w:val="4B9D30D2"/>
    <w:rsid w:val="4C0D0258"/>
    <w:rsid w:val="4CD62D3F"/>
    <w:rsid w:val="4D0553D3"/>
    <w:rsid w:val="4D1F0243"/>
    <w:rsid w:val="4D6640C3"/>
    <w:rsid w:val="4DFC4A28"/>
    <w:rsid w:val="4E2D698F"/>
    <w:rsid w:val="4ECE1A55"/>
    <w:rsid w:val="4F365D17"/>
    <w:rsid w:val="4F3BC71C"/>
    <w:rsid w:val="4F4E12B3"/>
    <w:rsid w:val="5153670D"/>
    <w:rsid w:val="51581F75"/>
    <w:rsid w:val="517361B9"/>
    <w:rsid w:val="518965D2"/>
    <w:rsid w:val="52136E2D"/>
    <w:rsid w:val="52862C59"/>
    <w:rsid w:val="532F4F57"/>
    <w:rsid w:val="53377894"/>
    <w:rsid w:val="53876B42"/>
    <w:rsid w:val="53C25DCC"/>
    <w:rsid w:val="53C67131"/>
    <w:rsid w:val="54A43723"/>
    <w:rsid w:val="55214D74"/>
    <w:rsid w:val="56264999"/>
    <w:rsid w:val="56B57E6A"/>
    <w:rsid w:val="56C571DC"/>
    <w:rsid w:val="56D332B2"/>
    <w:rsid w:val="56DA4FD5"/>
    <w:rsid w:val="57715B3F"/>
    <w:rsid w:val="577E025B"/>
    <w:rsid w:val="57EC78BB"/>
    <w:rsid w:val="57EE53E1"/>
    <w:rsid w:val="57FB5D50"/>
    <w:rsid w:val="580469B3"/>
    <w:rsid w:val="58165EBE"/>
    <w:rsid w:val="58DC348C"/>
    <w:rsid w:val="59041933"/>
    <w:rsid w:val="5AC73CC7"/>
    <w:rsid w:val="5ACB37B8"/>
    <w:rsid w:val="5B5E63DA"/>
    <w:rsid w:val="5B7E6A7C"/>
    <w:rsid w:val="5BE56AFB"/>
    <w:rsid w:val="5C653798"/>
    <w:rsid w:val="5D557CB0"/>
    <w:rsid w:val="5DBB3FB7"/>
    <w:rsid w:val="5DD92690"/>
    <w:rsid w:val="5E084D23"/>
    <w:rsid w:val="5E6006BB"/>
    <w:rsid w:val="5E6957C1"/>
    <w:rsid w:val="5FA647F3"/>
    <w:rsid w:val="62332FF4"/>
    <w:rsid w:val="641066DF"/>
    <w:rsid w:val="64293895"/>
    <w:rsid w:val="64395C36"/>
    <w:rsid w:val="64552344"/>
    <w:rsid w:val="64F03D70"/>
    <w:rsid w:val="651D5558"/>
    <w:rsid w:val="659B022A"/>
    <w:rsid w:val="65BC08CD"/>
    <w:rsid w:val="665054B9"/>
    <w:rsid w:val="66F45E44"/>
    <w:rsid w:val="673BA62A"/>
    <w:rsid w:val="674344DC"/>
    <w:rsid w:val="685B1B3F"/>
    <w:rsid w:val="687D45DC"/>
    <w:rsid w:val="69197DE4"/>
    <w:rsid w:val="6965711A"/>
    <w:rsid w:val="69F66377"/>
    <w:rsid w:val="6A085FA4"/>
    <w:rsid w:val="6A2C1D99"/>
    <w:rsid w:val="6AE368FC"/>
    <w:rsid w:val="6B3E3B32"/>
    <w:rsid w:val="6BD7A7ED"/>
    <w:rsid w:val="6C016BE7"/>
    <w:rsid w:val="6CC10EBE"/>
    <w:rsid w:val="6D2B1616"/>
    <w:rsid w:val="6DCF13B9"/>
    <w:rsid w:val="6DE210EC"/>
    <w:rsid w:val="6E9922D7"/>
    <w:rsid w:val="6F4D07E7"/>
    <w:rsid w:val="6F795A80"/>
    <w:rsid w:val="7055204A"/>
    <w:rsid w:val="709A3F00"/>
    <w:rsid w:val="70C25205"/>
    <w:rsid w:val="71297032"/>
    <w:rsid w:val="71347EB1"/>
    <w:rsid w:val="713734FD"/>
    <w:rsid w:val="72333E41"/>
    <w:rsid w:val="72421CF1"/>
    <w:rsid w:val="727D7636"/>
    <w:rsid w:val="7318735E"/>
    <w:rsid w:val="739358D2"/>
    <w:rsid w:val="74293E44"/>
    <w:rsid w:val="743106D8"/>
    <w:rsid w:val="74A012FE"/>
    <w:rsid w:val="74F31E31"/>
    <w:rsid w:val="75837868"/>
    <w:rsid w:val="75D35158"/>
    <w:rsid w:val="75DC28C5"/>
    <w:rsid w:val="75ECE37B"/>
    <w:rsid w:val="7A4E3149"/>
    <w:rsid w:val="7AB13900"/>
    <w:rsid w:val="7B1F7AF8"/>
    <w:rsid w:val="7B4A02D1"/>
    <w:rsid w:val="7C0A297E"/>
    <w:rsid w:val="7C4371FA"/>
    <w:rsid w:val="7C7F423C"/>
    <w:rsid w:val="7CB758D3"/>
    <w:rsid w:val="7DD87E16"/>
    <w:rsid w:val="7E987213"/>
    <w:rsid w:val="7F645E05"/>
    <w:rsid w:val="7F866956"/>
    <w:rsid w:val="7F9462CE"/>
    <w:rsid w:val="7FA36202"/>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1"/>
    <w:qFormat/>
    <w:uiPriority w:val="99"/>
    <w:pPr>
      <w:tabs>
        <w:tab w:val="center" w:pos="4153"/>
        <w:tab w:val="right" w:pos="8306"/>
      </w:tabs>
    </w:pPr>
    <w:rPr>
      <w:sz w:val="18"/>
      <w:szCs w:val="18"/>
    </w:rPr>
  </w:style>
  <w:style w:type="paragraph" w:styleId="4">
    <w:name w:val="header"/>
    <w:basedOn w:val="1"/>
    <w:link w:val="10"/>
    <w:qFormat/>
    <w:uiPriority w:val="0"/>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眉 Char"/>
    <w:basedOn w:val="7"/>
    <w:link w:val="4"/>
    <w:qFormat/>
    <w:uiPriority w:val="0"/>
    <w:rPr>
      <w:rFonts w:eastAsia="Arial"/>
      <w:snapToGrid w:val="0"/>
      <w:color w:val="000000"/>
      <w:sz w:val="18"/>
      <w:szCs w:val="18"/>
      <w:lang w:eastAsia="en-US"/>
    </w:rPr>
  </w:style>
  <w:style w:type="character" w:customStyle="1" w:styleId="11">
    <w:name w:val="页脚 Char"/>
    <w:basedOn w:val="7"/>
    <w:link w:val="3"/>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5953</Words>
  <Characters>6556</Characters>
  <Lines>38</Lines>
  <Paragraphs>10</Paragraphs>
  <TotalTime>7</TotalTime>
  <ScaleCrop>false</ScaleCrop>
  <LinksUpToDate>false</LinksUpToDate>
  <CharactersWithSpaces>6648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彭彭</cp:lastModifiedBy>
  <cp:lastPrinted>2024-09-21T01:17:00Z</cp:lastPrinted>
  <dcterms:modified xsi:type="dcterms:W3CDTF">2024-10-18T06:00:59Z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F8BBAB61D70643589D34BC9FCA491FB2_13</vt:lpwstr>
  </property>
</Properties>
</file>