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DC30B">
      <w:pPr>
        <w:keepNext w:val="0"/>
        <w:keepLines w:val="0"/>
        <w:pageBreakBefore w:val="0"/>
        <w:wordWrap/>
        <w:topLinePunct w:val="0"/>
        <w:bidi w:val="0"/>
        <w:spacing w:line="360" w:lineRule="auto"/>
        <w:jc w:val="center"/>
        <w:rPr>
          <w:rFonts w:eastAsia="方正小标宋_GBK"/>
          <w:sz w:val="52"/>
          <w:szCs w:val="52"/>
        </w:rPr>
      </w:pPr>
      <w:r>
        <w:rPr>
          <w:rFonts w:eastAsia="方正小标宋_GBK"/>
          <w:sz w:val="52"/>
          <w:szCs w:val="52"/>
        </w:rPr>
        <w:t>202</w:t>
      </w:r>
      <w:r>
        <w:rPr>
          <w:rFonts w:hint="eastAsia" w:eastAsia="方正小标宋_GBK"/>
          <w:sz w:val="52"/>
          <w:szCs w:val="52"/>
          <w:lang w:val="en-US" w:eastAsia="zh-CN"/>
        </w:rPr>
        <w:t>3</w:t>
      </w:r>
      <w:r>
        <w:rPr>
          <w:rFonts w:eastAsia="方正小标宋_GBK"/>
          <w:sz w:val="52"/>
          <w:szCs w:val="52"/>
        </w:rPr>
        <w:t>年度</w:t>
      </w:r>
      <w:r>
        <w:rPr>
          <w:rFonts w:hint="eastAsia" w:eastAsia="方正小标宋_GBK"/>
          <w:sz w:val="52"/>
          <w:szCs w:val="52"/>
          <w:lang w:val="en-US" w:eastAsia="zh-CN"/>
        </w:rPr>
        <w:t>怀化市鹤城区统计局</w:t>
      </w:r>
      <w:r>
        <w:rPr>
          <w:rFonts w:eastAsia="方正小标宋_GBK"/>
          <w:sz w:val="52"/>
          <w:szCs w:val="52"/>
        </w:rPr>
        <w:t>整体支出绩效自评报告</w:t>
      </w:r>
    </w:p>
    <w:p w14:paraId="01F84D54">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一、部门概况</w:t>
      </w:r>
    </w:p>
    <w:p w14:paraId="559AAE9F">
      <w:pPr>
        <w:pStyle w:val="5"/>
        <w:keepNext w:val="0"/>
        <w:keepLines w:val="0"/>
        <w:pageBreakBefore w:val="0"/>
        <w:widowControl/>
        <w:numPr>
          <w:ilvl w:val="0"/>
          <w:numId w:val="1"/>
        </w:numPr>
        <w:wordWrap/>
        <w:overflowPunct/>
        <w:topLinePunct w:val="0"/>
        <w:bidi w:val="0"/>
        <w:spacing w:line="360" w:lineRule="auto"/>
        <w:ind w:left="-10" w:leftChars="0" w:firstLine="640" w:firstLineChars="0"/>
        <w:jc w:val="both"/>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部门职责</w:t>
      </w:r>
    </w:p>
    <w:p w14:paraId="718D8577">
      <w:pPr>
        <w:pStyle w:val="5"/>
        <w:keepNext w:val="0"/>
        <w:keepLines w:val="0"/>
        <w:pageBreakBefore w:val="0"/>
        <w:widowControl/>
        <w:numPr>
          <w:ilvl w:val="0"/>
          <w:numId w:val="0"/>
        </w:numPr>
        <w:wordWrap/>
        <w:overflowPunct/>
        <w:topLinePunct w:val="0"/>
        <w:bidi w:val="0"/>
        <w:spacing w:line="360" w:lineRule="auto"/>
        <w:ind w:firstLine="560" w:firstLineChars="200"/>
        <w:jc w:val="both"/>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14:paraId="5517856D">
      <w:pPr>
        <w:pStyle w:val="5"/>
        <w:keepNext w:val="0"/>
        <w:keepLines w:val="0"/>
        <w:pageBreakBefore w:val="0"/>
        <w:widowControl/>
        <w:numPr>
          <w:ilvl w:val="0"/>
          <w:numId w:val="1"/>
        </w:numPr>
        <w:wordWrap/>
        <w:overflowPunct/>
        <w:topLinePunct w:val="0"/>
        <w:bidi w:val="0"/>
        <w:spacing w:line="360" w:lineRule="auto"/>
        <w:ind w:left="-10" w:leftChars="0" w:firstLine="640" w:firstLineChars="0"/>
        <w:jc w:val="both"/>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机构设置</w:t>
      </w:r>
    </w:p>
    <w:p w14:paraId="1FE7EF8D">
      <w:pPr>
        <w:pStyle w:val="5"/>
        <w:keepNext w:val="0"/>
        <w:keepLines w:val="0"/>
        <w:pageBreakBefore w:val="0"/>
        <w:widowControl/>
        <w:numPr>
          <w:ilvl w:val="0"/>
          <w:numId w:val="0"/>
        </w:numPr>
        <w:wordWrap/>
        <w:overflowPunct/>
        <w:topLinePunct w:val="0"/>
        <w:bidi w:val="0"/>
        <w:spacing w:line="360" w:lineRule="auto"/>
        <w:ind w:firstLine="560" w:firstLineChars="200"/>
        <w:jc w:val="both"/>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鹤城区统计局内设机构包括：办公室、综合统计股、经济统计股、法规股。下设鹤城区统计事务中心1个二级事业单位。</w:t>
      </w:r>
    </w:p>
    <w:p w14:paraId="4994A6F9">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二、部门整体支出管理及使用情况</w:t>
      </w:r>
    </w:p>
    <w:p w14:paraId="4FB57771">
      <w:pPr>
        <w:keepNext w:val="0"/>
        <w:keepLines w:val="0"/>
        <w:pageBreakBefore w:val="0"/>
        <w:widowControl/>
        <w:shd w:val="clear" w:color="auto" w:fill="FFFFFF"/>
        <w:wordWrap/>
        <w:overflowPunct/>
        <w:topLinePunct w:val="0"/>
        <w:bidi w:val="0"/>
        <w:spacing w:line="360" w:lineRule="auto"/>
        <w:ind w:firstLine="643"/>
        <w:jc w:val="both"/>
        <w:rPr>
          <w:rFonts w:hint="eastAsia" w:ascii="仿宋" w:hAnsi="仿宋" w:eastAsia="仿宋" w:cs="仿宋"/>
          <w:b/>
          <w:spacing w:val="-2"/>
          <w:sz w:val="28"/>
          <w:szCs w:val="28"/>
        </w:rPr>
      </w:pPr>
      <w:r>
        <w:rPr>
          <w:rFonts w:hint="eastAsia" w:ascii="仿宋" w:hAnsi="仿宋" w:eastAsia="仿宋" w:cs="仿宋"/>
          <w:b/>
          <w:spacing w:val="-2"/>
          <w:sz w:val="28"/>
          <w:szCs w:val="28"/>
        </w:rPr>
        <w:t>（一）基本支出</w:t>
      </w:r>
    </w:p>
    <w:p w14:paraId="7793DA0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2023年我单位认真贯彻中央八项规定和六项禁令，厉行节约、严控“三公经费”和日常公用经费，严格执行财务管理制度和内部控制规范体系，大额资金实行三重一大集体决策制度。实行“部门预算”、“三公经费”预算、“政府采购”预算公开制度，有效控制了基本支出。规范经费支出流程。严格按照政府文件、人社局审批批示及标准发放奖金和津补贴；严格办公用品采购流程，实行采购、使用、核算三分离；严格一般公务差旅费审批制度；严格劳务合同管理；严格票据管理制度等。2023年，我局一般公共预算财政拨款支出734.9万元，其中：</w:t>
      </w:r>
    </w:p>
    <w:p w14:paraId="0AAD59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（1）工资福利支出349.53万元，主要是基本工资、津补贴、奖金、伙食补助费、绩效工资、其他社会保障缴费。</w:t>
      </w:r>
    </w:p>
    <w:p w14:paraId="105637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（2）商品服务支出317.06万元，主要是办公费、印刷费、差旅费、维护费、租赁费、会议费、培训费、公务接待费、劳务费和其他商品服务支付费。</w:t>
      </w:r>
    </w:p>
    <w:p w14:paraId="5FBC503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w:t>
      </w:r>
      <w:r>
        <w:rPr>
          <w:rFonts w:hint="eastAsia" w:ascii="仿宋" w:hAnsi="仿宋" w:eastAsia="仿宋" w:cs="仿宋"/>
          <w:bCs/>
          <w:color w:val="auto"/>
          <w:kern w:val="0"/>
          <w:sz w:val="28"/>
          <w:szCs w:val="28"/>
          <w:lang w:val="en-US" w:eastAsia="zh-CN" w:bidi="ar-SA"/>
        </w:rPr>
        <w:t>3）对家庭和个人的补助2.41万元。主要是对结对帮扶的后盾社区的经费支持、慰问帮扶村的开支、独生子女费及退休干部住院慰问的开支。</w:t>
      </w:r>
    </w:p>
    <w:p w14:paraId="4A7FA9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（4）资本性支出65.9万元。主要是购买固定资产的支出。</w:t>
      </w:r>
    </w:p>
    <w:p w14:paraId="6E25C27C">
      <w:pPr>
        <w:keepNext w:val="0"/>
        <w:keepLines w:val="0"/>
        <w:pageBreakBefore w:val="0"/>
        <w:widowControl/>
        <w:shd w:val="clear" w:color="auto" w:fill="FFFFFF"/>
        <w:wordWrap/>
        <w:overflowPunct/>
        <w:topLinePunct w:val="0"/>
        <w:bidi w:val="0"/>
        <w:spacing w:line="360" w:lineRule="auto"/>
        <w:ind w:firstLine="643"/>
        <w:jc w:val="both"/>
        <w:rPr>
          <w:rFonts w:hint="eastAsia" w:ascii="仿宋" w:hAnsi="仿宋" w:eastAsia="仿宋" w:cs="仿宋"/>
          <w:b/>
          <w:spacing w:val="-2"/>
          <w:sz w:val="28"/>
          <w:szCs w:val="28"/>
        </w:rPr>
      </w:pPr>
      <w:r>
        <w:rPr>
          <w:rFonts w:hint="eastAsia" w:ascii="仿宋" w:hAnsi="仿宋" w:eastAsia="仿宋" w:cs="仿宋"/>
          <w:b/>
          <w:spacing w:val="-2"/>
          <w:sz w:val="28"/>
          <w:szCs w:val="28"/>
        </w:rPr>
        <w:t>（二）专项支出</w:t>
      </w:r>
    </w:p>
    <w:p w14:paraId="6071B3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highlight w:val="red"/>
          <w:lang w:val="en-US" w:eastAsia="zh-CN" w:bidi="ar-SA"/>
        </w:rPr>
      </w:pPr>
      <w:r>
        <w:rPr>
          <w:rFonts w:hint="eastAsia" w:ascii="仿宋" w:hAnsi="仿宋" w:eastAsia="仿宋" w:cs="仿宋"/>
          <w:bCs/>
          <w:kern w:val="0"/>
          <w:sz w:val="28"/>
          <w:szCs w:val="28"/>
          <w:lang w:val="en-US" w:eastAsia="zh-CN" w:bidi="ar-SA"/>
        </w:rPr>
        <w:t>1.专项资金安排：2023年度我局主要开展了以下统计调查工作，分</w:t>
      </w:r>
      <w:r>
        <w:rPr>
          <w:rFonts w:hint="eastAsia" w:ascii="仿宋" w:hAnsi="仿宋" w:eastAsia="仿宋" w:cs="仿宋"/>
          <w:bCs/>
          <w:kern w:val="0"/>
          <w:sz w:val="28"/>
          <w:szCs w:val="28"/>
          <w:highlight w:val="none"/>
          <w:lang w:val="en-US" w:eastAsia="zh-CN" w:bidi="ar-SA"/>
        </w:rPr>
        <w:t>别是第五次全国经济普查、2023年劳动力调查、住户调查、在地统计、人口抽样调查、住户调查大样本轮换、四上企业入库等。2023年项目支出共计448.36万元。</w:t>
      </w:r>
    </w:p>
    <w:p w14:paraId="35E536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2.专项资金实际使用情况：2023年专项资金实际使用448.36万元，预算支出完成率1494.53%，主要原因是年初预算批复金额太少，无法满足正常工作开展，所以年中追加了人口抽样调查、第五次全国经济普查、2023年四上企业入库奖励资金等大型专项调查经费等。</w:t>
      </w:r>
    </w:p>
    <w:p w14:paraId="3E204A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3.专项资金管理情况：我局建立内部控制手册，规范管理。专项资金的分配、使用、管理严格按制度执行，大额资金支出实行“三重一大”集体决策机制，确保资金使用公开、公正、科学、高效，专款专用、不被挤占、挪用、借用或随意调整，实行报账制管理等原则执行。</w:t>
      </w:r>
    </w:p>
    <w:p w14:paraId="6DD6606A">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三、部门专项组织实施情况</w:t>
      </w:r>
    </w:p>
    <w:p w14:paraId="2D67CF1F">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我单位2023年无专项组织实施情况。</w:t>
      </w:r>
    </w:p>
    <w:p w14:paraId="500E9E42">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四、资产管理情况</w:t>
      </w:r>
    </w:p>
    <w:p w14:paraId="366161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我单位定期开展固定资产设备清理工作，对全局的固定资产设备进行全面的盘查和对账，掌握资产实时动态情况。</w:t>
      </w:r>
    </w:p>
    <w:p w14:paraId="3AAF1DD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一是认真核对。根据原有固定资产设备信息记录，从股室到个人逐一核查，严格核对各股室公用固定资产设备及个人使用固定资产设备数量、型号、年份等资产信息。同时，将固定资产设备信息系统中的资产价值总额与账务中固定资产设备明细账的金额进行比对，确保账目精准。</w:t>
      </w:r>
    </w:p>
    <w:p w14:paraId="4E9600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wordWrap/>
        <w:overflowPunct/>
        <w:topLinePunct w:val="0"/>
        <w:bidi w:val="0"/>
        <w:spacing w:before="0" w:beforeAutospacing="0" w:after="0" w:afterAutospacing="0" w:line="360" w:lineRule="auto"/>
        <w:ind w:left="0" w:right="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二是即时更新。为避免漏登、误登，确保实物与账上明细一致，对新增加的固定资产设备进行了及时登账，并对固定资产设备信息系统进行了即时更新。</w:t>
      </w:r>
    </w:p>
    <w:p w14:paraId="082CD832">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五、部门整体支出绩效情况</w:t>
      </w:r>
    </w:p>
    <w:p w14:paraId="1A65C602">
      <w:pPr>
        <w:pStyle w:val="5"/>
        <w:keepNext w:val="0"/>
        <w:keepLines w:val="0"/>
        <w:pageBreakBefore w:val="0"/>
        <w:widowControl/>
        <w:wordWrap/>
        <w:overflowPunct/>
        <w:topLinePunct w:val="0"/>
        <w:bidi w:val="0"/>
        <w:spacing w:line="360" w:lineRule="auto"/>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2023年，我局一般公共预算财政支出共计734.9万元，其中:基本支出286.54万元，项目支出448.36万元。主要包括工资福利支出349.53万元，商品服务支出317.06万元，对个人和家庭补助支出2.41万元；资本性支出65.9万元。项目支出主要用于我区第五次全国经济普查以及劳动力抽样调查、四上企业项目入库调查、城乡住户一体化调查、人口抽样调查、“企业一套表”改革和联网直报等专项业务活动运行经费。</w:t>
      </w:r>
    </w:p>
    <w:p w14:paraId="7A756CE2">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1.本单位按照区财政局要求，制定内部控制管理手册，对资金管理控制运行严格按手册执行，进一步规范我局的财经秩序，做到了资金集中管理、严格审批、统筹安排、公开透明，确保资金安排、使用合法、合规，资金安全运行，杜绝了违法违纪的现象发生，发挥了经济效益和社会效益。</w:t>
      </w:r>
    </w:p>
    <w:p w14:paraId="5507C23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2.有序推动四上企业入库。区政府下发了《&lt;2023年鹤城“四上”企业入库任务分解&gt;的通知》，截止到11月，共新增“四上”企业28家（不含经开区），其中建筑业6家、批发零售业11家、住宿餐饮5家、房地产业1家、服务业1家、工业4家；退出“四上”企业3家（不含经开区），其中批发零售业2家、服务业1家。10月份月度申报企业共4家，其中批发零售业2家、住宿餐饮业1家、房地产业1家；计划10月份年度申报企业共95家，其中工业10家、批发零售业48家、住宿餐饮业23家、服务业14家。当年新增投资项目36个(其中房地产项目3个)，其中5000万以上项目22个，5000万以下项目14 个。较2022年入库65家成果，今年有望实现倍增目标。</w:t>
      </w:r>
    </w:p>
    <w:p w14:paraId="019320F3">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3.加强高质量发展统计监测。一是强化经济监测预警。加强对上报数据进行横向、纵向的监测预警，同时对重点企业、重点行业的主要指标进行跟踪监测分析，撰写高质量统计分析文章，共撰写了各类经济形势分析及报告材料20余篇。二是撰写并发布了《鹤城区2022年国民经济和社会发展统计公报》，编印《鹤城统计月报》9册；着手编印2023年《统计年鉴》。三是积极开展统计服务，为区委政研室、区政府经调室、区发改局、区财政局、区绩效办、区生态环境分局、区委统战部等部门提供相关统计数据。</w:t>
      </w:r>
    </w:p>
    <w:p w14:paraId="7F52A2B6">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4.扎实推进第五次全国经济普查工作。一是高度重视，科学部署。4月，郑明明区长主持召开了五经普工作部署会议，研究明确了区五经普组织机构、方案制定、经费落实等重点工作，明确了全区五经普工作组织领导事项。6月，区委、区政府集中研究审核了相关工作方案文件。7月12日，全省、全市五经普动员会后，立即召开了全区五经普启动部署会议。7月14日，召开了城北街道综合试点工作动员和培训会议。二是组建机构，职责明确。经区委常委会、区政府常务会集体研究，成立了鹤城区第五次全国经济普查领导小组，由区委副书记、区长任组长，常务副区长任常务副组长；各副区长任副组长，34个区直单位和乡镇、街道主要负责人为成员，区统计局主要负责人为办公室主任；制定出台了《第五次全国经济普查工作职责分工》及《街道（乡镇）考评内容及评分标准》，明确了工作内容、职责分工和考核办法。各街道、乡镇均相应成立了本辖区五经普工作专班，明确专人负责并挂牌。三是充分准备，保障充足。人员方面，23个成员单位、11个乡镇街道、128个社区村均选聘了两员2人，区、街道（乡）、社区（村）分层次对普查员集中进行了专题培训；区统计局派遣7人参加了全市在溆浦县举行的综合试点和培训。经费方面，区委常委会研究通过了全区五经普经费预算方案，成立专项账户，第一批专项资金130万元已经拨付到位。物料方面，区经普办根据试点及各个阶段的工作实际，先行测算好了报表需求，做好了五经普物料准备计划，并已落实供应商，确保普查工作顺利有序推进。四是综合试点，推进快速。2023年7月15日正式启动城北街道嫩溪垅社区综合试点工作，完成了普查小区划分，清查摸底，正式入户登记等工作。五是单位清查，完成顺利。9月1日至10月7日，通过“地毯式”清查，我区共完成单位和个体清查数108585家，底册数93733家，总进度115.8%。底册核查单位27162家，核查率100%；填写了清查表的单位26982家，占比99.3%；正常运营单位18089家，占比67%。个体户清查数81603家，底册数66571家，完成比例122.5%，底册核查率100%。六是预登记工作，稳步推进。11月15日，区经普办对城东社区005小区进行预登记试点，在实践中检验真知，对预登记试点中遇到的问题进行分析梳理，分析结果运用于预登记工作。11月18日召开了由常务副区长向艳平同志主持的五经普预登记分析会，会议就各部门在预登记工作中的任务进行了分配，并布置工作。目前区经普办正在依据部门收集的数据对街道（乡镇）进行分工，确保预登记工作能顺利完成。</w:t>
      </w:r>
    </w:p>
    <w:p w14:paraId="376B94E2">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5.常规统计调查全面完成。一是开展投入产出调查。我区共抽中投入产出样本企业26家，其中规上23家，规下3家，目前，已对我区26家样本企业进行走访调研，现场进行答疑解难并指导填报，一、二季度电子台账均已经完成报送，三季度电子台账正在报送中。二是开展人口变动抽样调查。根据人口变动情况抽样调查制度要求，人口变动情况抽样调查调整为住宅样本调查（一年一次）和固定样本跟访调查（一年两次）。今年6月，我区开展第一次人口追踪调查，共抽中住户48户、75人；其中第一批抽中住户22户，49人；第二批抽中住户26户、26人。目前已全面完成第一次人口追踪调查相关工作。本年度人口变动住宅样本调查与第二次人口追踪调查目前已经启动，已完成人口变动住宅样本入户调查及数据质量验收工作，第二次人口追踪调查正在进行中。三是开展劳动力调查。鹤城区劳动力调查共计调查2688户，7512人。采取现场调查和问卷调查方式，开展了国家统计局关于适龄青年参军意愿调查、女性就业情况调查、中年失业及大厂离职员工就业调查、有关高校毕业生就业创业情况的调研，撰写了相关调查报告。2023年，鹤城区迎接了省国调总队一次劳动力调查基层基础工作检查、市国调队两次劳动力调查基层基础工作检查，均受到肯定和表扬。四是开展住户调查工作。2023年，全区共100户调查户，其中电子记账户95户，每月定期对调查户进行走访指导；推行点长制，共4个点长，其中分管领导担任了1个点长。为夯实住户调查基层工作基础，更有效发挥住户调查点长制作用，省国调队印发《湖南住户调查一本通台账（试行本）》，于6月开展试行过程中，包点点长不断加深对住户家庭情况的了解，更善于同记账户打交道，高素质完成一本通台账试行工作，并于9月全面实施行。陪同市国调队慰问困难党员，并拍摄了宣传片。看望生大病记账户，并对记账户进行一对一指导。五是开展农业统计工作。多次深入畜禽养殖户实地核实数据，并圆满完成全区主要畜禽摸底清查工作，及时上报52份主要畜禽监测调查样表。全面检查了‎7个涉农乡镇街道的农业统计基础工作情‎况，为鹤城区的农‎业统计工作打下坚实基础。</w:t>
      </w:r>
    </w:p>
    <w:p w14:paraId="192CB1A4">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6.更新维护基本单位名录库。截至2023年10月底，我区基本单位名录库中共有20373家单位，其中法人单位16075家，产业活动单位4298家。2023年名录单位维护改错约2000条。</w:t>
      </w:r>
    </w:p>
    <w:p w14:paraId="0669D823">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360" w:lineRule="auto"/>
        <w:ind w:right="0" w:rightChars="0" w:firstLine="560" w:firstLineChars="200"/>
        <w:jc w:val="both"/>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7.基层统计工作规范化建设全面推进。2023年全省乡镇（街道）统计规范化建设单位我区申报了2个乡镇街道，为了有力推进规范化建设，我们组织各乡镇（街道）召开动员部署会1次，培训会议1次，学习交流会1次。</w:t>
      </w:r>
    </w:p>
    <w:p w14:paraId="66345E02">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六、存在的主要问题</w:t>
      </w:r>
    </w:p>
    <w:p w14:paraId="607B496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i w:val="0"/>
          <w:caps w:val="0"/>
          <w:color w:val="000000"/>
          <w:spacing w:val="0"/>
          <w:sz w:val="28"/>
          <w:szCs w:val="28"/>
          <w:shd w:val="clear" w:color="auto" w:fill="FFFFFF"/>
          <w:lang w:val="en-US" w:eastAsia="zh-CN"/>
        </w:rPr>
      </w:pPr>
      <w:r>
        <w:rPr>
          <w:rFonts w:hint="eastAsia" w:ascii="仿宋" w:hAnsi="仿宋" w:eastAsia="仿宋" w:cs="仿宋"/>
          <w:i w:val="0"/>
          <w:caps w:val="0"/>
          <w:color w:val="000000"/>
          <w:spacing w:val="0"/>
          <w:sz w:val="28"/>
          <w:szCs w:val="28"/>
          <w:shd w:val="clear" w:color="auto" w:fill="FFFFFF"/>
          <w:lang w:val="en-US" w:eastAsia="zh-CN"/>
        </w:rPr>
        <w:t>（1）内控管理水平有待提高。缺乏专业的内控管理人才，习惯按部就班，缺乏创新意识，工作中在精度和深度上还需下功夫。</w:t>
      </w:r>
    </w:p>
    <w:p w14:paraId="2491A29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i w:val="0"/>
          <w:caps w:val="0"/>
          <w:color w:val="000000"/>
          <w:spacing w:val="0"/>
          <w:sz w:val="28"/>
          <w:szCs w:val="28"/>
          <w:shd w:val="clear" w:color="auto" w:fill="FFFFFF"/>
          <w:lang w:val="en-US" w:eastAsia="zh-CN"/>
        </w:rPr>
      </w:pPr>
      <w:r>
        <w:rPr>
          <w:rFonts w:hint="eastAsia" w:ascii="仿宋" w:hAnsi="仿宋" w:eastAsia="仿宋" w:cs="仿宋"/>
          <w:i w:val="0"/>
          <w:caps w:val="0"/>
          <w:color w:val="000000"/>
          <w:spacing w:val="0"/>
          <w:sz w:val="28"/>
          <w:szCs w:val="28"/>
          <w:shd w:val="clear" w:color="auto" w:fill="FFFFFF"/>
          <w:lang w:val="en-US" w:eastAsia="zh-CN"/>
        </w:rPr>
        <w:t>（2）对于绩效评价的认识不足，没有系统的评价方法，评价水平不高。</w:t>
      </w:r>
    </w:p>
    <w:p w14:paraId="237681EE">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i w:val="0"/>
          <w:caps w:val="0"/>
          <w:color w:val="000000"/>
          <w:spacing w:val="0"/>
          <w:sz w:val="28"/>
          <w:szCs w:val="28"/>
          <w:shd w:val="clear" w:color="auto" w:fill="FFFFFF"/>
          <w:lang w:val="en-US" w:eastAsia="zh-CN"/>
        </w:rPr>
        <w:t>（3）预算执行力有待加强，各项费用开支要按标准执行，励行节约，做到“认真”。</w:t>
      </w:r>
    </w:p>
    <w:p w14:paraId="50E44B25">
      <w:pPr>
        <w:keepNext w:val="0"/>
        <w:keepLines w:val="0"/>
        <w:pageBreakBefore w:val="0"/>
        <w:widowControl/>
        <w:shd w:val="clear" w:color="auto" w:fill="FFFFFF"/>
        <w:wordWrap/>
        <w:overflowPunct/>
        <w:topLinePunct w:val="0"/>
        <w:bidi w:val="0"/>
        <w:spacing w:line="360" w:lineRule="auto"/>
        <w:ind w:firstLine="640"/>
        <w:jc w:val="both"/>
        <w:rPr>
          <w:rFonts w:hint="eastAsia" w:ascii="仿宋" w:hAnsi="仿宋" w:eastAsia="仿宋" w:cs="仿宋"/>
          <w:b/>
          <w:spacing w:val="-2"/>
          <w:sz w:val="28"/>
          <w:szCs w:val="28"/>
        </w:rPr>
      </w:pPr>
      <w:r>
        <w:rPr>
          <w:rFonts w:hint="eastAsia" w:ascii="仿宋" w:hAnsi="仿宋" w:eastAsia="仿宋" w:cs="仿宋"/>
          <w:b/>
          <w:spacing w:val="-2"/>
          <w:sz w:val="28"/>
          <w:szCs w:val="28"/>
        </w:rPr>
        <w:t>七、改进措施和有关建议</w:t>
      </w:r>
    </w:p>
    <w:p w14:paraId="7561A22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i w:val="0"/>
          <w:caps w:val="0"/>
          <w:color w:val="000000"/>
          <w:spacing w:val="0"/>
          <w:sz w:val="28"/>
          <w:szCs w:val="28"/>
          <w:shd w:val="clear" w:color="auto" w:fill="FFFFFF"/>
          <w:lang w:val="en-US" w:eastAsia="zh-CN"/>
        </w:rPr>
      </w:pPr>
      <w:r>
        <w:rPr>
          <w:rFonts w:hint="eastAsia" w:ascii="仿宋" w:hAnsi="仿宋" w:eastAsia="仿宋" w:cs="仿宋"/>
          <w:i w:val="0"/>
          <w:caps w:val="0"/>
          <w:color w:val="000000"/>
          <w:spacing w:val="0"/>
          <w:sz w:val="28"/>
          <w:szCs w:val="28"/>
          <w:shd w:val="clear" w:color="auto" w:fill="FFFFFF"/>
          <w:lang w:val="en-US" w:eastAsia="zh-CN"/>
        </w:rPr>
        <w:t>1.建议区财政局多举办业务培训会，发放实操光盘给我单位学习。</w:t>
      </w:r>
    </w:p>
    <w:p w14:paraId="19E0A07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i w:val="0"/>
          <w:caps w:val="0"/>
          <w:color w:val="000000"/>
          <w:spacing w:val="0"/>
          <w:sz w:val="28"/>
          <w:szCs w:val="28"/>
          <w:shd w:val="clear" w:color="auto" w:fill="FFFFFF"/>
          <w:lang w:val="en-US" w:eastAsia="zh-CN"/>
        </w:rPr>
      </w:pPr>
      <w:r>
        <w:rPr>
          <w:rFonts w:hint="eastAsia" w:ascii="仿宋" w:hAnsi="仿宋" w:eastAsia="仿宋" w:cs="仿宋"/>
          <w:i w:val="0"/>
          <w:caps w:val="0"/>
          <w:color w:val="000000"/>
          <w:spacing w:val="0"/>
          <w:sz w:val="28"/>
          <w:szCs w:val="28"/>
          <w:shd w:val="clear" w:color="auto" w:fill="FFFFFF"/>
          <w:lang w:val="en-US" w:eastAsia="zh-CN"/>
        </w:rPr>
        <w:t>2.将绩效管理工作作为一项日常性重要工作来抓，进行绩效评价，进行纵向、横向比较、评价，发现缺点，及时纠正，积累经验，做到预算精准和绩效效益明显。</w:t>
      </w:r>
    </w:p>
    <w:p w14:paraId="4D91199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1" w:fontKey="{AB56C36C-7213-41C3-9EE8-C9087D0F42D4}"/>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2000000000000000000"/>
    <w:charset w:val="86"/>
    <w:family w:val="script"/>
    <w:pitch w:val="default"/>
    <w:sig w:usb0="A00002BF" w:usb1="38CF7CFA" w:usb2="00082016" w:usb3="00000000" w:csb0="00040001" w:csb1="00000000"/>
    <w:embedRegular r:id="rId2" w:fontKey="{525284B8-FF0F-4CEB-ABF9-EBBBF1D14080}"/>
  </w:font>
  <w:font w:name="仿宋">
    <w:panose1 w:val="02010609060101010101"/>
    <w:charset w:val="86"/>
    <w:family w:val="modern"/>
    <w:pitch w:val="default"/>
    <w:sig w:usb0="800002BF" w:usb1="38CF7CFA" w:usb2="00000016" w:usb3="00000000" w:csb0="00040001" w:csb1="00000000"/>
    <w:embedRegular r:id="rId3" w:fontKey="{14C66A16-9349-4421-AE61-A44250AA41F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072AE3"/>
    <w:multiLevelType w:val="singleLevel"/>
    <w:tmpl w:val="BE072AE3"/>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1YjA1NjI2NGJiNjM3NTU5MGMxNzZjMGFhZDMxMmMifQ=="/>
  </w:docVars>
  <w:rsids>
    <w:rsidRoot w:val="1D33572D"/>
    <w:rsid w:val="1D335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2024-11-22T02:47:00Z</dcterms:created>
  <dc:creator>小渔</dc:creator>
  <cp:lastModifiedBy>小渔</cp:lastModifiedBy>
  <dcterms:modified xsi:type="dcterms:W3CDTF">2024-11-22T02:47:45Z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E000AA9635174B31AD99903096F79605_11</vt:lpwstr>
  </property>
</Properties>
</file>