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3A900">
      <w:pPr>
        <w:pStyle w:val="2"/>
        <w:widowControl w:val="0"/>
        <w:kinsoku/>
        <w:overflowPunct w:val="0"/>
        <w:spacing w:line="360" w:lineRule="auto"/>
        <w:rPr>
          <w:sz w:val="32"/>
          <w:szCs w:val="32"/>
          <w:lang w:eastAsia="zh-CN"/>
        </w:rPr>
      </w:pPr>
      <w:r>
        <w:rPr>
          <w:spacing w:val="17"/>
          <w:sz w:val="32"/>
          <w:szCs w:val="32"/>
          <w:lang w:eastAsia="zh-CN"/>
        </w:rPr>
        <w:t>附件1</w:t>
      </w:r>
    </w:p>
    <w:p w14:paraId="308E6DDC">
      <w:pPr>
        <w:widowControl w:val="0"/>
        <w:kinsoku/>
        <w:overflowPunct w:val="0"/>
        <w:spacing w:line="360" w:lineRule="auto"/>
        <w:ind w:firstLine="855" w:firstLineChars="200"/>
        <w:jc w:val="center"/>
        <w:rPr>
          <w:rFonts w:hint="eastAsia" w:ascii="宋体" w:hAnsi="宋体" w:eastAsia="宋体" w:cs="宋体"/>
          <w:b/>
          <w:bCs/>
          <w:spacing w:val="-7"/>
          <w:sz w:val="44"/>
          <w:szCs w:val="44"/>
          <w:lang w:val="en-US" w:eastAsia="zh-CN"/>
        </w:rPr>
      </w:pPr>
      <w:r>
        <w:rPr>
          <w:rFonts w:hint="eastAsia" w:ascii="宋体" w:hAnsi="宋体" w:eastAsia="宋体" w:cs="宋体"/>
          <w:b/>
          <w:bCs/>
          <w:spacing w:val="-7"/>
          <w:sz w:val="44"/>
          <w:szCs w:val="44"/>
          <w:lang w:val="en-US" w:eastAsia="zh-CN"/>
        </w:rPr>
        <w:t>中共怀化市鹤城区委统一战线工作部</w:t>
      </w:r>
    </w:p>
    <w:p w14:paraId="55F7D1FF">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整体支出绩效自评报告</w:t>
      </w:r>
    </w:p>
    <w:p w14:paraId="5A8355AC">
      <w:pPr>
        <w:widowControl w:val="0"/>
        <w:kinsoku/>
        <w:overflowPunct w:val="0"/>
        <w:spacing w:line="360" w:lineRule="auto"/>
        <w:rPr>
          <w:sz w:val="32"/>
          <w:szCs w:val="32"/>
          <w:lang w:eastAsia="zh-CN"/>
        </w:rPr>
      </w:pPr>
    </w:p>
    <w:p w14:paraId="4ABA6EB9">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03" w:firstLineChars="200"/>
        <w:textAlignment w:val="baseline"/>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0D0FCB34">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84" w:firstLineChars="200"/>
        <w:textAlignment w:val="baseline"/>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758182E4">
      <w:pPr>
        <w:keepNext w:val="0"/>
        <w:keepLines w:val="0"/>
        <w:pageBreakBefore w:val="0"/>
        <w:widowControl/>
        <w:shd w:val="clear" w:color="auto" w:fill="FFFFFF"/>
        <w:kinsoku/>
        <w:wordWrap/>
        <w:overflowPunct/>
        <w:topLinePunct w:val="0"/>
        <w:autoSpaceDE/>
        <w:autoSpaceDN/>
        <w:bidi w:val="0"/>
        <w:adjustRightInd/>
        <w:spacing w:line="560" w:lineRule="exact"/>
        <w:ind w:firstLine="632" w:firstLineChars="200"/>
        <w:textAlignment w:val="auto"/>
        <w:rPr>
          <w:rFonts w:hint="eastAsia" w:ascii="仿宋" w:hAnsi="仿宋" w:eastAsia="仿宋" w:cs="Times New Roman"/>
          <w:spacing w:val="-2"/>
          <w:sz w:val="32"/>
          <w:szCs w:val="32"/>
          <w:highlight w:val="none"/>
          <w:lang w:val="en-US" w:eastAsia="zh-CN"/>
        </w:rPr>
      </w:pPr>
      <w:r>
        <w:rPr>
          <w:rFonts w:hint="eastAsia" w:ascii="仿宋" w:hAnsi="仿宋" w:eastAsia="仿宋" w:cs="Times New Roman"/>
          <w:spacing w:val="-2"/>
          <w:kern w:val="2"/>
          <w:sz w:val="32"/>
          <w:szCs w:val="32"/>
          <w:lang w:val="en-US" w:eastAsia="zh-CN" w:bidi="ar-SA"/>
        </w:rPr>
        <w:t>中共怀化市鹤城区委统一战线工作部</w:t>
      </w:r>
      <w:r>
        <w:rPr>
          <w:rFonts w:hint="eastAsia" w:ascii="仿宋" w:hAnsi="仿宋" w:eastAsia="仿宋" w:cs="Times New Roman"/>
          <w:spacing w:val="-2"/>
          <w:sz w:val="32"/>
          <w:szCs w:val="32"/>
          <w:highlight w:val="none"/>
          <w:lang w:val="en-US" w:eastAsia="zh-CN"/>
        </w:rPr>
        <w:t>作为一级部门预算单位，内设4个职能股室，分别为：办公室；干部组；党派、非公有制经济、新的社会阶层人士联络组；民族宗教侨务办公室。</w:t>
      </w:r>
    </w:p>
    <w:p w14:paraId="5D40134A">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84" w:firstLineChars="200"/>
        <w:textAlignment w:val="baseline"/>
        <w:rPr>
          <w:rFonts w:ascii="楷体" w:hAnsi="楷体" w:eastAsia="楷体" w:cs="楷体"/>
          <w:spacing w:val="11"/>
          <w:sz w:val="32"/>
          <w:szCs w:val="32"/>
          <w:lang w:eastAsia="zh-CN"/>
        </w:rPr>
      </w:pPr>
      <w:r>
        <w:rPr>
          <w:rFonts w:ascii="楷体" w:hAnsi="楷体" w:eastAsia="楷体" w:cs="楷体"/>
          <w:spacing w:val="11"/>
          <w:sz w:val="32"/>
          <w:szCs w:val="32"/>
          <w:lang w:eastAsia="zh-CN"/>
        </w:rPr>
        <w:t>(</w:t>
      </w:r>
      <w:r>
        <w:rPr>
          <w:rFonts w:hint="eastAsia" w:ascii="楷体" w:hAnsi="楷体" w:eastAsia="楷体" w:cs="楷体"/>
          <w:spacing w:val="11"/>
          <w:sz w:val="32"/>
          <w:szCs w:val="32"/>
          <w:lang w:val="en-US" w:eastAsia="zh-CN"/>
        </w:rPr>
        <w:t>二</w:t>
      </w:r>
      <w:r>
        <w:rPr>
          <w:rFonts w:ascii="楷体" w:hAnsi="楷体" w:eastAsia="楷体" w:cs="楷体"/>
          <w:spacing w:val="11"/>
          <w:sz w:val="32"/>
          <w:szCs w:val="32"/>
          <w:lang w:eastAsia="zh-CN"/>
        </w:rPr>
        <w:t>)人员编制情况</w:t>
      </w:r>
    </w:p>
    <w:p w14:paraId="32D2B2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wordWrap/>
        <w:topLinePunct w:val="0"/>
        <w:autoSpaceDE w:val="0"/>
        <w:autoSpaceDN w:val="0"/>
        <w:bidi w:val="0"/>
        <w:adjustRightInd w:val="0"/>
        <w:snapToGrid w:val="0"/>
        <w:spacing w:before="0" w:beforeAutospacing="0" w:after="0" w:afterAutospacing="0" w:line="600" w:lineRule="exact"/>
        <w:ind w:left="0" w:right="0" w:firstLine="540"/>
        <w:jc w:val="both"/>
        <w:textAlignment w:val="baseline"/>
        <w:rPr>
          <w:rFonts w:hint="eastAsia" w:ascii="仿宋" w:hAnsi="仿宋" w:eastAsia="仿宋" w:cs="Times New Roman"/>
          <w:snapToGrid w:val="0"/>
          <w:color w:val="000000"/>
          <w:spacing w:val="-2"/>
          <w:kern w:val="0"/>
          <w:sz w:val="32"/>
          <w:szCs w:val="32"/>
          <w:highlight w:val="none"/>
          <w:lang w:val="en-US" w:eastAsia="zh-CN" w:bidi="ar-SA"/>
        </w:rPr>
      </w:pPr>
      <w:r>
        <w:rPr>
          <w:rFonts w:hint="eastAsia" w:ascii="仿宋" w:hAnsi="仿宋" w:eastAsia="仿宋" w:cs="Times New Roman"/>
          <w:snapToGrid w:val="0"/>
          <w:color w:val="000000"/>
          <w:spacing w:val="-2"/>
          <w:kern w:val="0"/>
          <w:sz w:val="32"/>
          <w:szCs w:val="32"/>
          <w:highlight w:val="none"/>
          <w:lang w:val="en-US" w:eastAsia="en-US" w:bidi="ar-SA"/>
        </w:rPr>
        <w:t>截至2023年12月31日，我单位编制人数21人，较上年度增加6人</w:t>
      </w:r>
      <w:r>
        <w:rPr>
          <w:rFonts w:hint="eastAsia" w:ascii="仿宋" w:hAnsi="仿宋" w:eastAsia="仿宋" w:cs="Times New Roman"/>
          <w:snapToGrid w:val="0"/>
          <w:color w:val="000000"/>
          <w:spacing w:val="-2"/>
          <w:kern w:val="0"/>
          <w:sz w:val="32"/>
          <w:szCs w:val="32"/>
          <w:highlight w:val="none"/>
          <w:lang w:val="en-US" w:eastAsia="zh-CN" w:bidi="ar-SA"/>
        </w:rPr>
        <w:t>。</w:t>
      </w:r>
    </w:p>
    <w:p w14:paraId="4813519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84" w:firstLineChars="200"/>
        <w:textAlignment w:val="baseline"/>
        <w:rPr>
          <w:rFonts w:ascii="楷体" w:hAnsi="楷体" w:eastAsia="楷体" w:cs="楷体"/>
          <w:spacing w:val="11"/>
          <w:sz w:val="32"/>
          <w:szCs w:val="32"/>
          <w:lang w:eastAsia="zh-CN"/>
        </w:rPr>
      </w:pPr>
      <w:r>
        <w:rPr>
          <w:rFonts w:ascii="楷体" w:hAnsi="楷体" w:eastAsia="楷体" w:cs="楷体"/>
          <w:spacing w:val="11"/>
          <w:sz w:val="32"/>
          <w:szCs w:val="32"/>
          <w:lang w:eastAsia="zh-CN"/>
        </w:rPr>
        <w:t>(</w:t>
      </w:r>
      <w:r>
        <w:rPr>
          <w:rFonts w:hint="eastAsia" w:ascii="楷体" w:hAnsi="楷体" w:eastAsia="楷体" w:cs="楷体"/>
          <w:spacing w:val="11"/>
          <w:sz w:val="32"/>
          <w:szCs w:val="32"/>
          <w:lang w:val="en-US" w:eastAsia="zh-CN"/>
        </w:rPr>
        <w:t>三</w:t>
      </w:r>
      <w:r>
        <w:rPr>
          <w:rFonts w:ascii="楷体" w:hAnsi="楷体" w:eastAsia="楷体" w:cs="楷体"/>
          <w:spacing w:val="11"/>
          <w:sz w:val="32"/>
          <w:szCs w:val="32"/>
          <w:lang w:eastAsia="zh-CN"/>
        </w:rPr>
        <w:t>)主要职能职责</w:t>
      </w:r>
    </w:p>
    <w:p w14:paraId="7BF1B714">
      <w:pPr>
        <w:keepNext w:val="0"/>
        <w:keepLines w:val="0"/>
        <w:pageBreakBefore w:val="0"/>
        <w:widowControl/>
        <w:shd w:val="clear" w:color="auto" w:fill="FFFFFF"/>
        <w:kinsoku/>
        <w:wordWrap/>
        <w:overflowPunct/>
        <w:topLinePunct w:val="0"/>
        <w:autoSpaceDE/>
        <w:autoSpaceDN/>
        <w:bidi w:val="0"/>
        <w:adjustRightInd/>
        <w:spacing w:line="560" w:lineRule="exact"/>
        <w:ind w:firstLine="632" w:firstLineChars="200"/>
        <w:textAlignment w:val="auto"/>
        <w:rPr>
          <w:rFonts w:hint="eastAsia" w:ascii="仿宋" w:hAnsi="仿宋" w:eastAsia="仿宋" w:cs="Times New Roman"/>
          <w:spacing w:val="-2"/>
          <w:sz w:val="32"/>
          <w:szCs w:val="32"/>
          <w:highlight w:val="none"/>
          <w:lang w:val="en-US" w:eastAsia="zh-CN"/>
        </w:rPr>
      </w:pPr>
      <w:r>
        <w:rPr>
          <w:rFonts w:hint="eastAsia" w:ascii="仿宋" w:hAnsi="仿宋" w:eastAsia="仿宋" w:cs="Times New Roman"/>
          <w:spacing w:val="-2"/>
          <w:sz w:val="32"/>
          <w:szCs w:val="32"/>
          <w:highlight w:val="none"/>
          <w:lang w:val="en-US" w:eastAsia="zh-CN"/>
        </w:rPr>
        <w:t>调查研究和宣传统一战线的理论方针、政策；负责联系各民主党派和无党派代表人士；负责党外人士的政治安排；调查研究并反映我区非公有制经济代表人士的情况；贯彻落实党的民族宗教工作方针政策，承办区委交办的其他工作。</w:t>
      </w:r>
    </w:p>
    <w:p w14:paraId="104D23D8">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84" w:firstLineChars="200"/>
        <w:textAlignment w:val="baseline"/>
        <w:rPr>
          <w:rFonts w:ascii="楷体" w:hAnsi="楷体" w:eastAsia="楷体" w:cs="楷体"/>
          <w:spacing w:val="11"/>
          <w:sz w:val="32"/>
          <w:szCs w:val="32"/>
          <w:lang w:eastAsia="zh-CN"/>
        </w:rPr>
      </w:pPr>
      <w:r>
        <w:rPr>
          <w:rFonts w:ascii="楷体" w:hAnsi="楷体" w:eastAsia="楷体" w:cs="楷体"/>
          <w:spacing w:val="11"/>
          <w:sz w:val="32"/>
          <w:szCs w:val="32"/>
          <w:lang w:eastAsia="zh-CN"/>
        </w:rPr>
        <w:t>(</w:t>
      </w:r>
      <w:r>
        <w:rPr>
          <w:rFonts w:hint="eastAsia" w:ascii="楷体" w:hAnsi="楷体" w:eastAsia="楷体" w:cs="楷体"/>
          <w:spacing w:val="11"/>
          <w:sz w:val="32"/>
          <w:szCs w:val="32"/>
          <w:lang w:val="en-US" w:eastAsia="zh-CN"/>
        </w:rPr>
        <w:t>四</w:t>
      </w:r>
      <w:r>
        <w:rPr>
          <w:rFonts w:ascii="楷体" w:hAnsi="楷体" w:eastAsia="楷体" w:cs="楷体"/>
          <w:spacing w:val="11"/>
          <w:sz w:val="32"/>
          <w:szCs w:val="32"/>
          <w:lang w:eastAsia="zh-CN"/>
        </w:rPr>
        <w:t>)绩效目标设定情况</w:t>
      </w:r>
    </w:p>
    <w:p w14:paraId="08FFEB75">
      <w:pPr>
        <w:keepNext w:val="0"/>
        <w:keepLines w:val="0"/>
        <w:pageBreakBefore w:val="0"/>
        <w:widowControl/>
        <w:shd w:val="clear" w:color="auto" w:fill="FFFFFF"/>
        <w:kinsoku/>
        <w:wordWrap/>
        <w:overflowPunct/>
        <w:topLinePunct w:val="0"/>
        <w:autoSpaceDE/>
        <w:autoSpaceDN/>
        <w:bidi w:val="0"/>
        <w:adjustRightInd/>
        <w:spacing w:line="560" w:lineRule="exact"/>
        <w:ind w:firstLine="632" w:firstLineChars="200"/>
        <w:textAlignment w:val="auto"/>
        <w:rPr>
          <w:rFonts w:hint="eastAsia" w:ascii="仿宋" w:hAnsi="仿宋" w:eastAsia="仿宋" w:cs="Times New Roman"/>
          <w:spacing w:val="-2"/>
          <w:sz w:val="32"/>
          <w:szCs w:val="32"/>
          <w:highlight w:val="none"/>
          <w:lang w:val="en-US" w:eastAsia="zh-CN"/>
        </w:rPr>
      </w:pPr>
      <w:r>
        <w:rPr>
          <w:rFonts w:hint="eastAsia" w:ascii="仿宋" w:hAnsi="仿宋" w:eastAsia="仿宋" w:cs="Times New Roman"/>
          <w:spacing w:val="-2"/>
          <w:sz w:val="32"/>
          <w:szCs w:val="32"/>
          <w:highlight w:val="none"/>
          <w:lang w:val="en-US" w:eastAsia="zh-CN"/>
        </w:rPr>
        <w:t>根据单位职责职能，确定各项具体工作分工，并结合单位中长期规划和年度工作计划，明确年度主要工作任务，确定单位总体目标，以定量和定性相结合的方式目标设定，从中概括、提炼出最能反映工作任务预期实现程度的关键性指标，确定为相应的绩效指标，通过收集基准数据，结合年度预算安排等情况实现目标计划。</w:t>
      </w:r>
    </w:p>
    <w:p w14:paraId="533FF319">
      <w:pPr>
        <w:keepNext w:val="0"/>
        <w:keepLines w:val="0"/>
        <w:pageBreakBefore w:val="0"/>
        <w:widowControl/>
        <w:shd w:val="clear" w:color="auto" w:fill="FFFFFF"/>
        <w:kinsoku/>
        <w:wordWrap/>
        <w:overflowPunct/>
        <w:topLinePunct w:val="0"/>
        <w:autoSpaceDE/>
        <w:autoSpaceDN/>
        <w:bidi w:val="0"/>
        <w:adjustRightInd/>
        <w:spacing w:line="560" w:lineRule="exact"/>
        <w:ind w:firstLine="632" w:firstLineChars="200"/>
        <w:textAlignment w:val="auto"/>
        <w:rPr>
          <w:rFonts w:hint="eastAsia" w:ascii="仿宋" w:hAnsi="仿宋" w:eastAsia="仿宋" w:cs="Times New Roman"/>
          <w:snapToGrid w:val="0"/>
          <w:color w:val="auto"/>
          <w:spacing w:val="-2"/>
          <w:sz w:val="32"/>
          <w:szCs w:val="32"/>
          <w:highlight w:val="none"/>
          <w:lang w:val="en-US" w:eastAsia="zh-CN" w:bidi="ar-SA"/>
        </w:rPr>
      </w:pPr>
      <w:r>
        <w:rPr>
          <w:rFonts w:hint="eastAsia" w:ascii="仿宋" w:hAnsi="仿宋" w:eastAsia="仿宋" w:cs="Times New Roman"/>
          <w:snapToGrid w:val="0"/>
          <w:color w:val="auto"/>
          <w:spacing w:val="-2"/>
          <w:sz w:val="32"/>
          <w:szCs w:val="32"/>
          <w:highlight w:val="none"/>
          <w:lang w:val="en-US" w:eastAsia="zh-CN" w:bidi="ar-SA"/>
        </w:rPr>
        <w:t>2023年我单位设定的总体绩效目标为：</w:t>
      </w:r>
    </w:p>
    <w:p w14:paraId="5F99DD85">
      <w:pPr>
        <w:keepNext w:val="0"/>
        <w:keepLines w:val="0"/>
        <w:pageBreakBefore w:val="0"/>
        <w:widowControl/>
        <w:shd w:val="clear" w:color="auto" w:fill="FFFFFF"/>
        <w:kinsoku/>
        <w:wordWrap/>
        <w:overflowPunct/>
        <w:topLinePunct w:val="0"/>
        <w:autoSpaceDE/>
        <w:autoSpaceDN/>
        <w:bidi w:val="0"/>
        <w:adjustRightInd/>
        <w:spacing w:line="560" w:lineRule="exact"/>
        <w:ind w:firstLine="632" w:firstLineChars="200"/>
        <w:textAlignment w:val="auto"/>
        <w:rPr>
          <w:rFonts w:hint="default" w:ascii="仿宋" w:hAnsi="仿宋" w:eastAsia="仿宋" w:cs="Times New Roman"/>
          <w:snapToGrid w:val="0"/>
          <w:color w:val="auto"/>
          <w:spacing w:val="-2"/>
          <w:sz w:val="32"/>
          <w:szCs w:val="32"/>
          <w:highlight w:val="none"/>
          <w:lang w:val="en-US" w:eastAsia="zh-CN" w:bidi="ar-SA"/>
        </w:rPr>
      </w:pPr>
      <w:r>
        <w:rPr>
          <w:rFonts w:hint="eastAsia" w:ascii="仿宋" w:hAnsi="仿宋" w:eastAsia="仿宋" w:cs="Times New Roman"/>
          <w:snapToGrid w:val="0"/>
          <w:color w:val="auto"/>
          <w:spacing w:val="-2"/>
          <w:sz w:val="32"/>
          <w:szCs w:val="32"/>
          <w:highlight w:val="none"/>
          <w:lang w:val="en-US" w:eastAsia="zh-CN" w:bidi="ar-SA"/>
        </w:rPr>
        <w:t>深入学习贯彻习近平总书记关于加强和改进统一战线工作的重要思想，全面落实中央民族工作会议、全国宗教工作会议、全国统战部长会议精神和省委工作要求。</w:t>
      </w:r>
    </w:p>
    <w:p w14:paraId="3D59908D">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583" w:firstLineChars="200"/>
        <w:textAlignment w:val="baseline"/>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7D21119F">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4" w:firstLineChars="200"/>
        <w:textAlignment w:val="baseline"/>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14:paraId="06E8EEF8">
      <w:pPr>
        <w:pStyle w:val="2"/>
        <w:keepNext w:val="0"/>
        <w:keepLines w:val="0"/>
        <w:pageBreakBefore w:val="0"/>
        <w:widowControl/>
        <w:kinsoku w:val="0"/>
        <w:wordWrap/>
        <w:overflowPunct/>
        <w:topLinePunct w:val="0"/>
        <w:autoSpaceDE w:val="0"/>
        <w:autoSpaceDN w:val="0"/>
        <w:bidi w:val="0"/>
        <w:adjustRightInd w:val="0"/>
        <w:snapToGrid w:val="0"/>
        <w:spacing w:line="600" w:lineRule="exact"/>
        <w:ind w:firstLine="632" w:firstLineChars="200"/>
        <w:textAlignment w:val="baseline"/>
        <w:rPr>
          <w:rFonts w:hint="eastAsia" w:ascii="仿宋" w:hAnsi="仿宋" w:eastAsia="仿宋" w:cs="Times New Roman"/>
          <w:snapToGrid w:val="0"/>
          <w:color w:val="000000"/>
          <w:spacing w:val="-2"/>
          <w:sz w:val="32"/>
          <w:szCs w:val="32"/>
          <w:highlight w:val="none"/>
          <w:lang w:val="en-US" w:eastAsia="zh-CN" w:bidi="ar-SA"/>
        </w:rPr>
      </w:pPr>
      <w:r>
        <w:rPr>
          <w:rFonts w:hint="eastAsia" w:ascii="仿宋" w:hAnsi="仿宋" w:eastAsia="仿宋" w:cs="Times New Roman"/>
          <w:snapToGrid w:val="0"/>
          <w:color w:val="000000"/>
          <w:spacing w:val="-2"/>
          <w:sz w:val="32"/>
          <w:szCs w:val="32"/>
          <w:highlight w:val="none"/>
          <w:lang w:val="en-US" w:eastAsia="zh-CN" w:bidi="ar-SA"/>
        </w:rPr>
        <w:t>根据</w:t>
      </w:r>
      <w:r>
        <w:rPr>
          <w:rFonts w:hint="eastAsia" w:ascii="仿宋" w:hAnsi="仿宋" w:eastAsia="仿宋" w:cs="Times New Roman"/>
          <w:snapToGrid w:val="0"/>
          <w:color w:val="auto"/>
          <w:spacing w:val="-2"/>
          <w:sz w:val="32"/>
          <w:szCs w:val="32"/>
          <w:highlight w:val="none"/>
          <w:lang w:val="en-US" w:eastAsia="zh-CN" w:bidi="ar-SA"/>
        </w:rPr>
        <w:t>《</w:t>
      </w:r>
      <w:r>
        <w:rPr>
          <w:rFonts w:hint="eastAsia" w:cs="Times New Roman"/>
          <w:snapToGrid w:val="0"/>
          <w:color w:val="auto"/>
          <w:spacing w:val="-2"/>
          <w:sz w:val="32"/>
          <w:szCs w:val="32"/>
          <w:highlight w:val="none"/>
          <w:lang w:val="en-US" w:eastAsia="zh-CN" w:bidi="ar-SA"/>
        </w:rPr>
        <w:t>怀化市鹤城区财政局关于批复2023年度部门预算的通知</w:t>
      </w:r>
      <w:r>
        <w:rPr>
          <w:rFonts w:hint="eastAsia" w:ascii="仿宋" w:hAnsi="仿宋" w:eastAsia="仿宋" w:cs="Times New Roman"/>
          <w:snapToGrid w:val="0"/>
          <w:color w:val="auto"/>
          <w:spacing w:val="-2"/>
          <w:sz w:val="32"/>
          <w:szCs w:val="32"/>
          <w:highlight w:val="none"/>
          <w:lang w:val="en-US" w:eastAsia="zh-CN" w:bidi="ar-SA"/>
        </w:rPr>
        <w:t>》（</w:t>
      </w:r>
      <w:r>
        <w:rPr>
          <w:rFonts w:hint="eastAsia" w:cs="Times New Roman"/>
          <w:snapToGrid w:val="0"/>
          <w:color w:val="auto"/>
          <w:spacing w:val="-2"/>
          <w:sz w:val="32"/>
          <w:szCs w:val="32"/>
          <w:highlight w:val="none"/>
          <w:lang w:val="en-US" w:eastAsia="zh-CN" w:bidi="ar-SA"/>
        </w:rPr>
        <w:t>鹤</w:t>
      </w:r>
      <w:r>
        <w:rPr>
          <w:rFonts w:hint="eastAsia" w:ascii="仿宋" w:hAnsi="仿宋" w:eastAsia="仿宋" w:cs="Times New Roman"/>
          <w:snapToGrid w:val="0"/>
          <w:color w:val="auto"/>
          <w:spacing w:val="-2"/>
          <w:sz w:val="32"/>
          <w:szCs w:val="32"/>
          <w:highlight w:val="none"/>
          <w:lang w:val="en-US" w:eastAsia="zh-CN" w:bidi="ar-SA"/>
        </w:rPr>
        <w:t>财预﹝2023﹞</w:t>
      </w:r>
      <w:r>
        <w:rPr>
          <w:rFonts w:hint="eastAsia" w:cs="Times New Roman"/>
          <w:snapToGrid w:val="0"/>
          <w:color w:val="auto"/>
          <w:spacing w:val="-2"/>
          <w:sz w:val="32"/>
          <w:szCs w:val="32"/>
          <w:highlight w:val="none"/>
          <w:lang w:val="en-US" w:eastAsia="zh-CN" w:bidi="ar-SA"/>
        </w:rPr>
        <w:t>3</w:t>
      </w:r>
      <w:r>
        <w:rPr>
          <w:rFonts w:hint="eastAsia" w:ascii="仿宋" w:hAnsi="仿宋" w:eastAsia="仿宋" w:cs="Times New Roman"/>
          <w:snapToGrid w:val="0"/>
          <w:color w:val="auto"/>
          <w:spacing w:val="-2"/>
          <w:sz w:val="32"/>
          <w:szCs w:val="32"/>
          <w:highlight w:val="none"/>
          <w:lang w:val="en-US" w:eastAsia="zh-CN" w:bidi="ar-SA"/>
        </w:rPr>
        <w:t>号），</w:t>
      </w:r>
      <w:r>
        <w:rPr>
          <w:rFonts w:hint="eastAsia" w:ascii="仿宋" w:hAnsi="仿宋" w:eastAsia="仿宋" w:cs="Times New Roman"/>
          <w:snapToGrid w:val="0"/>
          <w:color w:val="000000"/>
          <w:spacing w:val="-2"/>
          <w:sz w:val="32"/>
          <w:szCs w:val="32"/>
          <w:highlight w:val="none"/>
          <w:lang w:val="en-US" w:eastAsia="zh-CN" w:bidi="ar-SA"/>
        </w:rPr>
        <w:t>2023年我</w:t>
      </w:r>
      <w:r>
        <w:rPr>
          <w:rFonts w:hint="eastAsia" w:cs="Times New Roman"/>
          <w:snapToGrid w:val="0"/>
          <w:color w:val="000000"/>
          <w:spacing w:val="-2"/>
          <w:sz w:val="32"/>
          <w:szCs w:val="32"/>
          <w:highlight w:val="none"/>
          <w:lang w:val="en-US" w:eastAsia="zh-CN" w:bidi="ar-SA"/>
        </w:rPr>
        <w:t>单位</w:t>
      </w:r>
      <w:r>
        <w:rPr>
          <w:rFonts w:hint="eastAsia" w:ascii="仿宋" w:hAnsi="仿宋" w:eastAsia="仿宋" w:cs="Times New Roman"/>
          <w:snapToGrid w:val="0"/>
          <w:color w:val="000000"/>
          <w:spacing w:val="-2"/>
          <w:sz w:val="32"/>
          <w:szCs w:val="32"/>
          <w:highlight w:val="none"/>
          <w:lang w:val="en-US" w:eastAsia="zh-CN" w:bidi="ar-SA"/>
        </w:rPr>
        <w:t>年初预算</w:t>
      </w:r>
      <w:r>
        <w:rPr>
          <w:rFonts w:hint="eastAsia" w:cs="Times New Roman"/>
          <w:snapToGrid w:val="0"/>
          <w:color w:val="000000"/>
          <w:spacing w:val="-2"/>
          <w:sz w:val="32"/>
          <w:szCs w:val="32"/>
          <w:highlight w:val="none"/>
          <w:lang w:val="en-US" w:eastAsia="zh-CN" w:bidi="ar-SA"/>
        </w:rPr>
        <w:t>总</w:t>
      </w:r>
      <w:r>
        <w:rPr>
          <w:rFonts w:hint="eastAsia" w:ascii="仿宋" w:hAnsi="仿宋" w:eastAsia="仿宋" w:cs="Times New Roman"/>
          <w:snapToGrid w:val="0"/>
          <w:color w:val="000000"/>
          <w:spacing w:val="-2"/>
          <w:sz w:val="32"/>
          <w:szCs w:val="32"/>
          <w:highlight w:val="none"/>
          <w:lang w:val="en-US" w:eastAsia="zh-CN" w:bidi="ar-SA"/>
        </w:rPr>
        <w:t>支出</w:t>
      </w:r>
      <w:r>
        <w:rPr>
          <w:rFonts w:hint="eastAsia" w:cs="Times New Roman"/>
          <w:snapToGrid w:val="0"/>
          <w:color w:val="000000"/>
          <w:spacing w:val="-2"/>
          <w:sz w:val="32"/>
          <w:szCs w:val="32"/>
          <w:highlight w:val="none"/>
          <w:lang w:val="en-US" w:eastAsia="zh-CN" w:bidi="ar-SA"/>
        </w:rPr>
        <w:t>290.50</w:t>
      </w:r>
      <w:r>
        <w:rPr>
          <w:rFonts w:hint="eastAsia" w:ascii="仿宋" w:hAnsi="仿宋" w:eastAsia="仿宋" w:cs="Times New Roman"/>
          <w:snapToGrid w:val="0"/>
          <w:color w:val="000000"/>
          <w:spacing w:val="-2"/>
          <w:sz w:val="32"/>
          <w:szCs w:val="32"/>
          <w:highlight w:val="none"/>
          <w:lang w:val="en-US" w:eastAsia="zh-CN" w:bidi="ar-SA"/>
        </w:rPr>
        <w:t>万元，其中：基本支出227.94万元，占总支出的</w:t>
      </w:r>
      <w:r>
        <w:rPr>
          <w:rFonts w:hint="eastAsia" w:cs="Times New Roman"/>
          <w:snapToGrid w:val="0"/>
          <w:color w:val="000000"/>
          <w:spacing w:val="-2"/>
          <w:sz w:val="32"/>
          <w:szCs w:val="32"/>
          <w:highlight w:val="none"/>
          <w:lang w:val="en-US" w:eastAsia="zh-CN" w:bidi="ar-SA"/>
        </w:rPr>
        <w:t>78.46%</w:t>
      </w:r>
      <w:r>
        <w:rPr>
          <w:rFonts w:hint="eastAsia" w:ascii="仿宋" w:hAnsi="仿宋" w:eastAsia="仿宋" w:cs="Times New Roman"/>
          <w:snapToGrid w:val="0"/>
          <w:color w:val="000000"/>
          <w:spacing w:val="-2"/>
          <w:sz w:val="32"/>
          <w:szCs w:val="32"/>
          <w:highlight w:val="none"/>
          <w:lang w:val="en-US" w:eastAsia="zh-CN" w:bidi="ar-SA"/>
        </w:rPr>
        <w:t>；项目支出62.56万元</w:t>
      </w:r>
      <w:r>
        <w:rPr>
          <w:rFonts w:hint="eastAsia" w:cs="Times New Roman"/>
          <w:snapToGrid w:val="0"/>
          <w:color w:val="000000"/>
          <w:spacing w:val="-2"/>
          <w:sz w:val="32"/>
          <w:szCs w:val="32"/>
          <w:highlight w:val="none"/>
          <w:lang w:val="en-US" w:eastAsia="zh-CN" w:bidi="ar-SA"/>
        </w:rPr>
        <w:t>，</w:t>
      </w:r>
      <w:r>
        <w:rPr>
          <w:rFonts w:hint="eastAsia" w:ascii="仿宋" w:hAnsi="仿宋" w:eastAsia="仿宋" w:cs="Times New Roman"/>
          <w:snapToGrid w:val="0"/>
          <w:color w:val="000000"/>
          <w:spacing w:val="-2"/>
          <w:sz w:val="32"/>
          <w:szCs w:val="32"/>
          <w:highlight w:val="none"/>
          <w:lang w:val="en-US" w:eastAsia="zh-CN" w:bidi="ar-SA"/>
        </w:rPr>
        <w:t>占总支出的</w:t>
      </w:r>
      <w:r>
        <w:rPr>
          <w:rFonts w:hint="eastAsia" w:cs="Times New Roman"/>
          <w:snapToGrid w:val="0"/>
          <w:color w:val="000000"/>
          <w:spacing w:val="-2"/>
          <w:sz w:val="32"/>
          <w:szCs w:val="32"/>
          <w:highlight w:val="none"/>
          <w:lang w:val="en-US" w:eastAsia="zh-CN" w:bidi="ar-SA"/>
        </w:rPr>
        <w:t>21.54%；</w:t>
      </w:r>
      <w:r>
        <w:rPr>
          <w:rFonts w:hint="eastAsia" w:ascii="仿宋" w:hAnsi="仿宋" w:eastAsia="仿宋" w:cs="Times New Roman"/>
          <w:snapToGrid w:val="0"/>
          <w:color w:val="000000"/>
          <w:spacing w:val="-2"/>
          <w:sz w:val="32"/>
          <w:szCs w:val="32"/>
          <w:highlight w:val="none"/>
          <w:lang w:val="en-US" w:eastAsia="zh-CN" w:bidi="ar-SA"/>
        </w:rPr>
        <w:t>2023年度决算总支出304.54万元，其中：基本支出256.56万元，占总支出的84.25%；项目支出47.98万元，占总支出的15.75%。</w:t>
      </w:r>
    </w:p>
    <w:p w14:paraId="32210BE5">
      <w:pPr>
        <w:keepNext w:val="0"/>
        <w:keepLines w:val="0"/>
        <w:pageBreakBefore w:val="0"/>
        <w:widowControl/>
        <w:shd w:val="clear" w:color="auto" w:fill="FFFFFF"/>
        <w:kinsoku/>
        <w:wordWrap/>
        <w:overflowPunct/>
        <w:topLinePunct w:val="0"/>
        <w:autoSpaceDE/>
        <w:autoSpaceDN/>
        <w:bidi w:val="0"/>
        <w:adjustRightInd/>
        <w:spacing w:line="560" w:lineRule="exact"/>
        <w:ind w:left="0" w:right="0" w:firstLine="640"/>
        <w:textAlignment w:val="auto"/>
        <w:rPr>
          <w:rFonts w:hint="eastAsia"/>
          <w:color w:val="auto"/>
          <w:lang w:val="en-US" w:eastAsia="zh-CN"/>
        </w:rPr>
      </w:pPr>
      <w:r>
        <w:rPr>
          <w:rFonts w:hint="eastAsia" w:ascii="仿宋" w:hAnsi="仿宋" w:eastAsia="仿宋" w:cs="Times New Roman"/>
          <w:spacing w:val="-2"/>
          <w:sz w:val="32"/>
          <w:szCs w:val="32"/>
          <w:highlight w:val="none"/>
        </w:rPr>
        <w:t>202</w:t>
      </w:r>
      <w:r>
        <w:rPr>
          <w:rFonts w:hint="eastAsia" w:ascii="仿宋" w:hAnsi="仿宋" w:eastAsia="仿宋" w:cs="Times New Roman"/>
          <w:spacing w:val="-2"/>
          <w:sz w:val="32"/>
          <w:szCs w:val="32"/>
          <w:highlight w:val="none"/>
          <w:lang w:val="en-US" w:eastAsia="zh-CN"/>
        </w:rPr>
        <w:t>3</w:t>
      </w:r>
      <w:r>
        <w:rPr>
          <w:rFonts w:hint="eastAsia" w:ascii="仿宋" w:hAnsi="仿宋" w:eastAsia="仿宋" w:cs="Times New Roman"/>
          <w:spacing w:val="-2"/>
          <w:sz w:val="32"/>
          <w:szCs w:val="32"/>
          <w:highlight w:val="none"/>
        </w:rPr>
        <w:t>年支出预算调整数</w:t>
      </w:r>
      <w:r>
        <w:rPr>
          <w:rFonts w:hint="eastAsia" w:ascii="仿宋" w:hAnsi="仿宋" w:eastAsia="仿宋" w:cs="Times New Roman"/>
          <w:spacing w:val="-2"/>
          <w:sz w:val="32"/>
          <w:szCs w:val="32"/>
          <w:highlight w:val="none"/>
          <w:lang w:val="en-US" w:eastAsia="zh-CN"/>
        </w:rPr>
        <w:t>14.04</w:t>
      </w:r>
      <w:r>
        <w:rPr>
          <w:rFonts w:hint="eastAsia" w:ascii="仿宋" w:hAnsi="仿宋" w:eastAsia="仿宋" w:cs="Times New Roman"/>
          <w:spacing w:val="-2"/>
          <w:sz w:val="32"/>
          <w:szCs w:val="32"/>
          <w:highlight w:val="none"/>
        </w:rPr>
        <w:t>万元，与年初预算安排的差额</w:t>
      </w:r>
      <w:r>
        <w:rPr>
          <w:rFonts w:hint="eastAsia" w:ascii="仿宋" w:hAnsi="仿宋" w:eastAsia="仿宋" w:cs="Times New Roman"/>
          <w:spacing w:val="-2"/>
          <w:sz w:val="32"/>
          <w:szCs w:val="32"/>
          <w:highlight w:val="none"/>
          <w:lang w:eastAsia="zh-CN"/>
        </w:rPr>
        <w:t>，</w:t>
      </w:r>
      <w:r>
        <w:rPr>
          <w:rFonts w:hint="eastAsia" w:ascii="仿宋" w:hAnsi="仿宋" w:eastAsia="仿宋" w:cs="Times New Roman"/>
          <w:spacing w:val="-2"/>
          <w:sz w:val="32"/>
          <w:szCs w:val="32"/>
          <w:highlight w:val="none"/>
        </w:rPr>
        <w:t>主要是</w:t>
      </w:r>
      <w:r>
        <w:rPr>
          <w:rFonts w:hint="eastAsia" w:ascii="仿宋" w:hAnsi="仿宋" w:eastAsia="仿宋" w:cs="仿宋"/>
          <w:color w:val="auto"/>
          <w:spacing w:val="-2"/>
          <w:sz w:val="32"/>
          <w:szCs w:val="32"/>
          <w:highlight w:val="none"/>
          <w:lang w:val="en-US" w:eastAsia="zh-CN"/>
        </w:rPr>
        <w:t>2023年编制人员新增6人，工资福利支出和</w:t>
      </w:r>
      <w:r>
        <w:rPr>
          <w:rFonts w:hint="eastAsia" w:ascii="仿宋" w:hAnsi="仿宋" w:eastAsia="仿宋" w:cs="仿宋"/>
          <w:spacing w:val="-2"/>
          <w:sz w:val="32"/>
          <w:szCs w:val="32"/>
          <w:highlight w:val="none"/>
        </w:rPr>
        <w:t>对个人和家庭补助支出</w:t>
      </w:r>
      <w:r>
        <w:rPr>
          <w:rFonts w:hint="eastAsia" w:ascii="仿宋" w:hAnsi="仿宋" w:eastAsia="仿宋" w:cs="仿宋"/>
          <w:color w:val="auto"/>
          <w:spacing w:val="-2"/>
          <w:sz w:val="32"/>
          <w:szCs w:val="32"/>
          <w:highlight w:val="none"/>
          <w:lang w:val="en-US" w:eastAsia="zh-CN"/>
        </w:rPr>
        <w:t>增加。</w:t>
      </w:r>
    </w:p>
    <w:p w14:paraId="0454C0B5">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76" w:firstLineChars="200"/>
        <w:textAlignment w:val="baseline"/>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14:paraId="6018091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20" w:firstLineChars="200"/>
        <w:textAlignment w:val="baseline"/>
        <w:rPr>
          <w:spacing w:val="-5"/>
          <w:sz w:val="32"/>
          <w:szCs w:val="32"/>
          <w:lang w:eastAsia="zh-CN"/>
        </w:rPr>
      </w:pPr>
      <w:r>
        <w:rPr>
          <w:spacing w:val="-5"/>
          <w:sz w:val="32"/>
          <w:szCs w:val="32"/>
          <w:lang w:eastAsia="zh-CN"/>
        </w:rPr>
        <w:t>1.基本支出情况</w:t>
      </w:r>
    </w:p>
    <w:p w14:paraId="02A26C8F">
      <w:pPr>
        <w:keepNext w:val="0"/>
        <w:keepLines w:val="0"/>
        <w:pageBreakBefore w:val="0"/>
        <w:widowControl/>
        <w:shd w:val="clear" w:color="auto" w:fill="FFFFFF"/>
        <w:kinsoku/>
        <w:wordWrap/>
        <w:overflowPunct/>
        <w:topLinePunct w:val="0"/>
        <w:autoSpaceDE/>
        <w:autoSpaceDN/>
        <w:bidi w:val="0"/>
        <w:adjustRightInd/>
        <w:spacing w:line="560" w:lineRule="exact"/>
        <w:ind w:left="0" w:right="0" w:firstLine="640"/>
        <w:textAlignment w:val="auto"/>
        <w:rPr>
          <w:rFonts w:hint="default"/>
          <w:color w:val="auto"/>
          <w:highlight w:val="none"/>
          <w:lang w:val="en-US"/>
        </w:rPr>
      </w:pPr>
      <w:r>
        <w:rPr>
          <w:rFonts w:ascii="仿宋" w:hAnsi="仿宋" w:eastAsia="仿宋" w:cs="仿宋"/>
          <w:color w:val="auto"/>
          <w:spacing w:val="-2"/>
          <w:kern w:val="2"/>
          <w:sz w:val="32"/>
          <w:szCs w:val="32"/>
          <w:highlight w:val="none"/>
          <w:lang w:val="en-US" w:eastAsia="zh-CN" w:bidi="ar-SA"/>
        </w:rPr>
        <w:t>基本支出系保障</w:t>
      </w:r>
      <w:r>
        <w:rPr>
          <w:rFonts w:hint="eastAsia" w:ascii="仿宋" w:hAnsi="仿宋" w:eastAsia="仿宋" w:cs="仿宋"/>
          <w:color w:val="auto"/>
          <w:spacing w:val="-2"/>
          <w:kern w:val="2"/>
          <w:sz w:val="32"/>
          <w:szCs w:val="32"/>
          <w:highlight w:val="none"/>
          <w:lang w:val="en-US" w:eastAsia="zh-CN" w:bidi="ar-SA"/>
        </w:rPr>
        <w:t>本单位</w:t>
      </w:r>
      <w:r>
        <w:rPr>
          <w:rFonts w:ascii="仿宋" w:hAnsi="仿宋" w:eastAsia="仿宋" w:cs="仿宋"/>
          <w:color w:val="auto"/>
          <w:spacing w:val="-2"/>
          <w:kern w:val="2"/>
          <w:sz w:val="32"/>
          <w:szCs w:val="32"/>
          <w:highlight w:val="none"/>
          <w:lang w:val="en-US" w:eastAsia="zh-CN" w:bidi="ar-SA"/>
        </w:rPr>
        <w:t>正常运转、完成日常工作任务而发生的</w:t>
      </w:r>
      <w:r>
        <w:rPr>
          <w:rFonts w:hint="eastAsia" w:ascii="仿宋" w:hAnsi="仿宋" w:eastAsia="仿宋" w:cs="仿宋"/>
          <w:color w:val="auto"/>
          <w:spacing w:val="-2"/>
          <w:kern w:val="2"/>
          <w:sz w:val="32"/>
          <w:szCs w:val="21"/>
          <w:highlight w:val="none"/>
          <w:lang w:val="en-US" w:eastAsia="zh-CN" w:bidi="ar-SA"/>
        </w:rPr>
        <w:t>人员经费和日常公用经费。</w:t>
      </w:r>
      <w:r>
        <w:rPr>
          <w:rFonts w:hint="eastAsia" w:ascii="仿宋" w:hAnsi="仿宋" w:eastAsia="仿宋" w:cs="Times New Roman"/>
          <w:spacing w:val="-2"/>
          <w:sz w:val="32"/>
          <w:szCs w:val="32"/>
          <w:highlight w:val="none"/>
        </w:rPr>
        <w:t>20</w:t>
      </w:r>
      <w:r>
        <w:rPr>
          <w:rFonts w:hint="eastAsia" w:ascii="仿宋" w:hAnsi="仿宋" w:eastAsia="仿宋" w:cs="Times New Roman"/>
          <w:spacing w:val="-2"/>
          <w:sz w:val="32"/>
          <w:szCs w:val="32"/>
          <w:highlight w:val="none"/>
          <w:lang w:val="en-US" w:eastAsia="zh-CN"/>
        </w:rPr>
        <w:t>23</w:t>
      </w:r>
      <w:r>
        <w:rPr>
          <w:rFonts w:hint="eastAsia" w:ascii="仿宋" w:hAnsi="仿宋" w:eastAsia="仿宋" w:cs="Times New Roman"/>
          <w:spacing w:val="-2"/>
          <w:sz w:val="32"/>
          <w:szCs w:val="32"/>
          <w:highlight w:val="none"/>
        </w:rPr>
        <w:t>年基本支出</w:t>
      </w:r>
      <w:r>
        <w:rPr>
          <w:rFonts w:hint="eastAsia" w:ascii="仿宋" w:hAnsi="仿宋" w:eastAsia="仿宋" w:cs="Times New Roman"/>
          <w:color w:val="auto"/>
          <w:spacing w:val="-2"/>
          <w:sz w:val="32"/>
          <w:szCs w:val="32"/>
          <w:highlight w:val="none"/>
          <w:lang w:val="en-US" w:eastAsia="zh-CN"/>
        </w:rPr>
        <w:t>256.56</w:t>
      </w:r>
      <w:r>
        <w:rPr>
          <w:rFonts w:hint="eastAsia" w:ascii="仿宋" w:hAnsi="仿宋" w:eastAsia="仿宋" w:cs="Times New Roman"/>
          <w:spacing w:val="-2"/>
          <w:sz w:val="32"/>
          <w:szCs w:val="32"/>
          <w:highlight w:val="none"/>
        </w:rPr>
        <w:t>万元</w:t>
      </w:r>
      <w:r>
        <w:rPr>
          <w:rFonts w:hint="eastAsia" w:ascii="仿宋" w:hAnsi="仿宋" w:eastAsia="仿宋" w:cs="Times New Roman"/>
          <w:spacing w:val="-2"/>
          <w:sz w:val="32"/>
          <w:szCs w:val="32"/>
          <w:highlight w:val="none"/>
          <w:lang w:eastAsia="zh-CN"/>
        </w:rPr>
        <w:t>，</w:t>
      </w:r>
      <w:r>
        <w:rPr>
          <w:rFonts w:ascii="仿宋" w:hAnsi="仿宋" w:eastAsia="仿宋" w:cs="仿宋"/>
          <w:color w:val="auto"/>
          <w:spacing w:val="-2"/>
          <w:kern w:val="2"/>
          <w:sz w:val="32"/>
          <w:szCs w:val="32"/>
          <w:highlight w:val="none"/>
          <w:lang w:val="en-US" w:eastAsia="zh-CN" w:bidi="ar-SA"/>
        </w:rPr>
        <w:t>较上年</w:t>
      </w:r>
      <w:r>
        <w:rPr>
          <w:rFonts w:hint="eastAsia" w:ascii="仿宋" w:hAnsi="仿宋" w:eastAsia="仿宋" w:cs="仿宋"/>
          <w:color w:val="auto"/>
          <w:spacing w:val="-2"/>
          <w:kern w:val="2"/>
          <w:sz w:val="32"/>
          <w:szCs w:val="32"/>
          <w:highlight w:val="none"/>
          <w:lang w:val="en-US" w:eastAsia="zh-CN" w:bidi="ar-SA"/>
        </w:rPr>
        <w:t>增加93.56</w:t>
      </w:r>
      <w:r>
        <w:rPr>
          <w:rFonts w:ascii="仿宋" w:hAnsi="仿宋" w:eastAsia="仿宋" w:cs="仿宋"/>
          <w:color w:val="auto"/>
          <w:spacing w:val="-2"/>
          <w:kern w:val="2"/>
          <w:sz w:val="32"/>
          <w:szCs w:val="32"/>
          <w:highlight w:val="none"/>
          <w:lang w:val="en-US" w:eastAsia="zh-CN" w:bidi="ar-SA"/>
        </w:rPr>
        <w:t>万元，</w:t>
      </w:r>
      <w:r>
        <w:rPr>
          <w:rFonts w:hint="eastAsia" w:ascii="仿宋" w:hAnsi="仿宋" w:eastAsia="仿宋" w:cs="仿宋"/>
          <w:color w:val="auto"/>
          <w:spacing w:val="-2"/>
          <w:kern w:val="2"/>
          <w:sz w:val="32"/>
          <w:szCs w:val="32"/>
          <w:highlight w:val="none"/>
          <w:lang w:val="en-US" w:eastAsia="zh-CN" w:bidi="ar-SA"/>
        </w:rPr>
        <w:t>提升57.40%，主要</w:t>
      </w:r>
      <w:r>
        <w:rPr>
          <w:rFonts w:hint="eastAsia" w:ascii="仿宋" w:hAnsi="仿宋" w:eastAsia="仿宋" w:cs="仿宋"/>
          <w:spacing w:val="-2"/>
          <w:sz w:val="32"/>
          <w:szCs w:val="32"/>
          <w:highlight w:val="none"/>
        </w:rPr>
        <w:t>是</w:t>
      </w:r>
      <w:r>
        <w:rPr>
          <w:rFonts w:hint="eastAsia" w:ascii="仿宋" w:hAnsi="仿宋" w:eastAsia="仿宋" w:cs="仿宋"/>
          <w:color w:val="auto"/>
          <w:spacing w:val="-2"/>
          <w:sz w:val="32"/>
          <w:szCs w:val="32"/>
          <w:highlight w:val="none"/>
          <w:lang w:val="en-US" w:eastAsia="zh-CN"/>
        </w:rPr>
        <w:t>因为工资福利支出、商品和服务支出、对个人和家庭的补助等支出增加</w:t>
      </w:r>
      <w:r>
        <w:rPr>
          <w:rFonts w:ascii="仿宋" w:hAnsi="仿宋" w:eastAsia="仿宋" w:cs="仿宋"/>
          <w:color w:val="auto"/>
          <w:spacing w:val="-2"/>
          <w:kern w:val="2"/>
          <w:sz w:val="32"/>
          <w:szCs w:val="32"/>
          <w:highlight w:val="none"/>
          <w:lang w:val="en-US" w:eastAsia="zh-CN" w:bidi="ar-SA"/>
        </w:rPr>
        <w:t>。</w:t>
      </w:r>
      <w:r>
        <w:rPr>
          <w:rFonts w:hint="eastAsia" w:ascii="仿宋" w:hAnsi="仿宋" w:eastAsia="仿宋" w:cs="仿宋"/>
          <w:color w:val="auto"/>
          <w:spacing w:val="-2"/>
          <w:kern w:val="2"/>
          <w:sz w:val="32"/>
          <w:szCs w:val="32"/>
          <w:highlight w:val="none"/>
          <w:lang w:val="en-US" w:eastAsia="zh-CN" w:bidi="ar-SA"/>
        </w:rPr>
        <w:t>具体情况如下：</w:t>
      </w:r>
    </w:p>
    <w:p w14:paraId="6328AEF7">
      <w:pPr>
        <w:keepNext w:val="0"/>
        <w:keepLines w:val="0"/>
        <w:pageBreakBefore w:val="0"/>
        <w:widowControl/>
        <w:shd w:val="clear" w:color="auto" w:fill="FFFFFF"/>
        <w:kinsoku/>
        <w:wordWrap/>
        <w:overflowPunct/>
        <w:topLinePunct w:val="0"/>
        <w:autoSpaceDE/>
        <w:autoSpaceDN/>
        <w:bidi w:val="0"/>
        <w:adjustRightInd/>
        <w:spacing w:line="560" w:lineRule="exact"/>
        <w:ind w:left="0" w:right="0" w:firstLine="640"/>
        <w:textAlignment w:val="auto"/>
        <w:rPr>
          <w:color w:val="auto"/>
          <w:highlight w:val="none"/>
        </w:rPr>
      </w:pPr>
      <w:r>
        <w:rPr>
          <w:rFonts w:hint="eastAsia" w:ascii="仿宋" w:hAnsi="仿宋" w:eastAsia="仿宋" w:cs="仿宋"/>
          <w:color w:val="auto"/>
          <w:spacing w:val="-2"/>
          <w:kern w:val="2"/>
          <w:sz w:val="32"/>
          <w:szCs w:val="32"/>
          <w:highlight w:val="none"/>
          <w:lang w:val="en-US" w:eastAsia="zh-CN" w:bidi="ar-SA"/>
        </w:rPr>
        <w:t>（1）</w:t>
      </w:r>
      <w:r>
        <w:rPr>
          <w:rFonts w:hint="eastAsia" w:ascii="仿宋" w:hAnsi="仿宋" w:eastAsia="仿宋" w:cs="仿宋"/>
          <w:spacing w:val="-2"/>
          <w:sz w:val="32"/>
          <w:szCs w:val="32"/>
          <w:highlight w:val="none"/>
        </w:rPr>
        <w:t>人员经费</w:t>
      </w:r>
      <w:r>
        <w:rPr>
          <w:rFonts w:hint="eastAsia" w:ascii="仿宋" w:hAnsi="仿宋" w:eastAsia="仿宋" w:cs="仿宋"/>
          <w:color w:val="auto"/>
          <w:spacing w:val="-2"/>
          <w:kern w:val="2"/>
          <w:sz w:val="32"/>
          <w:szCs w:val="32"/>
          <w:highlight w:val="none"/>
          <w:lang w:val="en-US" w:eastAsia="zh-CN" w:bidi="ar-SA"/>
        </w:rPr>
        <w:t>227.87万</w:t>
      </w:r>
      <w:r>
        <w:rPr>
          <w:rFonts w:hint="eastAsia" w:ascii="仿宋" w:hAnsi="仿宋" w:eastAsia="仿宋" w:cs="仿宋"/>
          <w:spacing w:val="-2"/>
          <w:sz w:val="32"/>
          <w:szCs w:val="32"/>
          <w:highlight w:val="none"/>
        </w:rPr>
        <w:t>元，占基本支出的</w:t>
      </w:r>
      <w:r>
        <w:rPr>
          <w:rFonts w:hint="eastAsia" w:ascii="仿宋" w:hAnsi="仿宋" w:eastAsia="仿宋" w:cs="仿宋"/>
          <w:color w:val="auto"/>
          <w:spacing w:val="-2"/>
          <w:kern w:val="2"/>
          <w:sz w:val="32"/>
          <w:szCs w:val="32"/>
          <w:highlight w:val="none"/>
          <w:lang w:val="en-US" w:eastAsia="zh-CN" w:bidi="ar-SA"/>
        </w:rPr>
        <w:t>88.82%</w:t>
      </w:r>
      <w:r>
        <w:rPr>
          <w:rFonts w:hint="eastAsia" w:ascii="仿宋" w:hAnsi="仿宋" w:eastAsia="仿宋" w:cs="仿宋"/>
          <w:spacing w:val="-2"/>
          <w:sz w:val="32"/>
          <w:szCs w:val="32"/>
          <w:highlight w:val="none"/>
        </w:rPr>
        <w:t>，较</w:t>
      </w:r>
      <w:r>
        <w:rPr>
          <w:rFonts w:hint="eastAsia" w:ascii="仿宋" w:hAnsi="仿宋" w:eastAsia="仿宋" w:cs="仿宋"/>
          <w:color w:val="auto"/>
          <w:spacing w:val="-2"/>
          <w:sz w:val="32"/>
          <w:szCs w:val="32"/>
          <w:highlight w:val="none"/>
        </w:rPr>
        <w:t>上年</w:t>
      </w:r>
      <w:r>
        <w:rPr>
          <w:rFonts w:hint="eastAsia" w:ascii="仿宋" w:hAnsi="仿宋" w:eastAsia="仿宋" w:cs="仿宋"/>
          <w:color w:val="auto"/>
          <w:spacing w:val="-2"/>
          <w:sz w:val="32"/>
          <w:szCs w:val="32"/>
          <w:highlight w:val="none"/>
          <w:lang w:val="en-US" w:eastAsia="zh-CN"/>
        </w:rPr>
        <w:t>增加87.52万元，提升62.36%</w:t>
      </w:r>
      <w:r>
        <w:rPr>
          <w:rFonts w:hint="eastAsia" w:ascii="仿宋" w:hAnsi="仿宋" w:eastAsia="仿宋" w:cs="仿宋"/>
          <w:spacing w:val="-2"/>
          <w:sz w:val="32"/>
          <w:szCs w:val="32"/>
          <w:highlight w:val="none"/>
        </w:rPr>
        <w:t>，主要是</w:t>
      </w:r>
      <w:r>
        <w:rPr>
          <w:rFonts w:hint="eastAsia" w:ascii="仿宋" w:hAnsi="仿宋" w:eastAsia="仿宋" w:cs="仿宋"/>
          <w:color w:val="auto"/>
          <w:spacing w:val="-2"/>
          <w:sz w:val="32"/>
          <w:szCs w:val="32"/>
          <w:highlight w:val="none"/>
          <w:lang w:val="en-US" w:eastAsia="zh-CN"/>
        </w:rPr>
        <w:t>因为2023年编制人员增加6人，工资福利支出和</w:t>
      </w:r>
      <w:r>
        <w:rPr>
          <w:rFonts w:hint="eastAsia" w:ascii="仿宋" w:hAnsi="仿宋" w:eastAsia="仿宋" w:cs="仿宋"/>
          <w:spacing w:val="-2"/>
          <w:sz w:val="32"/>
          <w:szCs w:val="32"/>
          <w:highlight w:val="none"/>
        </w:rPr>
        <w:t>对个人和家庭补助支出</w:t>
      </w:r>
      <w:r>
        <w:rPr>
          <w:rFonts w:hint="eastAsia" w:ascii="仿宋" w:hAnsi="仿宋" w:eastAsia="仿宋" w:cs="仿宋"/>
          <w:color w:val="auto"/>
          <w:spacing w:val="-2"/>
          <w:sz w:val="32"/>
          <w:szCs w:val="32"/>
          <w:highlight w:val="none"/>
          <w:lang w:val="en-US" w:eastAsia="zh-CN"/>
        </w:rPr>
        <w:t>增加</w:t>
      </w:r>
      <w:r>
        <w:rPr>
          <w:rFonts w:hint="eastAsia" w:ascii="仿宋" w:hAnsi="仿宋" w:eastAsia="仿宋" w:cs="仿宋"/>
          <w:color w:val="auto"/>
          <w:spacing w:val="-2"/>
          <w:sz w:val="32"/>
          <w:szCs w:val="32"/>
          <w:highlight w:val="none"/>
        </w:rPr>
        <w:t>。</w:t>
      </w:r>
    </w:p>
    <w:p w14:paraId="2FA47931">
      <w:pPr>
        <w:keepNext w:val="0"/>
        <w:keepLines w:val="0"/>
        <w:pageBreakBefore w:val="0"/>
        <w:widowControl/>
        <w:shd w:val="clear" w:color="auto" w:fill="FFFFFF"/>
        <w:kinsoku/>
        <w:wordWrap/>
        <w:overflowPunct/>
        <w:topLinePunct w:val="0"/>
        <w:autoSpaceDE/>
        <w:autoSpaceDN/>
        <w:bidi w:val="0"/>
        <w:adjustRightInd/>
        <w:spacing w:line="560" w:lineRule="exact"/>
        <w:ind w:left="0" w:right="0" w:firstLine="640"/>
        <w:textAlignment w:val="auto"/>
        <w:rPr>
          <w:rFonts w:hint="eastAsia" w:hAnsi="仿宋" w:eastAsia="仿宋"/>
          <w:spacing w:val="-2"/>
          <w:sz w:val="32"/>
          <w:szCs w:val="32"/>
          <w:highlight w:val="none"/>
          <w:lang w:eastAsia="zh-CN"/>
        </w:rPr>
      </w:pPr>
      <w:r>
        <w:rPr>
          <w:rFonts w:hint="eastAsia" w:ascii="仿宋" w:hAnsi="仿宋" w:eastAsia="仿宋" w:cs="仿宋"/>
          <w:spacing w:val="-2"/>
          <w:sz w:val="32"/>
          <w:szCs w:val="32"/>
          <w:highlight w:val="none"/>
        </w:rPr>
        <w:t>①工资福利支出</w:t>
      </w:r>
      <w:r>
        <w:rPr>
          <w:rFonts w:hint="eastAsia" w:ascii="仿宋" w:hAnsi="仿宋" w:eastAsia="仿宋" w:cs="仿宋"/>
          <w:color w:val="auto"/>
          <w:spacing w:val="-2"/>
          <w:kern w:val="2"/>
          <w:sz w:val="32"/>
          <w:szCs w:val="32"/>
          <w:highlight w:val="none"/>
          <w:lang w:val="en-US" w:eastAsia="zh-CN" w:bidi="ar-SA"/>
        </w:rPr>
        <w:t>194.94</w:t>
      </w:r>
      <w:r>
        <w:rPr>
          <w:rFonts w:hint="eastAsia" w:ascii="仿宋" w:hAnsi="仿宋" w:eastAsia="仿宋" w:cs="仿宋"/>
          <w:spacing w:val="-2"/>
          <w:sz w:val="32"/>
          <w:szCs w:val="32"/>
          <w:highlight w:val="none"/>
        </w:rPr>
        <w:t>万元</w:t>
      </w:r>
      <w:r>
        <w:rPr>
          <w:rFonts w:hint="eastAsia" w:ascii="仿宋" w:hAnsi="仿宋" w:eastAsia="仿宋" w:cs="仿宋"/>
          <w:spacing w:val="-2"/>
          <w:sz w:val="32"/>
          <w:szCs w:val="32"/>
          <w:highlight w:val="none"/>
          <w:lang w:eastAsia="zh-CN"/>
        </w:rPr>
        <w:t>，</w:t>
      </w:r>
      <w:r>
        <w:rPr>
          <w:rFonts w:hint="eastAsia" w:ascii="仿宋" w:hAnsi="仿宋" w:eastAsia="仿宋" w:cs="仿宋"/>
          <w:spacing w:val="-2"/>
          <w:sz w:val="32"/>
          <w:szCs w:val="32"/>
          <w:highlight w:val="none"/>
        </w:rPr>
        <w:t>主要包括</w:t>
      </w:r>
      <w:r>
        <w:rPr>
          <w:rFonts w:hint="eastAsia" w:ascii="仿宋" w:hAnsi="仿宋" w:eastAsia="仿宋" w:cs="仿宋"/>
          <w:color w:val="auto"/>
          <w:spacing w:val="-2"/>
          <w:sz w:val="32"/>
          <w:szCs w:val="32"/>
          <w:highlight w:val="none"/>
        </w:rPr>
        <w:t>在职人员</w:t>
      </w:r>
      <w:r>
        <w:rPr>
          <w:rFonts w:hint="eastAsia" w:hAnsi="仿宋" w:eastAsia="仿宋"/>
          <w:color w:val="auto"/>
          <w:spacing w:val="-2"/>
          <w:sz w:val="32"/>
          <w:szCs w:val="32"/>
          <w:highlight w:val="none"/>
        </w:rPr>
        <w:t>基</w:t>
      </w:r>
      <w:r>
        <w:rPr>
          <w:rFonts w:hint="eastAsia" w:hAnsi="仿宋" w:eastAsia="仿宋"/>
          <w:spacing w:val="-2"/>
          <w:sz w:val="32"/>
          <w:szCs w:val="32"/>
          <w:highlight w:val="none"/>
        </w:rPr>
        <w:t>本工资、津贴补贴、奖金、机关事业单位基本养老保险缴费、职工基本医疗保险缴费、其他社会保障缴费</w:t>
      </w:r>
      <w:r>
        <w:rPr>
          <w:rFonts w:hint="eastAsia" w:hAnsi="仿宋" w:eastAsia="仿宋"/>
          <w:spacing w:val="-2"/>
          <w:sz w:val="32"/>
          <w:szCs w:val="32"/>
          <w:highlight w:val="none"/>
          <w:lang w:eastAsia="zh-CN"/>
        </w:rPr>
        <w:t>。</w:t>
      </w:r>
    </w:p>
    <w:p w14:paraId="7F3E9C3A">
      <w:pPr>
        <w:keepNext w:val="0"/>
        <w:keepLines w:val="0"/>
        <w:pageBreakBefore w:val="0"/>
        <w:widowControl/>
        <w:shd w:val="clear" w:color="auto" w:fill="FFFFFF"/>
        <w:kinsoku/>
        <w:wordWrap/>
        <w:overflowPunct/>
        <w:topLinePunct w:val="0"/>
        <w:autoSpaceDE/>
        <w:autoSpaceDN/>
        <w:bidi w:val="0"/>
        <w:adjustRightInd/>
        <w:spacing w:line="560" w:lineRule="exact"/>
        <w:ind w:left="0" w:right="0" w:firstLine="640"/>
        <w:textAlignment w:val="auto"/>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②对个人和家庭补助支出</w:t>
      </w:r>
      <w:r>
        <w:rPr>
          <w:rFonts w:hint="eastAsia" w:ascii="仿宋" w:hAnsi="仿宋" w:eastAsia="仿宋" w:cs="仿宋"/>
          <w:color w:val="auto"/>
          <w:spacing w:val="-2"/>
          <w:kern w:val="2"/>
          <w:sz w:val="32"/>
          <w:szCs w:val="32"/>
          <w:highlight w:val="none"/>
          <w:lang w:val="en-US" w:eastAsia="zh-CN" w:bidi="ar-SA"/>
        </w:rPr>
        <w:t>32.93</w:t>
      </w:r>
      <w:r>
        <w:rPr>
          <w:rFonts w:hint="eastAsia" w:ascii="仿宋" w:hAnsi="仿宋" w:eastAsia="仿宋" w:cs="仿宋"/>
          <w:spacing w:val="-2"/>
          <w:sz w:val="32"/>
          <w:szCs w:val="32"/>
          <w:highlight w:val="none"/>
        </w:rPr>
        <w:t>万元。主要包括抚恤金</w:t>
      </w:r>
      <w:r>
        <w:rPr>
          <w:rFonts w:hint="eastAsia" w:ascii="仿宋" w:hAnsi="仿宋" w:eastAsia="仿宋" w:cs="仿宋"/>
          <w:spacing w:val="-2"/>
          <w:sz w:val="32"/>
          <w:szCs w:val="32"/>
          <w:highlight w:val="none"/>
          <w:lang w:eastAsia="zh-CN"/>
        </w:rPr>
        <w:t>、</w:t>
      </w:r>
      <w:r>
        <w:rPr>
          <w:rFonts w:hint="eastAsia" w:ascii="仿宋" w:hAnsi="仿宋" w:eastAsia="仿宋" w:cs="仿宋"/>
          <w:spacing w:val="-2"/>
          <w:sz w:val="32"/>
          <w:szCs w:val="32"/>
          <w:highlight w:val="none"/>
        </w:rPr>
        <w:t>生活补助、奖励金、其他对个人和家庭的补助</w:t>
      </w:r>
      <w:r>
        <w:rPr>
          <w:rFonts w:hint="eastAsia" w:ascii="仿宋" w:hAnsi="仿宋" w:eastAsia="仿宋" w:cs="仿宋"/>
          <w:spacing w:val="-2"/>
          <w:sz w:val="32"/>
          <w:szCs w:val="32"/>
          <w:highlight w:val="none"/>
          <w:lang w:val="en-US" w:eastAsia="zh-CN"/>
        </w:rPr>
        <w:t>等支出</w:t>
      </w:r>
      <w:r>
        <w:rPr>
          <w:rFonts w:hint="eastAsia" w:ascii="仿宋" w:hAnsi="仿宋" w:eastAsia="仿宋" w:cs="仿宋"/>
          <w:spacing w:val="-2"/>
          <w:sz w:val="32"/>
          <w:szCs w:val="32"/>
          <w:highlight w:val="none"/>
        </w:rPr>
        <w:t>。</w:t>
      </w:r>
    </w:p>
    <w:p w14:paraId="27E75834">
      <w:pPr>
        <w:keepNext w:val="0"/>
        <w:keepLines w:val="0"/>
        <w:pageBreakBefore w:val="0"/>
        <w:widowControl/>
        <w:numPr>
          <w:ilvl w:val="0"/>
          <w:numId w:val="0"/>
        </w:numPr>
        <w:shd w:val="clear" w:color="auto" w:fill="FFFFFF"/>
        <w:kinsoku/>
        <w:wordWrap/>
        <w:overflowPunct/>
        <w:topLinePunct w:val="0"/>
        <w:autoSpaceDE/>
        <w:autoSpaceDN/>
        <w:bidi w:val="0"/>
        <w:adjustRightInd/>
        <w:spacing w:line="560" w:lineRule="exact"/>
        <w:ind w:right="0" w:rightChars="0" w:firstLine="632" w:firstLineChars="200"/>
        <w:textAlignment w:val="auto"/>
        <w:rPr>
          <w:rFonts w:hint="eastAsia" w:ascii="仿宋" w:hAnsi="仿宋" w:eastAsia="仿宋" w:cs="仿宋"/>
          <w:color w:val="auto"/>
          <w:spacing w:val="-2"/>
          <w:sz w:val="32"/>
          <w:szCs w:val="32"/>
          <w:highlight w:val="yellow"/>
          <w:lang w:val="en-US" w:eastAsia="zh-CN"/>
        </w:rPr>
      </w:pPr>
      <w:r>
        <w:rPr>
          <w:rFonts w:hint="eastAsia" w:ascii="仿宋" w:hAnsi="仿宋" w:eastAsia="仿宋" w:cs="仿宋"/>
          <w:spacing w:val="-2"/>
          <w:kern w:val="2"/>
          <w:sz w:val="32"/>
          <w:szCs w:val="32"/>
          <w:highlight w:val="none"/>
          <w:lang w:val="en-US" w:eastAsia="zh-CN" w:bidi="ar-SA"/>
        </w:rPr>
        <w:t>（2）</w:t>
      </w:r>
      <w:r>
        <w:rPr>
          <w:rFonts w:hint="eastAsia" w:ascii="仿宋" w:hAnsi="仿宋" w:eastAsia="仿宋" w:cs="仿宋"/>
          <w:spacing w:val="-2"/>
          <w:sz w:val="32"/>
          <w:szCs w:val="32"/>
          <w:highlight w:val="none"/>
        </w:rPr>
        <w:t>日常公用经费28.69万元，占基本支出的</w:t>
      </w:r>
      <w:r>
        <w:rPr>
          <w:rFonts w:hint="eastAsia" w:ascii="仿宋" w:hAnsi="仿宋" w:eastAsia="仿宋" w:cs="仿宋"/>
          <w:color w:val="auto"/>
          <w:spacing w:val="-2"/>
          <w:kern w:val="2"/>
          <w:sz w:val="32"/>
          <w:szCs w:val="32"/>
          <w:highlight w:val="none"/>
          <w:lang w:val="en-US" w:eastAsia="zh-CN" w:bidi="ar-SA"/>
        </w:rPr>
        <w:t>11.18%</w:t>
      </w:r>
      <w:r>
        <w:rPr>
          <w:rFonts w:hint="eastAsia" w:ascii="仿宋" w:hAnsi="仿宋" w:eastAsia="仿宋" w:cs="仿宋"/>
          <w:spacing w:val="-2"/>
          <w:sz w:val="32"/>
          <w:szCs w:val="32"/>
          <w:highlight w:val="none"/>
        </w:rPr>
        <w:t>，</w:t>
      </w:r>
      <w:r>
        <w:rPr>
          <w:rFonts w:hint="eastAsia" w:ascii="仿宋" w:hAnsi="仿宋" w:eastAsia="仿宋" w:cs="仿宋"/>
          <w:color w:val="auto"/>
          <w:spacing w:val="-2"/>
          <w:kern w:val="2"/>
          <w:sz w:val="32"/>
          <w:szCs w:val="32"/>
          <w:highlight w:val="none"/>
          <w:lang w:val="en-US" w:eastAsia="zh-CN" w:bidi="ar-SA"/>
        </w:rPr>
        <w:t>较上年增加6.04万元，提升26.67%，</w:t>
      </w:r>
      <w:r>
        <w:rPr>
          <w:rFonts w:hint="eastAsia" w:ascii="仿宋" w:hAnsi="仿宋" w:eastAsia="仿宋" w:cs="仿宋"/>
          <w:color w:val="auto"/>
          <w:spacing w:val="-2"/>
          <w:sz w:val="32"/>
          <w:szCs w:val="32"/>
          <w:highlight w:val="none"/>
        </w:rPr>
        <w:t>主要是</w:t>
      </w:r>
      <w:r>
        <w:rPr>
          <w:rFonts w:hint="eastAsia" w:ascii="仿宋" w:hAnsi="仿宋" w:eastAsia="仿宋" w:cs="仿宋"/>
          <w:color w:val="auto"/>
          <w:spacing w:val="-2"/>
          <w:sz w:val="32"/>
          <w:szCs w:val="32"/>
          <w:highlight w:val="none"/>
          <w:lang w:val="en-US" w:eastAsia="zh-CN"/>
        </w:rPr>
        <w:t>2023年办公费、印刷费、工会经费、其他交通费用等增加。</w:t>
      </w:r>
    </w:p>
    <w:p w14:paraId="77606936">
      <w:pPr>
        <w:keepNext w:val="0"/>
        <w:keepLines w:val="0"/>
        <w:pageBreakBefore w:val="0"/>
        <w:widowControl/>
        <w:numPr>
          <w:ilvl w:val="0"/>
          <w:numId w:val="0"/>
        </w:numPr>
        <w:shd w:val="clear" w:color="auto" w:fill="FFFFFF"/>
        <w:kinsoku/>
        <w:wordWrap/>
        <w:overflowPunct/>
        <w:topLinePunct w:val="0"/>
        <w:autoSpaceDE/>
        <w:autoSpaceDN/>
        <w:bidi w:val="0"/>
        <w:adjustRightInd/>
        <w:spacing w:line="560" w:lineRule="exact"/>
        <w:ind w:right="0" w:rightChars="0" w:firstLine="632" w:firstLineChars="200"/>
        <w:textAlignment w:val="auto"/>
        <w:rPr>
          <w:highlight w:val="none"/>
        </w:rPr>
      </w:pPr>
      <w:r>
        <w:rPr>
          <w:rFonts w:hint="eastAsia" w:ascii="仿宋" w:hAnsi="仿宋" w:eastAsia="仿宋" w:cs="仿宋"/>
          <w:spacing w:val="-2"/>
          <w:sz w:val="32"/>
          <w:szCs w:val="32"/>
          <w:highlight w:val="none"/>
        </w:rPr>
        <w:t>①商品和服务支出</w:t>
      </w:r>
      <w:r>
        <w:rPr>
          <w:rFonts w:hint="eastAsia" w:ascii="仿宋" w:hAnsi="仿宋" w:eastAsia="仿宋" w:cs="仿宋"/>
          <w:color w:val="auto"/>
          <w:spacing w:val="-2"/>
          <w:kern w:val="2"/>
          <w:sz w:val="32"/>
          <w:szCs w:val="32"/>
          <w:highlight w:val="none"/>
          <w:lang w:val="en-US" w:eastAsia="zh-CN" w:bidi="ar-SA"/>
        </w:rPr>
        <w:t>27.68</w:t>
      </w:r>
      <w:r>
        <w:rPr>
          <w:rFonts w:hint="eastAsia" w:ascii="仿宋" w:hAnsi="仿宋" w:eastAsia="仿宋" w:cs="仿宋"/>
          <w:spacing w:val="-2"/>
          <w:sz w:val="32"/>
          <w:szCs w:val="32"/>
          <w:highlight w:val="none"/>
        </w:rPr>
        <w:t>万元。主要包括</w:t>
      </w:r>
      <w:r>
        <w:rPr>
          <w:rFonts w:hint="eastAsia" w:ascii="仿宋" w:hAnsi="仿宋" w:eastAsia="仿宋" w:cs="仿宋"/>
          <w:spacing w:val="-2"/>
          <w:sz w:val="32"/>
          <w:szCs w:val="32"/>
          <w:highlight w:val="none"/>
          <w:lang w:val="en-US" w:eastAsia="zh-CN"/>
        </w:rPr>
        <w:t>维护</w:t>
      </w:r>
      <w:r>
        <w:rPr>
          <w:rFonts w:hint="eastAsia" w:ascii="仿宋" w:hAnsi="仿宋" w:eastAsia="仿宋" w:cs="仿宋"/>
          <w:spacing w:val="-2"/>
          <w:sz w:val="32"/>
          <w:szCs w:val="32"/>
          <w:highlight w:val="none"/>
        </w:rPr>
        <w:t>日常运行</w:t>
      </w:r>
      <w:r>
        <w:rPr>
          <w:rFonts w:hint="eastAsia" w:ascii="仿宋" w:hAnsi="仿宋" w:eastAsia="仿宋" w:cs="仿宋"/>
          <w:spacing w:val="-2"/>
          <w:sz w:val="32"/>
          <w:szCs w:val="32"/>
          <w:highlight w:val="none"/>
          <w:lang w:eastAsia="zh-CN"/>
        </w:rPr>
        <w:t>的</w:t>
      </w:r>
      <w:r>
        <w:rPr>
          <w:rFonts w:hint="eastAsia" w:ascii="仿宋" w:hAnsi="仿宋" w:eastAsia="仿宋" w:cs="仿宋"/>
          <w:spacing w:val="-2"/>
          <w:sz w:val="32"/>
          <w:szCs w:val="32"/>
          <w:highlight w:val="none"/>
        </w:rPr>
        <w:t>办公费、印刷费、邮电费、差旅费、</w:t>
      </w:r>
      <w:r>
        <w:rPr>
          <w:rFonts w:hint="eastAsia" w:ascii="仿宋" w:hAnsi="仿宋" w:eastAsia="仿宋" w:cs="仿宋"/>
          <w:spacing w:val="-2"/>
          <w:sz w:val="32"/>
          <w:szCs w:val="32"/>
          <w:highlight w:val="none"/>
          <w:lang w:val="en-US" w:eastAsia="zh-CN"/>
        </w:rPr>
        <w:t>会议费</w:t>
      </w:r>
      <w:r>
        <w:rPr>
          <w:rFonts w:hint="eastAsia" w:ascii="仿宋" w:hAnsi="仿宋" w:eastAsia="仿宋" w:cs="仿宋"/>
          <w:spacing w:val="-2"/>
          <w:sz w:val="32"/>
          <w:szCs w:val="32"/>
          <w:highlight w:val="none"/>
        </w:rPr>
        <w:t>、</w:t>
      </w:r>
      <w:r>
        <w:rPr>
          <w:rFonts w:hint="eastAsia" w:ascii="仿宋" w:hAnsi="仿宋" w:eastAsia="仿宋" w:cs="仿宋"/>
          <w:spacing w:val="-2"/>
          <w:sz w:val="32"/>
          <w:szCs w:val="32"/>
          <w:highlight w:val="none"/>
          <w:lang w:val="en-US" w:eastAsia="zh-CN"/>
        </w:rPr>
        <w:t>工会经费</w:t>
      </w:r>
      <w:r>
        <w:rPr>
          <w:rFonts w:hint="eastAsia" w:ascii="仿宋" w:hAnsi="仿宋" w:eastAsia="仿宋" w:cs="仿宋"/>
          <w:spacing w:val="-2"/>
          <w:sz w:val="32"/>
          <w:szCs w:val="32"/>
          <w:highlight w:val="none"/>
        </w:rPr>
        <w:t>、其他交通费用、其他商品和服务支出等。</w:t>
      </w:r>
    </w:p>
    <w:p w14:paraId="00E90804">
      <w:pPr>
        <w:keepNext w:val="0"/>
        <w:keepLines w:val="0"/>
        <w:pageBreakBefore w:val="0"/>
        <w:widowControl/>
        <w:shd w:val="clear" w:color="auto" w:fill="FFFFFF"/>
        <w:kinsoku/>
        <w:wordWrap/>
        <w:overflowPunct/>
        <w:topLinePunct w:val="0"/>
        <w:autoSpaceDE/>
        <w:autoSpaceDN/>
        <w:bidi w:val="0"/>
        <w:adjustRightInd/>
        <w:spacing w:line="560" w:lineRule="exact"/>
        <w:ind w:firstLine="640"/>
        <w:textAlignment w:val="auto"/>
        <w:rPr>
          <w:lang w:eastAsia="zh-CN"/>
        </w:rPr>
      </w:pPr>
      <w:r>
        <w:rPr>
          <w:rFonts w:hint="eastAsia" w:ascii="仿宋" w:hAnsi="仿宋" w:eastAsia="仿宋" w:cs="仿宋"/>
          <w:spacing w:val="-2"/>
          <w:sz w:val="32"/>
          <w:szCs w:val="32"/>
          <w:highlight w:val="none"/>
        </w:rPr>
        <w:t>②资本性支出</w:t>
      </w:r>
      <w:r>
        <w:rPr>
          <w:rFonts w:hint="eastAsia" w:ascii="仿宋" w:hAnsi="仿宋" w:eastAsia="仿宋" w:cs="仿宋"/>
          <w:color w:val="auto"/>
          <w:spacing w:val="-2"/>
          <w:sz w:val="32"/>
          <w:szCs w:val="32"/>
          <w:highlight w:val="none"/>
        </w:rPr>
        <w:t>1.0</w:t>
      </w:r>
      <w:r>
        <w:rPr>
          <w:rFonts w:hint="eastAsia" w:ascii="仿宋" w:hAnsi="仿宋" w:eastAsia="仿宋" w:cs="仿宋"/>
          <w:color w:val="auto"/>
          <w:spacing w:val="-2"/>
          <w:sz w:val="32"/>
          <w:szCs w:val="32"/>
          <w:highlight w:val="none"/>
          <w:lang w:val="en-US" w:eastAsia="zh-CN"/>
        </w:rPr>
        <w:t>1</w:t>
      </w:r>
      <w:r>
        <w:rPr>
          <w:rFonts w:hint="eastAsia" w:ascii="仿宋" w:hAnsi="仿宋" w:eastAsia="仿宋" w:cs="仿宋"/>
          <w:spacing w:val="-2"/>
          <w:sz w:val="32"/>
          <w:szCs w:val="32"/>
          <w:highlight w:val="none"/>
          <w:lang w:val="en-US" w:eastAsia="zh-CN"/>
        </w:rPr>
        <w:t>万元。主要包括办公设备购置。</w:t>
      </w:r>
    </w:p>
    <w:p w14:paraId="494D098F">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32" w:firstLineChars="200"/>
        <w:textAlignment w:val="baseline"/>
        <w:rPr>
          <w:spacing w:val="-2"/>
          <w:sz w:val="32"/>
          <w:szCs w:val="32"/>
          <w:lang w:eastAsia="zh-CN"/>
        </w:rPr>
      </w:pPr>
      <w:r>
        <w:rPr>
          <w:spacing w:val="-2"/>
          <w:sz w:val="32"/>
          <w:szCs w:val="32"/>
          <w:lang w:eastAsia="zh-CN"/>
        </w:rPr>
        <w:t>2.项目支出情况</w:t>
      </w:r>
    </w:p>
    <w:p w14:paraId="1CA848FC">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40"/>
        <w:textAlignment w:val="auto"/>
        <w:rPr>
          <w:lang w:eastAsia="zh-CN"/>
        </w:rPr>
      </w:pPr>
      <w:r>
        <w:rPr>
          <w:rFonts w:hint="default" w:ascii="仿宋" w:hAnsi="仿宋" w:eastAsia="仿宋" w:cs="仿宋"/>
          <w:spacing w:val="-2"/>
          <w:sz w:val="32"/>
          <w:szCs w:val="32"/>
          <w:highlight w:val="none"/>
        </w:rPr>
        <w:t>项目支出系</w:t>
      </w:r>
      <w:r>
        <w:rPr>
          <w:rFonts w:hint="eastAsia" w:ascii="仿宋" w:hAnsi="仿宋" w:eastAsia="仿宋" w:cs="仿宋"/>
          <w:spacing w:val="-2"/>
          <w:sz w:val="32"/>
          <w:szCs w:val="32"/>
          <w:highlight w:val="none"/>
          <w:lang w:val="en-US" w:eastAsia="zh-CN"/>
        </w:rPr>
        <w:t>本单位</w:t>
      </w:r>
      <w:r>
        <w:rPr>
          <w:rFonts w:hint="default" w:ascii="仿宋" w:hAnsi="仿宋" w:eastAsia="仿宋" w:cs="仿宋"/>
          <w:spacing w:val="-2"/>
          <w:sz w:val="32"/>
          <w:szCs w:val="32"/>
          <w:highlight w:val="none"/>
        </w:rPr>
        <w:t>为完成</w:t>
      </w:r>
      <w:r>
        <w:rPr>
          <w:rFonts w:hint="eastAsia" w:ascii="仿宋" w:hAnsi="仿宋" w:eastAsia="仿宋" w:cs="仿宋"/>
          <w:spacing w:val="-2"/>
          <w:sz w:val="32"/>
          <w:szCs w:val="32"/>
          <w:highlight w:val="none"/>
          <w:lang w:val="en-US" w:eastAsia="zh-CN"/>
        </w:rPr>
        <w:t>统战工作</w:t>
      </w:r>
      <w:r>
        <w:rPr>
          <w:rFonts w:hint="default" w:ascii="仿宋" w:hAnsi="仿宋" w:eastAsia="仿宋" w:cs="仿宋"/>
          <w:spacing w:val="-2"/>
          <w:sz w:val="32"/>
          <w:szCs w:val="32"/>
          <w:highlight w:val="none"/>
        </w:rPr>
        <w:t>而发生的支出，包括2023年宗教重点工作补助</w:t>
      </w:r>
      <w:r>
        <w:rPr>
          <w:rFonts w:hint="eastAsia" w:ascii="仿宋" w:hAnsi="仿宋" w:eastAsia="仿宋" w:cs="仿宋"/>
          <w:spacing w:val="-2"/>
          <w:sz w:val="32"/>
          <w:szCs w:val="32"/>
          <w:highlight w:val="none"/>
          <w:lang w:val="en-US" w:eastAsia="zh-CN"/>
        </w:rPr>
        <w:t>6.00万元，民族团结进步示范创建工作经费1.05万元，归国华侨联合会换届工作经费1.80万元，宗教教职人员唐玉香困难补助经费0.20万元，统战工作经费6.00万元（其中同心公益服务中心经费5.00万，艺德轩创新基地经费1.00万），统战工作专项经费17.80万元，2022年度全区绩效考核优秀单位奖励0.30万元，2022年调整专项业务费（统战部）4.65万元，宗教执法大队工作经费1.81万元，鹤城区民族工作服务站建设8.37万元</w:t>
      </w:r>
      <w:r>
        <w:rPr>
          <w:rFonts w:hint="default" w:ascii="仿宋" w:hAnsi="仿宋" w:eastAsia="仿宋" w:cs="仿宋"/>
          <w:color w:val="auto"/>
          <w:spacing w:val="-2"/>
          <w:sz w:val="32"/>
          <w:szCs w:val="32"/>
          <w:highlight w:val="none"/>
        </w:rPr>
        <w:t>。</w:t>
      </w:r>
      <w:r>
        <w:rPr>
          <w:rFonts w:hint="eastAsia" w:ascii="仿宋" w:hAnsi="仿宋" w:eastAsia="仿宋" w:cs="Times New Roman"/>
          <w:color w:val="auto"/>
          <w:spacing w:val="-2"/>
          <w:sz w:val="32"/>
          <w:szCs w:val="32"/>
          <w:highlight w:val="none"/>
          <w:lang w:val="en-US" w:eastAsia="zh-CN"/>
        </w:rPr>
        <w:t>2023年项</w:t>
      </w:r>
      <w:r>
        <w:rPr>
          <w:rFonts w:hint="eastAsia" w:ascii="仿宋" w:hAnsi="仿宋" w:eastAsia="仿宋" w:cs="Times New Roman"/>
          <w:spacing w:val="-2"/>
          <w:sz w:val="32"/>
          <w:szCs w:val="32"/>
          <w:highlight w:val="none"/>
          <w:lang w:val="en-US" w:eastAsia="zh-CN"/>
        </w:rPr>
        <w:t>目总支</w:t>
      </w:r>
      <w:r>
        <w:rPr>
          <w:rFonts w:hint="eastAsia" w:ascii="仿宋" w:hAnsi="仿宋" w:eastAsia="仿宋" w:cs="Times New Roman"/>
          <w:color w:val="auto"/>
          <w:spacing w:val="-2"/>
          <w:sz w:val="32"/>
          <w:szCs w:val="32"/>
          <w:highlight w:val="none"/>
          <w:lang w:val="en-US" w:eastAsia="zh-CN"/>
        </w:rPr>
        <w:t>出47.98</w:t>
      </w:r>
      <w:r>
        <w:rPr>
          <w:rFonts w:hint="eastAsia" w:ascii="仿宋" w:hAnsi="仿宋" w:eastAsia="仿宋" w:cs="Times New Roman"/>
          <w:spacing w:val="-2"/>
          <w:sz w:val="32"/>
          <w:szCs w:val="32"/>
          <w:highlight w:val="none"/>
        </w:rPr>
        <w:t>万元</w:t>
      </w:r>
      <w:r>
        <w:rPr>
          <w:rFonts w:hint="eastAsia" w:ascii="仿宋" w:hAnsi="仿宋" w:eastAsia="仿宋" w:cs="Times New Roman"/>
          <w:spacing w:val="-2"/>
          <w:sz w:val="32"/>
          <w:szCs w:val="32"/>
          <w:highlight w:val="none"/>
          <w:lang w:eastAsia="zh-CN"/>
        </w:rPr>
        <w:t>，</w:t>
      </w:r>
      <w:r>
        <w:rPr>
          <w:rFonts w:hint="eastAsia" w:ascii="仿宋" w:hAnsi="仿宋" w:eastAsia="仿宋" w:cs="Times New Roman"/>
          <w:color w:val="auto"/>
          <w:spacing w:val="-2"/>
          <w:sz w:val="32"/>
          <w:szCs w:val="32"/>
          <w:highlight w:val="none"/>
          <w:lang w:eastAsia="zh-CN"/>
        </w:rPr>
        <w:t>较</w:t>
      </w:r>
      <w:r>
        <w:rPr>
          <w:rFonts w:hint="eastAsia" w:ascii="仿宋" w:hAnsi="仿宋" w:eastAsia="仿宋" w:cs="Times New Roman"/>
          <w:color w:val="auto"/>
          <w:spacing w:val="-2"/>
          <w:sz w:val="32"/>
          <w:szCs w:val="32"/>
          <w:highlight w:val="none"/>
        </w:rPr>
        <w:t>上年</w:t>
      </w:r>
      <w:r>
        <w:rPr>
          <w:rFonts w:hint="eastAsia" w:ascii="仿宋" w:hAnsi="仿宋" w:eastAsia="仿宋" w:cs="Times New Roman"/>
          <w:color w:val="auto"/>
          <w:spacing w:val="-2"/>
          <w:sz w:val="32"/>
          <w:szCs w:val="32"/>
          <w:highlight w:val="none"/>
          <w:lang w:val="en-US" w:eastAsia="zh-CN"/>
        </w:rPr>
        <w:t>98.40</w:t>
      </w:r>
      <w:r>
        <w:rPr>
          <w:rFonts w:hint="eastAsia" w:ascii="仿宋" w:hAnsi="仿宋" w:eastAsia="仿宋" w:cs="Times New Roman"/>
          <w:color w:val="auto"/>
          <w:spacing w:val="-2"/>
          <w:sz w:val="32"/>
          <w:szCs w:val="32"/>
          <w:highlight w:val="none"/>
        </w:rPr>
        <w:t>万元</w:t>
      </w:r>
      <w:r>
        <w:rPr>
          <w:rFonts w:hint="eastAsia" w:ascii="仿宋" w:hAnsi="仿宋" w:eastAsia="仿宋" w:cs="Times New Roman"/>
          <w:color w:val="auto"/>
          <w:spacing w:val="-2"/>
          <w:sz w:val="32"/>
          <w:szCs w:val="32"/>
          <w:highlight w:val="none"/>
          <w:lang w:eastAsia="zh-CN"/>
        </w:rPr>
        <w:t>，</w:t>
      </w:r>
      <w:r>
        <w:rPr>
          <w:rFonts w:hint="eastAsia" w:ascii="仿宋" w:hAnsi="仿宋" w:eastAsia="仿宋" w:cs="Times New Roman"/>
          <w:color w:val="auto"/>
          <w:spacing w:val="-2"/>
          <w:sz w:val="32"/>
          <w:szCs w:val="32"/>
          <w:highlight w:val="none"/>
          <w:lang w:val="en-US" w:eastAsia="zh-CN"/>
        </w:rPr>
        <w:t>减少50.42万元</w:t>
      </w:r>
      <w:r>
        <w:rPr>
          <w:rFonts w:hint="eastAsia" w:ascii="仿宋" w:hAnsi="仿宋" w:eastAsia="仿宋" w:cs="Times New Roman"/>
          <w:color w:val="auto"/>
          <w:spacing w:val="-2"/>
          <w:sz w:val="32"/>
          <w:szCs w:val="32"/>
          <w:highlight w:val="none"/>
          <w:lang w:eastAsia="zh-CN"/>
        </w:rPr>
        <w:t>，</w:t>
      </w:r>
      <w:r>
        <w:rPr>
          <w:rFonts w:hint="eastAsia" w:ascii="仿宋" w:hAnsi="仿宋" w:eastAsia="仿宋" w:cs="Times New Roman"/>
          <w:color w:val="auto"/>
          <w:spacing w:val="-2"/>
          <w:sz w:val="32"/>
          <w:szCs w:val="32"/>
          <w:highlight w:val="none"/>
          <w:lang w:val="en-US" w:eastAsia="zh-CN"/>
        </w:rPr>
        <w:t>降低51.24%</w:t>
      </w:r>
      <w:r>
        <w:rPr>
          <w:rFonts w:hint="eastAsia" w:ascii="仿宋" w:hAnsi="仿宋" w:eastAsia="仿宋" w:cs="Times New Roman"/>
          <w:color w:val="auto"/>
          <w:spacing w:val="-2"/>
          <w:sz w:val="32"/>
          <w:szCs w:val="32"/>
          <w:highlight w:val="none"/>
        </w:rPr>
        <w:t>，</w:t>
      </w:r>
      <w:r>
        <w:rPr>
          <w:rFonts w:hint="eastAsia" w:ascii="仿宋" w:hAnsi="仿宋" w:eastAsia="仿宋" w:cs="Times New Roman"/>
          <w:color w:val="auto"/>
          <w:spacing w:val="-2"/>
          <w:sz w:val="32"/>
          <w:szCs w:val="32"/>
          <w:highlight w:val="none"/>
          <w:lang w:val="en-US" w:eastAsia="zh-CN"/>
        </w:rPr>
        <w:t>主要是民族事务在2023年相关开支减少。</w:t>
      </w:r>
    </w:p>
    <w:p w14:paraId="761C48A7">
      <w:pPr>
        <w:keepNext w:val="0"/>
        <w:keepLines w:val="0"/>
        <w:pageBreakBefore w:val="0"/>
        <w:widowControl w:val="0"/>
        <w:numPr>
          <w:ilvl w:val="0"/>
          <w:numId w:val="1"/>
        </w:numPr>
        <w:kinsoku/>
        <w:wordWrap/>
        <w:overflowPunct w:val="0"/>
        <w:topLinePunct w:val="0"/>
        <w:autoSpaceDE w:val="0"/>
        <w:autoSpaceDN w:val="0"/>
        <w:bidi w:val="0"/>
        <w:adjustRightInd w:val="0"/>
        <w:snapToGrid w:val="0"/>
        <w:spacing w:line="600" w:lineRule="exact"/>
        <w:ind w:firstLine="660" w:firstLineChars="200"/>
        <w:textAlignment w:val="baseline"/>
        <w:rPr>
          <w:rFonts w:ascii="楷体" w:hAnsi="楷体" w:eastAsia="楷体" w:cs="楷体"/>
          <w:spacing w:val="5"/>
          <w:sz w:val="32"/>
          <w:szCs w:val="32"/>
          <w:lang w:eastAsia="zh-CN"/>
        </w:rPr>
      </w:pPr>
      <w:r>
        <w:rPr>
          <w:rFonts w:ascii="楷体" w:hAnsi="楷体" w:eastAsia="楷体" w:cs="楷体"/>
          <w:spacing w:val="5"/>
          <w:sz w:val="32"/>
          <w:szCs w:val="32"/>
          <w:lang w:eastAsia="zh-CN"/>
        </w:rPr>
        <w:t>"三公"经费使用和管理情况</w:t>
      </w:r>
    </w:p>
    <w:p w14:paraId="15322A9D">
      <w:pPr>
        <w:pStyle w:val="2"/>
        <w:keepNext w:val="0"/>
        <w:keepLines w:val="0"/>
        <w:pageBreakBefore w:val="0"/>
        <w:widowControl/>
        <w:kinsoku w:val="0"/>
        <w:wordWrap/>
        <w:overflowPunct/>
        <w:topLinePunct w:val="0"/>
        <w:autoSpaceDE w:val="0"/>
        <w:autoSpaceDN w:val="0"/>
        <w:bidi w:val="0"/>
        <w:adjustRightInd w:val="0"/>
        <w:snapToGrid w:val="0"/>
        <w:spacing w:line="600" w:lineRule="exact"/>
        <w:ind w:firstLine="632" w:firstLineChars="200"/>
        <w:textAlignment w:val="baseline"/>
        <w:rPr>
          <w:rFonts w:hint="eastAsia" w:ascii="仿宋" w:hAnsi="仿宋" w:eastAsia="仿宋" w:cs="Times New Roman"/>
          <w:snapToGrid w:val="0"/>
          <w:color w:val="000000"/>
          <w:spacing w:val="-2"/>
          <w:sz w:val="32"/>
          <w:szCs w:val="32"/>
          <w:highlight w:val="none"/>
          <w:lang w:val="en-US" w:eastAsia="zh-CN" w:bidi="ar-SA"/>
        </w:rPr>
      </w:pPr>
      <w:r>
        <w:rPr>
          <w:rFonts w:hint="eastAsia" w:ascii="仿宋" w:hAnsi="仿宋" w:eastAsia="仿宋" w:cs="Times New Roman"/>
          <w:snapToGrid w:val="0"/>
          <w:color w:val="000000"/>
          <w:spacing w:val="-2"/>
          <w:sz w:val="32"/>
          <w:szCs w:val="32"/>
          <w:highlight w:val="none"/>
          <w:lang w:val="en-US" w:eastAsia="zh-CN" w:bidi="ar-SA"/>
        </w:rPr>
        <w:t xml:space="preserve"> 2023年“三公”经费预算为</w:t>
      </w:r>
      <w:r>
        <w:rPr>
          <w:rFonts w:hint="eastAsia" w:cs="Times New Roman"/>
          <w:snapToGrid w:val="0"/>
          <w:color w:val="000000"/>
          <w:spacing w:val="-2"/>
          <w:sz w:val="32"/>
          <w:szCs w:val="32"/>
          <w:highlight w:val="none"/>
          <w:lang w:val="en-US" w:eastAsia="zh-CN" w:bidi="ar-SA"/>
        </w:rPr>
        <w:t>1.00</w:t>
      </w:r>
      <w:r>
        <w:rPr>
          <w:rFonts w:hint="eastAsia" w:ascii="仿宋" w:hAnsi="仿宋" w:eastAsia="仿宋" w:cs="Times New Roman"/>
          <w:snapToGrid w:val="0"/>
          <w:color w:val="000000"/>
          <w:spacing w:val="-2"/>
          <w:sz w:val="32"/>
          <w:szCs w:val="32"/>
          <w:highlight w:val="none"/>
          <w:lang w:val="en-US" w:eastAsia="zh-CN" w:bidi="ar-SA"/>
        </w:rPr>
        <w:t>万元,其中:因公出国(境)费预算0.00万元，公务用车运行维护费0.00万元，公务接待费</w:t>
      </w:r>
      <w:r>
        <w:rPr>
          <w:rFonts w:hint="eastAsia" w:cs="Times New Roman"/>
          <w:snapToGrid w:val="0"/>
          <w:color w:val="000000"/>
          <w:spacing w:val="-2"/>
          <w:sz w:val="32"/>
          <w:szCs w:val="32"/>
          <w:highlight w:val="none"/>
          <w:lang w:val="en-US" w:eastAsia="zh-CN" w:bidi="ar-SA"/>
        </w:rPr>
        <w:t>1.00</w:t>
      </w:r>
      <w:r>
        <w:rPr>
          <w:rFonts w:hint="eastAsia" w:ascii="仿宋" w:hAnsi="仿宋" w:eastAsia="仿宋" w:cs="Times New Roman"/>
          <w:snapToGrid w:val="0"/>
          <w:color w:val="000000"/>
          <w:spacing w:val="-2"/>
          <w:sz w:val="32"/>
          <w:szCs w:val="32"/>
          <w:highlight w:val="none"/>
          <w:lang w:val="en-US" w:eastAsia="zh-CN" w:bidi="ar-SA"/>
        </w:rPr>
        <w:t>万元。</w:t>
      </w:r>
    </w:p>
    <w:p w14:paraId="2D5B94B9">
      <w:pPr>
        <w:pStyle w:val="3"/>
        <w:keepNext w:val="0"/>
        <w:keepLines w:val="0"/>
        <w:pageBreakBefore w:val="0"/>
        <w:widowControl/>
        <w:kinsoku w:val="0"/>
        <w:wordWrap/>
        <w:overflowPunct/>
        <w:topLinePunct w:val="0"/>
        <w:autoSpaceDE w:val="0"/>
        <w:autoSpaceDN w:val="0"/>
        <w:bidi w:val="0"/>
        <w:adjustRightInd w:val="0"/>
        <w:snapToGrid w:val="0"/>
        <w:spacing w:line="600" w:lineRule="exact"/>
        <w:ind w:left="0" w:leftChars="0" w:firstLine="632" w:firstLineChars="200"/>
        <w:textAlignment w:val="baseline"/>
        <w:rPr>
          <w:rFonts w:hint="eastAsia" w:ascii="仿宋" w:hAnsi="仿宋" w:eastAsia="仿宋" w:cs="Times New Roman"/>
          <w:snapToGrid w:val="0"/>
          <w:color w:val="000000"/>
          <w:spacing w:val="-2"/>
          <w:sz w:val="32"/>
          <w:szCs w:val="32"/>
          <w:highlight w:val="none"/>
          <w:lang w:val="en-US" w:eastAsia="zh-CN" w:bidi="ar-SA"/>
        </w:rPr>
      </w:pPr>
      <w:r>
        <w:rPr>
          <w:rFonts w:hint="eastAsia" w:ascii="仿宋" w:hAnsi="仿宋" w:eastAsia="仿宋" w:cs="Times New Roman"/>
          <w:snapToGrid w:val="0"/>
          <w:color w:val="000000"/>
          <w:spacing w:val="-2"/>
          <w:sz w:val="32"/>
          <w:szCs w:val="32"/>
          <w:highlight w:val="none"/>
          <w:lang w:val="en-US" w:eastAsia="zh-CN" w:bidi="ar-SA"/>
        </w:rPr>
        <w:t>2023年“三公”经费决算为</w:t>
      </w:r>
      <w:r>
        <w:rPr>
          <w:rFonts w:hint="eastAsia" w:cs="Times New Roman"/>
          <w:snapToGrid w:val="0"/>
          <w:color w:val="000000"/>
          <w:spacing w:val="-2"/>
          <w:sz w:val="32"/>
          <w:szCs w:val="32"/>
          <w:highlight w:val="none"/>
          <w:lang w:val="en-US" w:eastAsia="zh-CN" w:bidi="ar-SA"/>
        </w:rPr>
        <w:t>0.16</w:t>
      </w:r>
      <w:r>
        <w:rPr>
          <w:rFonts w:hint="eastAsia" w:ascii="仿宋" w:hAnsi="仿宋" w:eastAsia="仿宋" w:cs="Times New Roman"/>
          <w:snapToGrid w:val="0"/>
          <w:color w:val="000000"/>
          <w:spacing w:val="-2"/>
          <w:sz w:val="32"/>
          <w:szCs w:val="32"/>
          <w:highlight w:val="none"/>
          <w:lang w:val="en-US" w:eastAsia="zh-CN" w:bidi="ar-SA"/>
        </w:rPr>
        <w:t>万元,其中:因公出国(境)费预算0.00万元，公务用车运行维护费0.00万元，公务接待费0.16万元。</w:t>
      </w:r>
    </w:p>
    <w:p w14:paraId="095796C7">
      <w:pPr>
        <w:pStyle w:val="3"/>
        <w:keepNext w:val="0"/>
        <w:keepLines w:val="0"/>
        <w:pageBreakBefore w:val="0"/>
        <w:widowControl/>
        <w:kinsoku w:val="0"/>
        <w:wordWrap/>
        <w:overflowPunct/>
        <w:topLinePunct w:val="0"/>
        <w:autoSpaceDE w:val="0"/>
        <w:autoSpaceDN w:val="0"/>
        <w:bidi w:val="0"/>
        <w:adjustRightInd w:val="0"/>
        <w:snapToGrid w:val="0"/>
        <w:spacing w:line="600" w:lineRule="exact"/>
        <w:ind w:left="0" w:leftChars="0" w:firstLine="632" w:firstLineChars="200"/>
        <w:textAlignment w:val="baseline"/>
        <w:rPr>
          <w:rFonts w:hint="eastAsia" w:ascii="仿宋" w:hAnsi="仿宋" w:eastAsia="仿宋" w:cs="Times New Roman"/>
          <w:snapToGrid w:val="0"/>
          <w:color w:val="000000"/>
          <w:spacing w:val="-2"/>
          <w:sz w:val="32"/>
          <w:szCs w:val="32"/>
          <w:highlight w:val="none"/>
          <w:lang w:val="en-US" w:eastAsia="zh-CN" w:bidi="ar-SA"/>
        </w:rPr>
      </w:pPr>
      <w:r>
        <w:rPr>
          <w:rFonts w:hint="eastAsia" w:ascii="仿宋" w:hAnsi="仿宋" w:eastAsia="仿宋" w:cs="Times New Roman"/>
          <w:snapToGrid w:val="0"/>
          <w:color w:val="000000"/>
          <w:spacing w:val="-2"/>
          <w:sz w:val="32"/>
          <w:szCs w:val="32"/>
          <w:highlight w:val="none"/>
          <w:lang w:val="en-US" w:eastAsia="zh-CN" w:bidi="ar-SA"/>
        </w:rPr>
        <w:t>公务接待费完成预算的15.90%，决算数小于预算数的主要原因是落实过“紧日子”要求，严格执行开支标准，厉行节约。</w:t>
      </w:r>
    </w:p>
    <w:p w14:paraId="113878CA">
      <w:pPr>
        <w:keepNext w:val="0"/>
        <w:keepLines w:val="0"/>
        <w:pageBreakBefore w:val="0"/>
        <w:widowControl w:val="0"/>
        <w:numPr>
          <w:ilvl w:val="0"/>
          <w:numId w:val="2"/>
        </w:numPr>
        <w:kinsoku/>
        <w:wordWrap/>
        <w:overflowPunct w:val="0"/>
        <w:topLinePunct w:val="0"/>
        <w:autoSpaceDE w:val="0"/>
        <w:autoSpaceDN w:val="0"/>
        <w:bidi w:val="0"/>
        <w:adjustRightInd w:val="0"/>
        <w:snapToGrid w:val="0"/>
        <w:spacing w:line="600" w:lineRule="exact"/>
        <w:ind w:firstLine="599" w:firstLineChars="200"/>
        <w:textAlignment w:val="baseline"/>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政府性基金预算支出情况</w:t>
      </w:r>
    </w:p>
    <w:p w14:paraId="213AA89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default" w:ascii="仿宋" w:hAnsi="仿宋" w:eastAsia="仿宋" w:cs="Times New Roman"/>
          <w:spacing w:val="-2"/>
          <w:kern w:val="2"/>
          <w:sz w:val="32"/>
          <w:szCs w:val="32"/>
          <w:lang w:val="en-US" w:eastAsia="zh-CN" w:bidi="ar-SA"/>
        </w:rPr>
      </w:pPr>
      <w:r>
        <w:rPr>
          <w:rFonts w:hint="default" w:ascii="仿宋" w:hAnsi="仿宋" w:eastAsia="仿宋" w:cs="Times New Roman"/>
          <w:spacing w:val="-2"/>
          <w:kern w:val="2"/>
          <w:sz w:val="32"/>
          <w:szCs w:val="32"/>
          <w:lang w:val="en-US" w:eastAsia="zh-CN" w:bidi="ar-SA"/>
        </w:rPr>
        <w:t>2023</w:t>
      </w:r>
      <w:r>
        <w:rPr>
          <w:rFonts w:hint="eastAsia" w:ascii="仿宋" w:hAnsi="仿宋" w:eastAsia="仿宋" w:cs="Times New Roman"/>
          <w:spacing w:val="-2"/>
          <w:kern w:val="2"/>
          <w:sz w:val="32"/>
          <w:szCs w:val="32"/>
          <w:lang w:val="en-US" w:eastAsia="zh-CN" w:bidi="ar-SA"/>
        </w:rPr>
        <w:t>年，中共怀化市鹤城区委统一战线工作部无政府性基金预算支出。</w:t>
      </w:r>
    </w:p>
    <w:p w14:paraId="76233D8E">
      <w:pPr>
        <w:keepNext w:val="0"/>
        <w:keepLines w:val="0"/>
        <w:pageBreakBefore w:val="0"/>
        <w:widowControl w:val="0"/>
        <w:numPr>
          <w:ilvl w:val="0"/>
          <w:numId w:val="2"/>
        </w:numPr>
        <w:kinsoku/>
        <w:wordWrap/>
        <w:overflowPunct w:val="0"/>
        <w:topLinePunct w:val="0"/>
        <w:autoSpaceDE w:val="0"/>
        <w:autoSpaceDN w:val="0"/>
        <w:bidi w:val="0"/>
        <w:adjustRightInd w:val="0"/>
        <w:snapToGrid w:val="0"/>
        <w:spacing w:line="600" w:lineRule="exact"/>
        <w:ind w:left="0" w:leftChars="0" w:firstLine="607" w:firstLineChars="200"/>
        <w:textAlignment w:val="baseline"/>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p>
    <w:p w14:paraId="03E6A6A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default" w:ascii="仿宋" w:hAnsi="仿宋" w:eastAsia="仿宋" w:cs="Times New Roman"/>
          <w:spacing w:val="-2"/>
          <w:kern w:val="2"/>
          <w:sz w:val="32"/>
          <w:szCs w:val="32"/>
          <w:lang w:val="en-US" w:eastAsia="zh-CN" w:bidi="ar-SA"/>
        </w:rPr>
      </w:pPr>
      <w:r>
        <w:rPr>
          <w:rFonts w:hint="default" w:ascii="仿宋" w:hAnsi="仿宋" w:eastAsia="仿宋" w:cs="Times New Roman"/>
          <w:spacing w:val="-2"/>
          <w:kern w:val="2"/>
          <w:sz w:val="32"/>
          <w:szCs w:val="32"/>
          <w:lang w:val="en-US" w:eastAsia="zh-CN" w:bidi="ar-SA"/>
        </w:rPr>
        <w:t>2023</w:t>
      </w:r>
      <w:r>
        <w:rPr>
          <w:rFonts w:hint="eastAsia" w:ascii="仿宋" w:hAnsi="仿宋" w:eastAsia="仿宋" w:cs="Times New Roman"/>
          <w:spacing w:val="-2"/>
          <w:kern w:val="2"/>
          <w:sz w:val="32"/>
          <w:szCs w:val="32"/>
          <w:lang w:val="en-US" w:eastAsia="zh-CN" w:bidi="ar-SA"/>
        </w:rPr>
        <w:t>年，中共怀化市鹤城区委统一战线工作部无国有资本经营预算支出。</w:t>
      </w:r>
    </w:p>
    <w:p w14:paraId="73B40A70">
      <w:pPr>
        <w:keepNext w:val="0"/>
        <w:keepLines w:val="0"/>
        <w:pageBreakBefore w:val="0"/>
        <w:widowControl w:val="0"/>
        <w:numPr>
          <w:ilvl w:val="0"/>
          <w:numId w:val="2"/>
        </w:numPr>
        <w:kinsoku/>
        <w:wordWrap/>
        <w:overflowPunct w:val="0"/>
        <w:topLinePunct w:val="0"/>
        <w:autoSpaceDE w:val="0"/>
        <w:autoSpaceDN w:val="0"/>
        <w:bidi w:val="0"/>
        <w:adjustRightInd w:val="0"/>
        <w:snapToGrid w:val="0"/>
        <w:spacing w:line="600" w:lineRule="exact"/>
        <w:ind w:left="0" w:leftChars="0" w:firstLine="567" w:firstLineChars="200"/>
        <w:textAlignment w:val="baseline"/>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14:paraId="33141C1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Times New Roman"/>
          <w:spacing w:val="-2"/>
          <w:kern w:val="2"/>
          <w:sz w:val="32"/>
          <w:szCs w:val="32"/>
          <w:lang w:val="en-US" w:eastAsia="zh-CN" w:bidi="ar-SA"/>
        </w:rPr>
      </w:pPr>
      <w:r>
        <w:rPr>
          <w:rFonts w:hint="default" w:ascii="仿宋" w:hAnsi="仿宋" w:eastAsia="仿宋" w:cs="Times New Roman"/>
          <w:spacing w:val="-2"/>
          <w:kern w:val="2"/>
          <w:sz w:val="32"/>
          <w:szCs w:val="32"/>
          <w:lang w:val="en-US" w:eastAsia="zh-CN" w:bidi="ar-SA"/>
        </w:rPr>
        <w:t>2023</w:t>
      </w:r>
      <w:r>
        <w:rPr>
          <w:rFonts w:hint="eastAsia" w:ascii="仿宋" w:hAnsi="仿宋" w:eastAsia="仿宋" w:cs="Times New Roman"/>
          <w:spacing w:val="-2"/>
          <w:kern w:val="2"/>
          <w:sz w:val="32"/>
          <w:szCs w:val="32"/>
          <w:lang w:val="en-US" w:eastAsia="zh-CN" w:bidi="ar-SA"/>
        </w:rPr>
        <w:t>年，中共怀化市鹤城区委统一战线工作部无社会保险基金预算支出。</w:t>
      </w:r>
    </w:p>
    <w:p w14:paraId="2412DA04">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03" w:firstLineChars="200"/>
        <w:textAlignment w:val="baseline"/>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09F29FA5">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20" w:firstLineChars="200"/>
        <w:textAlignment w:val="baseline"/>
        <w:rPr>
          <w:spacing w:val="-5"/>
          <w:sz w:val="32"/>
          <w:szCs w:val="32"/>
          <w:lang w:eastAsia="zh-CN"/>
        </w:rPr>
      </w:pPr>
      <w:r>
        <w:rPr>
          <w:rFonts w:ascii="楷体" w:hAnsi="楷体" w:eastAsia="楷体" w:cs="楷体"/>
          <w:spacing w:val="-5"/>
          <w:sz w:val="32"/>
          <w:szCs w:val="32"/>
          <w:lang w:eastAsia="zh-CN"/>
        </w:rPr>
        <w:t>(一)综合评价结论。</w:t>
      </w:r>
    </w:p>
    <w:p w14:paraId="5EC2994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lang w:eastAsia="zh-CN"/>
        </w:rPr>
      </w:pPr>
      <w:r>
        <w:rPr>
          <w:rFonts w:hint="default" w:ascii="仿宋" w:hAnsi="仿宋" w:eastAsia="仿宋" w:cs="Times New Roman"/>
          <w:spacing w:val="-2"/>
          <w:kern w:val="2"/>
          <w:sz w:val="32"/>
          <w:szCs w:val="32"/>
          <w:lang w:val="en-US" w:eastAsia="zh-CN" w:bidi="ar-SA"/>
        </w:rPr>
        <w:t>根据本次自评情况，</w:t>
      </w:r>
      <w:r>
        <w:rPr>
          <w:rFonts w:hint="eastAsia" w:ascii="仿宋" w:hAnsi="仿宋" w:eastAsia="仿宋" w:cs="Times New Roman"/>
          <w:spacing w:val="-2"/>
          <w:kern w:val="2"/>
          <w:sz w:val="32"/>
          <w:szCs w:val="32"/>
          <w:lang w:val="en-US" w:eastAsia="zh-CN" w:bidi="ar-SA"/>
        </w:rPr>
        <w:t>本单位</w:t>
      </w:r>
      <w:r>
        <w:rPr>
          <w:rFonts w:hint="default" w:ascii="仿宋" w:hAnsi="仿宋" w:eastAsia="仿宋" w:cs="Times New Roman"/>
          <w:spacing w:val="-2"/>
          <w:kern w:val="2"/>
          <w:sz w:val="32"/>
          <w:szCs w:val="32"/>
          <w:highlight w:val="none"/>
          <w:lang w:val="en-US" w:eastAsia="zh-CN" w:bidi="ar-SA"/>
        </w:rPr>
        <w:t>整</w:t>
      </w:r>
      <w:r>
        <w:rPr>
          <w:rFonts w:hint="default" w:ascii="仿宋" w:hAnsi="仿宋" w:eastAsia="仿宋" w:cs="Times New Roman"/>
          <w:spacing w:val="-2"/>
          <w:kern w:val="2"/>
          <w:sz w:val="32"/>
          <w:szCs w:val="32"/>
          <w:lang w:val="en-US" w:eastAsia="zh-CN" w:bidi="ar-SA"/>
        </w:rPr>
        <w:t>体支出绩效评价得分</w:t>
      </w:r>
      <w:r>
        <w:rPr>
          <w:rFonts w:hint="default" w:ascii="仿宋" w:hAnsi="仿宋" w:eastAsia="仿宋" w:cs="Times New Roman"/>
          <w:color w:val="auto"/>
          <w:spacing w:val="-2"/>
          <w:kern w:val="2"/>
          <w:sz w:val="32"/>
          <w:szCs w:val="32"/>
          <w:highlight w:val="none"/>
          <w:lang w:val="en-US" w:eastAsia="zh-CN" w:bidi="ar-SA"/>
        </w:rPr>
        <w:t>为</w:t>
      </w:r>
      <w:r>
        <w:rPr>
          <w:rFonts w:hint="eastAsia" w:ascii="仿宋" w:hAnsi="仿宋" w:eastAsia="仿宋" w:cs="Times New Roman"/>
          <w:color w:val="auto"/>
          <w:spacing w:val="-2"/>
          <w:kern w:val="2"/>
          <w:sz w:val="32"/>
          <w:szCs w:val="32"/>
          <w:highlight w:val="none"/>
          <w:lang w:val="en-US" w:eastAsia="zh-CN" w:bidi="ar-SA"/>
        </w:rPr>
        <w:t>98</w:t>
      </w:r>
      <w:r>
        <w:rPr>
          <w:rFonts w:hint="default" w:ascii="仿宋" w:hAnsi="仿宋" w:eastAsia="仿宋" w:cs="Times New Roman"/>
          <w:color w:val="auto"/>
          <w:spacing w:val="-2"/>
          <w:kern w:val="2"/>
          <w:sz w:val="32"/>
          <w:szCs w:val="32"/>
          <w:highlight w:val="none"/>
          <w:lang w:val="en-US" w:eastAsia="zh-CN" w:bidi="ar-SA"/>
        </w:rPr>
        <w:t>分，</w:t>
      </w:r>
      <w:r>
        <w:rPr>
          <w:rFonts w:hint="default" w:ascii="仿宋" w:hAnsi="仿宋" w:eastAsia="仿宋" w:cs="Times New Roman"/>
          <w:spacing w:val="-2"/>
          <w:kern w:val="2"/>
          <w:sz w:val="32"/>
          <w:szCs w:val="32"/>
          <w:lang w:val="en-US" w:eastAsia="zh-CN" w:bidi="ar-SA"/>
        </w:rPr>
        <w:t>自评等级为优。</w:t>
      </w:r>
    </w:p>
    <w:p w14:paraId="6559703F">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20" w:firstLineChars="200"/>
        <w:textAlignment w:val="baseline"/>
        <w:rPr>
          <w:rFonts w:ascii="楷体" w:hAnsi="楷体" w:eastAsia="楷体" w:cs="楷体"/>
          <w:spacing w:val="-5"/>
          <w:sz w:val="32"/>
          <w:szCs w:val="32"/>
          <w:lang w:eastAsia="zh-CN"/>
        </w:rPr>
      </w:pPr>
      <w:r>
        <w:rPr>
          <w:rFonts w:ascii="楷体" w:hAnsi="楷体" w:eastAsia="楷体" w:cs="楷体"/>
          <w:spacing w:val="-5"/>
          <w:sz w:val="32"/>
          <w:szCs w:val="32"/>
          <w:lang w:eastAsia="zh-CN"/>
        </w:rPr>
        <w:t>(</w:t>
      </w:r>
      <w:r>
        <w:rPr>
          <w:rFonts w:hint="eastAsia" w:ascii="楷体" w:hAnsi="楷体" w:eastAsia="楷体" w:cs="楷体"/>
          <w:spacing w:val="-5"/>
          <w:sz w:val="32"/>
          <w:szCs w:val="32"/>
          <w:lang w:val="en-US" w:eastAsia="zh-CN"/>
        </w:rPr>
        <w:t>二</w:t>
      </w:r>
      <w:r>
        <w:rPr>
          <w:rFonts w:ascii="楷体" w:hAnsi="楷体" w:eastAsia="楷体" w:cs="楷体"/>
          <w:spacing w:val="-5"/>
          <w:sz w:val="32"/>
          <w:szCs w:val="32"/>
          <w:lang w:eastAsia="zh-CN"/>
        </w:rPr>
        <w:t>)评价指标分析(或综合评价情况)。</w:t>
      </w:r>
    </w:p>
    <w:p w14:paraId="7EC16CF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pacing w:val="-2"/>
          <w:sz w:val="32"/>
          <w:szCs w:val="32"/>
          <w:highlight w:val="none"/>
          <w:lang w:val="en-US" w:eastAsia="zh-CN"/>
        </w:rPr>
      </w:pPr>
      <w:r>
        <w:rPr>
          <w:rFonts w:hint="eastAsia" w:ascii="仿宋" w:hAnsi="仿宋" w:eastAsia="仿宋" w:cs="仿宋"/>
          <w:spacing w:val="-2"/>
          <w:sz w:val="32"/>
          <w:szCs w:val="32"/>
          <w:highlight w:val="none"/>
          <w:lang w:val="en-US" w:eastAsia="zh-CN"/>
        </w:rPr>
        <w:t>绩效目标设定方面：本单位严格按照绩效目标制定的相关规定，</w:t>
      </w:r>
      <w:r>
        <w:rPr>
          <w:rFonts w:hint="default" w:ascii="仿宋" w:hAnsi="仿宋" w:eastAsia="仿宋" w:cs="仿宋"/>
          <w:spacing w:val="-2"/>
          <w:sz w:val="32"/>
          <w:szCs w:val="32"/>
          <w:highlight w:val="none"/>
          <w:lang w:val="en-US" w:eastAsia="zh-CN"/>
        </w:rPr>
        <w:t>围绕部门职责、行业发展规划</w:t>
      </w:r>
      <w:r>
        <w:rPr>
          <w:rFonts w:hint="eastAsia" w:ascii="仿宋" w:hAnsi="仿宋" w:eastAsia="仿宋" w:cs="仿宋"/>
          <w:spacing w:val="-2"/>
          <w:sz w:val="32"/>
          <w:szCs w:val="32"/>
          <w:highlight w:val="none"/>
          <w:lang w:val="en-US" w:eastAsia="zh-CN"/>
        </w:rPr>
        <w:t>，完整、合理地制定整体绩效目标，绩效指标基本做到细化量化。</w:t>
      </w:r>
    </w:p>
    <w:p w14:paraId="0E3577F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pacing w:val="-2"/>
          <w:sz w:val="32"/>
          <w:szCs w:val="32"/>
          <w:highlight w:val="yellow"/>
          <w:lang w:val="en-US" w:eastAsia="zh-CN"/>
        </w:rPr>
      </w:pPr>
      <w:r>
        <w:rPr>
          <w:rFonts w:hint="eastAsia" w:ascii="仿宋" w:hAnsi="仿宋" w:eastAsia="仿宋" w:cs="仿宋"/>
          <w:spacing w:val="-2"/>
          <w:sz w:val="32"/>
          <w:szCs w:val="32"/>
          <w:highlight w:val="none"/>
          <w:lang w:val="en-US" w:eastAsia="zh-CN"/>
        </w:rPr>
        <w:t>预算配置方面：本单位年度预算与履职目标衔接紧密，预算编制依据充分、数据详实、结构优化、细化可执行。基本支出保障单位正常运转，行使单位职能，完成日常工作。及时对人员、资产等信息进行动态更新工作，确保基础信息数据的及时性、准确性和完整性，确保基本支出预算无缺口。</w:t>
      </w:r>
    </w:p>
    <w:p w14:paraId="09C9C70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pacing w:val="-2"/>
          <w:sz w:val="32"/>
          <w:szCs w:val="32"/>
          <w:highlight w:val="yellow"/>
          <w:lang w:val="en-US" w:eastAsia="zh-CN"/>
        </w:rPr>
      </w:pPr>
      <w:r>
        <w:rPr>
          <w:rFonts w:hint="default" w:ascii="仿宋" w:hAnsi="仿宋" w:eastAsia="仿宋" w:cs="仿宋"/>
          <w:spacing w:val="-2"/>
          <w:sz w:val="32"/>
          <w:szCs w:val="32"/>
          <w:highlight w:val="none"/>
          <w:lang w:val="en-US" w:eastAsia="zh-CN"/>
        </w:rPr>
        <w:t>预算执行</w:t>
      </w:r>
      <w:r>
        <w:rPr>
          <w:rFonts w:hint="eastAsia" w:ascii="仿宋" w:hAnsi="仿宋" w:eastAsia="仿宋" w:cs="仿宋"/>
          <w:spacing w:val="-2"/>
          <w:sz w:val="32"/>
          <w:szCs w:val="32"/>
          <w:highlight w:val="none"/>
          <w:lang w:val="en-US" w:eastAsia="zh-CN"/>
        </w:rPr>
        <w:t>方面：严格执行批复的各项支出预算，不擅自扩大支出范围、提高开支标准，严格按照预算批复的支出用途使用资金。采取有效措施，加快预算执行进度，全年预算执行率达到100%。</w:t>
      </w:r>
    </w:p>
    <w:p w14:paraId="2FE7BD1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pacing w:val="-2"/>
          <w:sz w:val="32"/>
          <w:szCs w:val="32"/>
          <w:highlight w:val="none"/>
          <w:lang w:val="en-US" w:eastAsia="zh-CN"/>
        </w:rPr>
      </w:pPr>
      <w:r>
        <w:rPr>
          <w:rFonts w:hint="default" w:ascii="仿宋" w:hAnsi="仿宋" w:eastAsia="仿宋" w:cs="仿宋"/>
          <w:spacing w:val="-2"/>
          <w:sz w:val="32"/>
          <w:szCs w:val="32"/>
          <w:highlight w:val="none"/>
          <w:lang w:val="en-US" w:eastAsia="zh-CN"/>
        </w:rPr>
        <w:t>预算管理</w:t>
      </w:r>
      <w:r>
        <w:rPr>
          <w:rFonts w:hint="eastAsia" w:ascii="仿宋" w:hAnsi="仿宋" w:eastAsia="仿宋" w:cs="仿宋"/>
          <w:spacing w:val="-2"/>
          <w:sz w:val="32"/>
          <w:szCs w:val="32"/>
          <w:highlight w:val="none"/>
          <w:lang w:val="en-US" w:eastAsia="zh-CN"/>
        </w:rPr>
        <w:t>方面：本单位按照预算法要求进行“一上”申报，在“一下”的基础上进行修改进行“二上”申报，形成以单位领导支持、财务部门牵头、其他部门密切配合的工作格局，保证预算编制质量；部门预算经批复后，跟踪预算执行进度，及时组织收入，科学合理安排支出，降低预算支出的波动幅度；严格执行项目支出预算，积极组织项目实施；加强对预算执行过程的控制和结果的反馈，对预算执行差异及时分析成因和影响，并及时向领导和相关科室进行反馈，以采取措施纠正执行偏差，促进预算目标的全面完成。</w:t>
      </w:r>
    </w:p>
    <w:p w14:paraId="1A451E7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pacing w:val="-2"/>
          <w:sz w:val="32"/>
          <w:szCs w:val="32"/>
          <w:highlight w:val="yellow"/>
          <w:lang w:val="en-US" w:eastAsia="zh-CN"/>
        </w:rPr>
      </w:pPr>
      <w:r>
        <w:rPr>
          <w:rFonts w:hint="default" w:ascii="仿宋" w:hAnsi="仿宋" w:eastAsia="仿宋" w:cs="仿宋"/>
          <w:spacing w:val="-2"/>
          <w:sz w:val="32"/>
          <w:szCs w:val="32"/>
          <w:highlight w:val="none"/>
          <w:lang w:val="en-US" w:eastAsia="zh-CN"/>
        </w:rPr>
        <w:t>资产管理</w:t>
      </w:r>
      <w:r>
        <w:rPr>
          <w:rFonts w:hint="eastAsia" w:ascii="仿宋" w:hAnsi="仿宋" w:eastAsia="仿宋" w:cs="仿宋"/>
          <w:spacing w:val="-2"/>
          <w:sz w:val="32"/>
          <w:szCs w:val="32"/>
          <w:highlight w:val="none"/>
          <w:lang w:val="en-US" w:eastAsia="zh-CN"/>
        </w:rPr>
        <w:t>方面：本单位严格执行资产配置、使用、处置管理办法，做到购置有预算，实物有专人管理，处置按流程，定期盘点清理资产，掌握固定资产的使用情况，确保设备完好提高利用率。资产账务管理合规、账实相符、处置规范。</w:t>
      </w:r>
    </w:p>
    <w:p w14:paraId="735F064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pacing w:val="-2"/>
          <w:sz w:val="32"/>
          <w:szCs w:val="32"/>
          <w:highlight w:val="none"/>
          <w:lang w:val="en-US" w:eastAsia="zh-CN"/>
        </w:rPr>
      </w:pPr>
      <w:r>
        <w:rPr>
          <w:rFonts w:hint="default" w:ascii="仿宋" w:hAnsi="仿宋" w:eastAsia="仿宋" w:cs="仿宋"/>
          <w:spacing w:val="-2"/>
          <w:sz w:val="32"/>
          <w:szCs w:val="32"/>
          <w:highlight w:val="none"/>
          <w:lang w:val="en-US" w:eastAsia="zh-CN"/>
        </w:rPr>
        <w:t>职责履行</w:t>
      </w:r>
      <w:r>
        <w:rPr>
          <w:rFonts w:hint="eastAsia" w:ascii="仿宋" w:hAnsi="仿宋" w:eastAsia="仿宋" w:cs="仿宋"/>
          <w:spacing w:val="-2"/>
          <w:sz w:val="32"/>
          <w:szCs w:val="32"/>
          <w:highlight w:val="none"/>
          <w:lang w:val="en-US" w:eastAsia="zh-CN"/>
        </w:rPr>
        <w:t>方面：本单位2023年严格落实各项工作，按照市局下达的任务及本单位的目标任务，积极推进了各项工作平稳、有序的开展。</w:t>
      </w:r>
    </w:p>
    <w:p w14:paraId="059D9C5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pacing w:val="-2"/>
          <w:sz w:val="32"/>
          <w:szCs w:val="32"/>
          <w:highlight w:val="none"/>
          <w:lang w:val="en-US" w:eastAsia="zh-CN"/>
        </w:rPr>
      </w:pPr>
      <w:r>
        <w:rPr>
          <w:rFonts w:hint="eastAsia" w:ascii="仿宋" w:hAnsi="仿宋" w:eastAsia="仿宋" w:cs="仿宋"/>
          <w:spacing w:val="-2"/>
          <w:sz w:val="32"/>
          <w:szCs w:val="32"/>
          <w:highlight w:val="none"/>
          <w:lang w:val="en-US" w:eastAsia="zh-CN"/>
        </w:rPr>
        <w:t>2.目标完成情况及</w:t>
      </w:r>
      <w:r>
        <w:rPr>
          <w:rFonts w:hint="default" w:ascii="仿宋" w:hAnsi="仿宋" w:eastAsia="仿宋" w:cs="仿宋"/>
          <w:spacing w:val="-2"/>
          <w:sz w:val="32"/>
          <w:szCs w:val="32"/>
          <w:highlight w:val="none"/>
          <w:lang w:val="en-US" w:eastAsia="zh-CN"/>
        </w:rPr>
        <w:t>指标分析</w:t>
      </w:r>
    </w:p>
    <w:p w14:paraId="100E764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napToGrid w:val="0"/>
          <w:color w:val="000000"/>
          <w:spacing w:val="-2"/>
          <w:kern w:val="0"/>
          <w:sz w:val="32"/>
          <w:szCs w:val="32"/>
          <w:highlight w:val="none"/>
          <w:lang w:val="en-US" w:eastAsia="zh-CN" w:bidi="ar"/>
        </w:rPr>
      </w:pPr>
      <w:r>
        <w:rPr>
          <w:rFonts w:hint="eastAsia" w:ascii="仿宋" w:hAnsi="仿宋" w:eastAsia="仿宋" w:cs="仿宋"/>
          <w:spacing w:val="-2"/>
          <w:sz w:val="32"/>
          <w:szCs w:val="32"/>
          <w:highlight w:val="none"/>
          <w:lang w:val="en-US" w:eastAsia="zh-CN"/>
        </w:rPr>
        <w:t>本单位</w:t>
      </w:r>
      <w:r>
        <w:rPr>
          <w:rFonts w:hint="eastAsia" w:ascii="仿宋" w:hAnsi="仿宋" w:eastAsia="仿宋" w:cs="仿宋"/>
          <w:color w:val="auto"/>
          <w:spacing w:val="-2"/>
          <w:sz w:val="32"/>
          <w:szCs w:val="32"/>
          <w:highlight w:val="none"/>
          <w:lang w:val="en-US" w:eastAsia="zh-CN"/>
        </w:rPr>
        <w:t>2023</w:t>
      </w:r>
      <w:r>
        <w:rPr>
          <w:rFonts w:hint="eastAsia" w:ascii="仿宋" w:hAnsi="仿宋" w:eastAsia="仿宋" w:cs="仿宋"/>
          <w:spacing w:val="-2"/>
          <w:sz w:val="32"/>
          <w:szCs w:val="32"/>
          <w:highlight w:val="none"/>
          <w:lang w:val="en-US" w:eastAsia="zh-CN"/>
        </w:rPr>
        <w:t>年一般公共预算资金总体目标完成较好，</w:t>
      </w:r>
      <w:r>
        <w:rPr>
          <w:rFonts w:hint="eastAsia" w:ascii="仿宋" w:hAnsi="仿宋" w:eastAsia="仿宋" w:cs="仿宋"/>
          <w:snapToGrid w:val="0"/>
          <w:color w:val="000000"/>
          <w:spacing w:val="-2"/>
          <w:kern w:val="0"/>
          <w:sz w:val="32"/>
          <w:szCs w:val="32"/>
          <w:highlight w:val="none"/>
          <w:lang w:val="en-US" w:eastAsia="zh-CN" w:bidi="ar"/>
        </w:rPr>
        <w:t>维护统战工作正常运行，带动其他各项工作的开展，增强了解情况、掌握政策、协调关系、安排人事、增进共识和加强团结等重要职责。</w:t>
      </w:r>
    </w:p>
    <w:p w14:paraId="36332F0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pacing w:val="-2"/>
          <w:sz w:val="32"/>
          <w:szCs w:val="32"/>
          <w:highlight w:val="none"/>
          <w:lang w:val="en-US" w:eastAsia="zh-CN"/>
        </w:rPr>
      </w:pPr>
      <w:r>
        <w:rPr>
          <w:rFonts w:hint="eastAsia" w:ascii="仿宋" w:hAnsi="仿宋" w:eastAsia="仿宋" w:cs="仿宋"/>
          <w:spacing w:val="-2"/>
          <w:sz w:val="32"/>
          <w:szCs w:val="32"/>
          <w:highlight w:val="none"/>
          <w:lang w:val="en-US" w:eastAsia="zh-CN"/>
        </w:rPr>
        <w:t>（1）产出指标分析</w:t>
      </w:r>
    </w:p>
    <w:p w14:paraId="4BC50BB1">
      <w:pPr>
        <w:pStyle w:val="4"/>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color w:val="000000"/>
          <w:sz w:val="32"/>
          <w:szCs w:val="32"/>
        </w:rPr>
      </w:pPr>
      <w:r>
        <w:rPr>
          <w:rFonts w:hint="eastAsia" w:ascii="仿宋" w:hAnsi="仿宋" w:eastAsia="仿宋" w:cs="仿宋"/>
          <w:snapToGrid w:val="0"/>
          <w:color w:val="000000"/>
          <w:sz w:val="32"/>
          <w:szCs w:val="32"/>
          <w:lang w:val="en-US" w:eastAsia="zh-CN" w:bidi="ar-SA"/>
        </w:rPr>
        <w:t>加强与民主党派团结合作方面，我单位召开与各民主党</w:t>
      </w:r>
      <w:r>
        <w:rPr>
          <w:rFonts w:hint="eastAsia" w:ascii="仿宋" w:hAnsi="仿宋" w:eastAsia="仿宋" w:cs="仿宋"/>
          <w:color w:val="000000"/>
          <w:sz w:val="32"/>
          <w:szCs w:val="32"/>
        </w:rPr>
        <w:t>派、无党派、非公经济人士座谈会4次。</w:t>
      </w:r>
      <w:r>
        <w:rPr>
          <w:rFonts w:hint="eastAsia" w:ascii="仿宋" w:hAnsi="仿宋" w:eastAsia="仿宋" w:cs="仿宋"/>
          <w:color w:val="000000"/>
          <w:sz w:val="32"/>
          <w:szCs w:val="32"/>
          <w:lang w:val="en-US" w:eastAsia="zh-CN"/>
        </w:rPr>
        <w:t>收集了</w:t>
      </w:r>
      <w:r>
        <w:rPr>
          <w:rFonts w:hint="eastAsia" w:ascii="仿宋" w:hAnsi="仿宋" w:eastAsia="仿宋" w:cs="仿宋"/>
          <w:sz w:val="32"/>
          <w:szCs w:val="32"/>
        </w:rPr>
        <w:t>各民主党派、工商联、新的社会阶层代表人士等提出的各类建议意见达300余条</w:t>
      </w:r>
      <w:r>
        <w:rPr>
          <w:rFonts w:hint="eastAsia" w:ascii="仿宋" w:hAnsi="仿宋" w:eastAsia="仿宋" w:cs="仿宋"/>
          <w:sz w:val="32"/>
          <w:szCs w:val="32"/>
          <w:lang w:eastAsia="zh-CN"/>
        </w:rPr>
        <w:t>，</w:t>
      </w:r>
      <w:r>
        <w:rPr>
          <w:rFonts w:hint="eastAsia" w:ascii="仿宋" w:hAnsi="仿宋" w:eastAsia="仿宋" w:cs="仿宋"/>
          <w:sz w:val="32"/>
          <w:szCs w:val="32"/>
        </w:rPr>
        <w:t>为区委</w:t>
      </w:r>
      <w:r>
        <w:rPr>
          <w:rFonts w:hint="eastAsia" w:ascii="仿宋" w:hAnsi="仿宋" w:eastAsia="仿宋" w:cs="仿宋"/>
          <w:color w:val="000000"/>
          <w:sz w:val="32"/>
          <w:szCs w:val="32"/>
        </w:rPr>
        <w:t>区政府的科学决策提供了</w:t>
      </w:r>
      <w:r>
        <w:rPr>
          <w:rFonts w:hint="eastAsia" w:ascii="仿宋" w:hAnsi="仿宋" w:eastAsia="仿宋" w:cs="仿宋"/>
          <w:color w:val="000000"/>
          <w:sz w:val="32"/>
          <w:szCs w:val="32"/>
          <w:lang w:val="en-US" w:eastAsia="zh-CN"/>
        </w:rPr>
        <w:t>诸多</w:t>
      </w:r>
      <w:r>
        <w:rPr>
          <w:rFonts w:hint="eastAsia" w:ascii="仿宋" w:hAnsi="仿宋" w:eastAsia="仿宋" w:cs="仿宋"/>
          <w:color w:val="000000"/>
          <w:sz w:val="32"/>
          <w:szCs w:val="32"/>
        </w:rPr>
        <w:t>有益的参考</w:t>
      </w:r>
      <w:r>
        <w:rPr>
          <w:rFonts w:hint="eastAsia" w:ascii="仿宋" w:hAnsi="仿宋" w:eastAsia="仿宋" w:cs="仿宋"/>
          <w:color w:val="000000"/>
          <w:sz w:val="32"/>
          <w:szCs w:val="32"/>
          <w:lang w:val="en-US" w:eastAsia="zh-CN"/>
        </w:rPr>
        <w:t>价值</w:t>
      </w:r>
      <w:r>
        <w:rPr>
          <w:rFonts w:hint="eastAsia" w:ascii="仿宋" w:hAnsi="仿宋" w:eastAsia="仿宋" w:cs="仿宋"/>
          <w:color w:val="000000"/>
          <w:sz w:val="32"/>
          <w:szCs w:val="32"/>
        </w:rPr>
        <w:t>。</w:t>
      </w:r>
    </w:p>
    <w:p w14:paraId="1004C47B">
      <w:pPr>
        <w:keepNext w:val="0"/>
        <w:keepLines w:val="0"/>
        <w:pageBreakBefore w:val="0"/>
        <w:widowControl/>
        <w:kinsoku w:val="0"/>
        <w:wordWrap/>
        <w:overflowPunct/>
        <w:topLinePunct w:val="0"/>
        <w:autoSpaceDE w:val="0"/>
        <w:autoSpaceDN w:val="0"/>
        <w:bidi w:val="0"/>
        <w:adjustRightInd w:val="0"/>
        <w:snapToGrid w:val="0"/>
        <w:spacing w:line="600" w:lineRule="exact"/>
        <w:ind w:firstLine="640"/>
        <w:textAlignment w:val="baseline"/>
        <w:rPr>
          <w:rFonts w:hint="eastAsia" w:ascii="仿宋" w:hAnsi="仿宋" w:eastAsia="仿宋" w:cs="仿宋"/>
          <w:snapToGrid w:val="0"/>
          <w:color w:val="000000"/>
          <w:sz w:val="32"/>
          <w:szCs w:val="32"/>
          <w:lang w:val="en-US" w:eastAsia="zh-CN" w:bidi="ar-SA"/>
        </w:rPr>
      </w:pPr>
      <w:r>
        <w:rPr>
          <w:rFonts w:hint="eastAsia" w:ascii="仿宋" w:hAnsi="仿宋" w:eastAsia="仿宋" w:cs="仿宋"/>
          <w:snapToGrid w:val="0"/>
          <w:color w:val="000000"/>
          <w:sz w:val="32"/>
          <w:szCs w:val="32"/>
          <w:lang w:val="en-US" w:eastAsia="zh-CN" w:bidi="ar-SA"/>
        </w:rPr>
        <w:t>加强民族团结进步示范创建方面，在全市推进民族团结进步示范市创建中，区委统战部成功打造怀仁集团“助力少数民族地区产业发展”等一批城市民族服务的“鹤城样板”；全年成功申报市级民族团结进步示范单位8个；依托民族服务站，精心打造“周二民族志愿者服务”品牌活动，定期开设“石榴籽课堂”，切实做好政策宣传、语言培训、矛盾调解、咨询服务等各项工作，少数民族群众累计参与各类活动近1000人次，有效提升少数民族群众的获得感、归属感和幸福感，得到省、市领导高度肯定；举办“黄岩山上歌如海·民族团结一家亲”铿锵号子山歌擂台赛，深度打造与西藏那曲市开展“红石榴·1+1”研学交流活动；11月7-9日配合市里顺利完成国家民委督查组对我市创建全国民族团结进步示范市工作考评验收。</w:t>
      </w:r>
    </w:p>
    <w:p w14:paraId="0201FFE6">
      <w:pPr>
        <w:keepNext w:val="0"/>
        <w:keepLines w:val="0"/>
        <w:pageBreakBefore w:val="0"/>
        <w:widowControl/>
        <w:suppressLineNumbers w:val="0"/>
        <w:kinsoku w:val="0"/>
        <w:wordWrap/>
        <w:overflowPunct/>
        <w:topLinePunct w:val="0"/>
        <w:autoSpaceDE w:val="0"/>
        <w:autoSpaceDN w:val="0"/>
        <w:bidi w:val="0"/>
        <w:adjustRightInd w:val="0"/>
        <w:snapToGrid w:val="0"/>
        <w:spacing w:line="600" w:lineRule="exact"/>
        <w:ind w:firstLine="632" w:firstLineChars="200"/>
        <w:jc w:val="left"/>
        <w:textAlignment w:val="baseline"/>
        <w:rPr>
          <w:rFonts w:hint="eastAsia" w:ascii="仿宋" w:hAnsi="仿宋" w:eastAsia="仿宋" w:cs="仿宋"/>
          <w:snapToGrid w:val="0"/>
          <w:color w:val="000000"/>
          <w:spacing w:val="-2"/>
          <w:kern w:val="0"/>
          <w:sz w:val="32"/>
          <w:szCs w:val="32"/>
          <w:highlight w:val="none"/>
          <w:lang w:val="en-US" w:eastAsia="zh-CN" w:bidi="ar"/>
        </w:rPr>
      </w:pPr>
      <w:r>
        <w:rPr>
          <w:rFonts w:hint="eastAsia" w:ascii="仿宋" w:hAnsi="仿宋" w:eastAsia="仿宋" w:cs="仿宋"/>
          <w:snapToGrid w:val="0"/>
          <w:color w:val="000000"/>
          <w:spacing w:val="-2"/>
          <w:kern w:val="0"/>
          <w:sz w:val="32"/>
          <w:szCs w:val="32"/>
          <w:highlight w:val="none"/>
          <w:lang w:val="en-US" w:eastAsia="zh-CN" w:bidi="ar"/>
        </w:rPr>
        <w:t>加强侨务侨联工作方面，持续优化侨务工作服务路径，侨务9项行政事项入驻区政务中心“鹤中一体化”办事窗口，有效打破区域限制。成立怀化市第一家在法院挂牌的涉侨纠纷调解工作室，为涉侨纠纷提供了多元化解决渠道。今年7月全区第四次归侨侨眷代表大会顺利召开，完成侨联换届工作。全力开展“聚侨引智”行动，今年9月，在丰收节上成功签约湖南德人牧业公司投资2亿元的怀化德人乳业项目。</w:t>
      </w:r>
    </w:p>
    <w:p w14:paraId="7916216E">
      <w:pPr>
        <w:keepNext w:val="0"/>
        <w:keepLines w:val="0"/>
        <w:pageBreakBefore w:val="0"/>
        <w:widowControl/>
        <w:kinsoku w:val="0"/>
        <w:wordWrap/>
        <w:overflowPunct/>
        <w:topLinePunct w:val="0"/>
        <w:autoSpaceDE w:val="0"/>
        <w:autoSpaceDN w:val="0"/>
        <w:bidi w:val="0"/>
        <w:adjustRightInd w:val="0"/>
        <w:snapToGrid w:val="0"/>
        <w:spacing w:line="600" w:lineRule="exact"/>
        <w:ind w:firstLine="640"/>
        <w:textAlignment w:val="baseline"/>
        <w:rPr>
          <w:rFonts w:hint="eastAsia" w:ascii="仿宋" w:hAnsi="仿宋" w:eastAsia="仿宋" w:cs="仿宋"/>
          <w:snapToGrid w:val="0"/>
          <w:color w:val="000000"/>
          <w:spacing w:val="-2"/>
          <w:kern w:val="0"/>
          <w:sz w:val="32"/>
          <w:szCs w:val="32"/>
          <w:highlight w:val="none"/>
          <w:lang w:val="en-US" w:eastAsia="zh-CN" w:bidi="ar"/>
        </w:rPr>
      </w:pPr>
      <w:r>
        <w:rPr>
          <w:rFonts w:hint="eastAsia" w:ascii="仿宋" w:hAnsi="仿宋" w:eastAsia="仿宋" w:cs="仿宋"/>
          <w:snapToGrid w:val="0"/>
          <w:color w:val="000000"/>
          <w:spacing w:val="-2"/>
          <w:kern w:val="0"/>
          <w:sz w:val="32"/>
          <w:szCs w:val="32"/>
          <w:highlight w:val="none"/>
          <w:lang w:val="en-US" w:eastAsia="zh-CN" w:bidi="ar"/>
        </w:rPr>
        <w:t>加强新的社会阶层人士工作方面，动态吸纳以湖南冠捷网络科技有限公司为代表的高新技术产业、网络科技、文创广告等10余名高精尖人才会员，进一步丰富联谊会会员单位行业结构。目前，鹤城区新的社会阶层人士联谊会共有会员单位104家，党员30人。举办“同心永向党·聚力新征程”统一战线书画作品展，展现统一战线坚定如一的政治立场和奋发有为的精神风貌。</w:t>
      </w:r>
    </w:p>
    <w:p w14:paraId="547C0C39">
      <w:pPr>
        <w:keepNext w:val="0"/>
        <w:keepLines w:val="0"/>
        <w:pageBreakBefore w:val="0"/>
        <w:widowControl/>
        <w:kinsoku w:val="0"/>
        <w:wordWrap/>
        <w:overflowPunct/>
        <w:topLinePunct w:val="0"/>
        <w:autoSpaceDE w:val="0"/>
        <w:autoSpaceDN w:val="0"/>
        <w:bidi w:val="0"/>
        <w:adjustRightInd w:val="0"/>
        <w:snapToGrid w:val="0"/>
        <w:spacing w:line="600" w:lineRule="exact"/>
        <w:ind w:firstLine="640"/>
        <w:textAlignment w:val="baseline"/>
        <w:rPr>
          <w:rFonts w:hint="eastAsia" w:ascii="仿宋" w:hAnsi="仿宋" w:eastAsia="仿宋" w:cs="仿宋"/>
          <w:snapToGrid w:val="0"/>
          <w:color w:val="000000"/>
          <w:spacing w:val="-2"/>
          <w:kern w:val="0"/>
          <w:sz w:val="32"/>
          <w:szCs w:val="32"/>
          <w:highlight w:val="none"/>
          <w:lang w:val="en-US" w:eastAsia="zh-CN" w:bidi="ar"/>
        </w:rPr>
      </w:pPr>
      <w:r>
        <w:rPr>
          <w:rFonts w:hint="eastAsia" w:ascii="仿宋" w:hAnsi="仿宋" w:eastAsia="仿宋" w:cs="仿宋"/>
          <w:snapToGrid w:val="0"/>
          <w:color w:val="000000"/>
          <w:spacing w:val="-2"/>
          <w:kern w:val="0"/>
          <w:sz w:val="32"/>
          <w:szCs w:val="32"/>
          <w:highlight w:val="none"/>
          <w:lang w:val="en-US" w:eastAsia="zh-CN" w:bidi="ar"/>
        </w:rPr>
        <w:t>全力服务非公经济发展方面，1.积极搭建招商引资平台，走访异地商会20余次，组织企业参加招商推荐会10余场，大力</w:t>
      </w:r>
      <w:r>
        <w:rPr>
          <w:rFonts w:hint="eastAsia" w:ascii="仿宋" w:hAnsi="仿宋" w:eastAsia="仿宋" w:cs="仿宋"/>
          <w:color w:val="000000"/>
          <w:sz w:val="32"/>
          <w:szCs w:val="32"/>
        </w:rPr>
        <w:t>开展</w:t>
      </w:r>
      <w:r>
        <w:rPr>
          <w:rFonts w:hint="eastAsia" w:ascii="仿宋" w:hAnsi="仿宋" w:eastAsia="仿宋" w:cs="仿宋"/>
          <w:snapToGrid w:val="0"/>
          <w:color w:val="000000"/>
          <w:spacing w:val="-2"/>
          <w:kern w:val="0"/>
          <w:sz w:val="32"/>
          <w:szCs w:val="32"/>
          <w:highlight w:val="none"/>
          <w:lang w:val="en-US" w:eastAsia="zh-CN" w:bidi="ar"/>
        </w:rPr>
        <w:t>“迎老乡、回故乡、建家乡”行动，成功吸引湘商回归投资35个，引进项目总资金119.40亿元。2.积极组织开展“优服务、解难题、助企业、开门红”、“春雨润苗”等行动，走访300余家民营企业，发放《湖南省民营企业支持政策手册》300余份，帮助纳税人算清享受退税减税降费“红利账”382份，累计退税减税降费6391.14万元，涉及纳税人16888户次，不折不扣将减税降费、创新激励等政策精准直达企业。3.持续促进“政银企”合作，组织金融机构为14家企业办理低利率贷款4280余万元，与6家金融机构搭建民营企业融资需求对接平台，联合开发“国担E贷”等金融产品，累计发放各类贷款5.30亿元。4.精心组织53家民营企业参与“万企兴万村”乡村振兴行动，共实施56个项目，帮扶村37个，经营性项目投入4.60亿元，提高村集体收入567.8万元，签署帮扶固定用工合同1027人，吸引各类人才返乡创业就业665人。为村民培训各类技术人才1414人次，公益帮扶捐赠金额合计682.60万元。</w:t>
      </w:r>
    </w:p>
    <w:p w14:paraId="4213957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spacing w:val="-2"/>
          <w:sz w:val="32"/>
          <w:szCs w:val="32"/>
          <w:highlight w:val="none"/>
          <w:lang w:val="en-US" w:eastAsia="zh-CN"/>
        </w:rPr>
      </w:pPr>
      <w:r>
        <w:rPr>
          <w:rFonts w:hint="eastAsia" w:ascii="仿宋" w:hAnsi="仿宋" w:eastAsia="仿宋" w:cs="仿宋"/>
          <w:spacing w:val="-2"/>
          <w:sz w:val="32"/>
          <w:szCs w:val="32"/>
          <w:highlight w:val="none"/>
          <w:lang w:val="en-US" w:eastAsia="zh-CN"/>
        </w:rPr>
        <w:t>（2）效益指标分析</w:t>
      </w:r>
    </w:p>
    <w:p w14:paraId="7D015821">
      <w:pPr>
        <w:keepNext w:val="0"/>
        <w:keepLines w:val="0"/>
        <w:pageBreakBefore w:val="0"/>
        <w:widowControl/>
        <w:kinsoku w:val="0"/>
        <w:wordWrap/>
        <w:overflowPunct/>
        <w:topLinePunct w:val="0"/>
        <w:autoSpaceDE w:val="0"/>
        <w:autoSpaceDN w:val="0"/>
        <w:bidi w:val="0"/>
        <w:adjustRightInd w:val="0"/>
        <w:snapToGrid w:val="0"/>
        <w:spacing w:line="600" w:lineRule="exact"/>
        <w:ind w:firstLine="640"/>
        <w:textAlignment w:val="baseline"/>
        <w:rPr>
          <w:rFonts w:hint="default" w:ascii="仿宋" w:hAnsi="仿宋" w:eastAsia="仿宋" w:cs="仿宋"/>
          <w:snapToGrid w:val="0"/>
          <w:color w:val="000000"/>
          <w:spacing w:val="-2"/>
          <w:kern w:val="0"/>
          <w:sz w:val="32"/>
          <w:szCs w:val="32"/>
          <w:highlight w:val="none"/>
          <w:lang w:val="en-US" w:eastAsia="zh-CN" w:bidi="ar"/>
        </w:rPr>
      </w:pPr>
      <w:r>
        <w:rPr>
          <w:rFonts w:hint="eastAsia" w:ascii="仿宋" w:hAnsi="仿宋" w:eastAsia="仿宋" w:cs="仿宋"/>
          <w:snapToGrid w:val="0"/>
          <w:color w:val="000000"/>
          <w:spacing w:val="-2"/>
          <w:kern w:val="0"/>
          <w:sz w:val="32"/>
          <w:szCs w:val="32"/>
          <w:highlight w:val="none"/>
          <w:lang w:val="en-US" w:eastAsia="zh-CN" w:bidi="ar"/>
        </w:rPr>
        <w:t>进一步加强了本单位统战工作的有效管理，统筹协调了民族工作，领导民族工作部门依法管理民族事务，协调推进了统一战线领域法治建设，落实了意识形态工作责任制，完成了开展统一战线宣传工作。</w:t>
      </w:r>
    </w:p>
    <w:p w14:paraId="2735D4C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default" w:ascii="仿宋" w:hAnsi="仿宋" w:eastAsia="仿宋" w:cs="仿宋"/>
          <w:spacing w:val="-2"/>
          <w:sz w:val="32"/>
          <w:szCs w:val="32"/>
          <w:highlight w:val="none"/>
          <w:lang w:val="en-US" w:eastAsia="zh-CN"/>
        </w:rPr>
      </w:pPr>
      <w:r>
        <w:rPr>
          <w:rFonts w:hint="eastAsia" w:ascii="仿宋" w:hAnsi="仿宋" w:eastAsia="仿宋" w:cs="仿宋"/>
          <w:spacing w:val="-2"/>
          <w:sz w:val="32"/>
          <w:szCs w:val="32"/>
          <w:highlight w:val="none"/>
          <w:lang w:val="en-US" w:eastAsia="zh-CN"/>
        </w:rPr>
        <w:t>（3）满意度指标分析</w:t>
      </w:r>
    </w:p>
    <w:p w14:paraId="0D3C831A">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lang w:eastAsia="zh-CN"/>
        </w:rPr>
      </w:pPr>
      <w:r>
        <w:rPr>
          <w:rFonts w:hint="eastAsia" w:ascii="仿宋" w:hAnsi="仿宋" w:eastAsia="仿宋" w:cstheme="minorBidi"/>
          <w:kern w:val="2"/>
          <w:sz w:val="32"/>
          <w:szCs w:val="32"/>
          <w:highlight w:val="none"/>
          <w:lang w:val="en-US" w:eastAsia="zh-CN" w:bidi="ar-SA"/>
        </w:rPr>
        <w:t>满意度指标：服务对象满意度90%以上，受益群体满意度90%以上。</w:t>
      </w:r>
    </w:p>
    <w:p w14:paraId="59688CA0">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15" w:firstLineChars="200"/>
        <w:textAlignment w:val="baseline"/>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7799A86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default" w:ascii="黑体" w:hAnsi="黑体" w:eastAsia="黑体" w:cs="黑体"/>
          <w:i w:val="0"/>
          <w:iCs w:val="0"/>
          <w:caps w:val="0"/>
          <w:color w:val="auto"/>
          <w:spacing w:val="0"/>
          <w:sz w:val="32"/>
          <w:szCs w:val="32"/>
          <w:shd w:val="clear" w:fill="FFFFFF"/>
          <w:lang w:val="en-US"/>
        </w:rPr>
      </w:pPr>
      <w:r>
        <w:rPr>
          <w:rFonts w:hint="eastAsia" w:ascii="仿宋" w:hAnsi="仿宋" w:eastAsia="仿宋" w:cs="仿宋"/>
          <w:color w:val="auto"/>
          <w:spacing w:val="-2"/>
          <w:sz w:val="32"/>
          <w:szCs w:val="32"/>
          <w:highlight w:val="none"/>
          <w:lang w:val="en-US" w:eastAsia="zh-CN"/>
        </w:rPr>
        <w:t>项目经费预决算有差异，主要原因是结合本单位2023年度实际工作情况，存在人员增加，故追加预算。</w:t>
      </w:r>
    </w:p>
    <w:p w14:paraId="60F2E164">
      <w:pPr>
        <w:keepNext w:val="0"/>
        <w:keepLines w:val="0"/>
        <w:pageBreakBefore w:val="0"/>
        <w:widowControl w:val="0"/>
        <w:numPr>
          <w:ilvl w:val="0"/>
          <w:numId w:val="2"/>
        </w:numPr>
        <w:kinsoku/>
        <w:wordWrap/>
        <w:overflowPunct w:val="0"/>
        <w:topLinePunct w:val="0"/>
        <w:autoSpaceDE w:val="0"/>
        <w:autoSpaceDN w:val="0"/>
        <w:bidi w:val="0"/>
        <w:adjustRightInd w:val="0"/>
        <w:snapToGrid w:val="0"/>
        <w:spacing w:line="600" w:lineRule="exact"/>
        <w:ind w:left="0" w:leftChars="0" w:firstLine="607" w:firstLineChars="200"/>
        <w:textAlignment w:val="baseline"/>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下一步改进措施</w:t>
      </w:r>
    </w:p>
    <w:p w14:paraId="3CD54AA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color w:val="auto"/>
          <w:spacing w:val="-2"/>
          <w:sz w:val="32"/>
          <w:szCs w:val="32"/>
          <w:highlight w:val="none"/>
          <w:lang w:val="en-US" w:eastAsia="zh-CN"/>
        </w:rPr>
      </w:pPr>
      <w:r>
        <w:rPr>
          <w:rFonts w:hint="eastAsia" w:ascii="仿宋" w:hAnsi="仿宋" w:eastAsia="仿宋" w:cs="仿宋"/>
          <w:color w:val="auto"/>
          <w:spacing w:val="-2"/>
          <w:sz w:val="32"/>
          <w:szCs w:val="32"/>
          <w:highlight w:val="none"/>
          <w:lang w:val="en-US" w:eastAsia="zh-CN"/>
        </w:rPr>
        <w:t>加强预算编制。确定编制标准，统一预决算口径，增强预算编制的科学性。</w:t>
      </w:r>
    </w:p>
    <w:p w14:paraId="390D52A0">
      <w:pPr>
        <w:keepNext w:val="0"/>
        <w:keepLines w:val="0"/>
        <w:pageBreakBefore w:val="0"/>
        <w:widowControl w:val="0"/>
        <w:numPr>
          <w:ilvl w:val="0"/>
          <w:numId w:val="2"/>
        </w:numPr>
        <w:kinsoku/>
        <w:wordWrap/>
        <w:overflowPunct w:val="0"/>
        <w:topLinePunct w:val="0"/>
        <w:autoSpaceDE w:val="0"/>
        <w:autoSpaceDN w:val="0"/>
        <w:bidi w:val="0"/>
        <w:adjustRightInd w:val="0"/>
        <w:snapToGrid w:val="0"/>
        <w:spacing w:line="600" w:lineRule="exact"/>
        <w:ind w:left="0" w:leftChars="0" w:firstLine="607" w:firstLineChars="200"/>
        <w:textAlignment w:val="baseline"/>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九、其他需要说明的情况</w:t>
      </w:r>
    </w:p>
    <w:p w14:paraId="5406ABD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color w:val="auto"/>
          <w:spacing w:val="-2"/>
          <w:sz w:val="32"/>
          <w:szCs w:val="32"/>
          <w:highlight w:val="none"/>
          <w:lang w:val="en-US" w:eastAsia="zh-CN"/>
        </w:rPr>
      </w:pPr>
      <w:r>
        <w:rPr>
          <w:rFonts w:hint="eastAsia" w:ascii="仿宋" w:hAnsi="仿宋" w:eastAsia="仿宋" w:cs="仿宋"/>
          <w:color w:val="auto"/>
          <w:spacing w:val="-2"/>
          <w:sz w:val="32"/>
          <w:szCs w:val="32"/>
          <w:highlight w:val="none"/>
          <w:lang w:val="en-US" w:eastAsia="zh-CN"/>
        </w:rPr>
        <w:t>无其他需要说明的情况。</w:t>
      </w:r>
    </w:p>
    <w:p w14:paraId="77A1D24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color w:val="auto"/>
          <w:spacing w:val="-2"/>
          <w:sz w:val="32"/>
          <w:szCs w:val="32"/>
          <w:highlight w:val="none"/>
          <w:lang w:val="en-US" w:eastAsia="zh-CN"/>
        </w:rPr>
      </w:pPr>
    </w:p>
    <w:p w14:paraId="184C93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textAlignment w:val="auto"/>
        <w:rPr>
          <w:rFonts w:hint="eastAsia" w:ascii="仿宋" w:hAnsi="仿宋" w:eastAsia="仿宋" w:cs="仿宋"/>
          <w:color w:val="auto"/>
          <w:spacing w:val="-2"/>
          <w:sz w:val="32"/>
          <w:szCs w:val="32"/>
          <w:highlight w:val="none"/>
          <w:lang w:val="en-US" w:eastAsia="zh-CN"/>
        </w:rPr>
      </w:pPr>
    </w:p>
    <w:p w14:paraId="61648D97">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r>
        <w:rPr>
          <w:spacing w:val="0"/>
          <w:sz w:val="32"/>
          <w:szCs w:val="32"/>
          <w:lang w:eastAsia="zh-CN"/>
        </w:rPr>
        <w:t>报告应包括以下附件：</w:t>
      </w:r>
    </w:p>
    <w:p w14:paraId="37242ED4">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r>
        <w:rPr>
          <w:rFonts w:hint="eastAsia"/>
          <w:spacing w:val="0"/>
          <w:sz w:val="32"/>
          <w:szCs w:val="32"/>
          <w:lang w:eastAsia="zh-CN"/>
        </w:rPr>
        <w:t>1.</w:t>
      </w:r>
      <w:r>
        <w:rPr>
          <w:spacing w:val="0"/>
          <w:sz w:val="32"/>
          <w:szCs w:val="32"/>
          <w:lang w:eastAsia="zh-CN"/>
        </w:rPr>
        <w:t>部门整体支出绩效评价基础数据表</w:t>
      </w:r>
    </w:p>
    <w:p w14:paraId="2B0163A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r>
        <w:rPr>
          <w:rFonts w:hint="eastAsia" w:ascii="宋体" w:hAnsi="宋体" w:eastAsia="宋体" w:cs="宋体"/>
          <w:spacing w:val="0"/>
          <w:sz w:val="32"/>
          <w:szCs w:val="32"/>
          <w:lang w:eastAsia="zh-CN"/>
        </w:rPr>
        <w:t>2.</w:t>
      </w:r>
      <w:r>
        <w:rPr>
          <w:spacing w:val="0"/>
          <w:sz w:val="32"/>
          <w:szCs w:val="32"/>
          <w:lang w:eastAsia="zh-CN"/>
        </w:rPr>
        <w:t>部门整体支出绩效自评表</w:t>
      </w:r>
    </w:p>
    <w:p w14:paraId="105DA83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right="0" w:firstLine="632" w:firstLineChars="200"/>
        <w:textAlignment w:val="auto"/>
        <w:rPr>
          <w:rFonts w:hint="eastAsia" w:ascii="仿宋" w:hAnsi="仿宋" w:eastAsia="仿宋" w:cs="仿宋"/>
          <w:color w:val="auto"/>
          <w:spacing w:val="-2"/>
          <w:sz w:val="32"/>
          <w:szCs w:val="32"/>
          <w:highlight w:val="none"/>
          <w:lang w:val="en-US" w:eastAsia="zh-CN"/>
        </w:rPr>
      </w:pPr>
    </w:p>
    <w:p w14:paraId="0FE02D95">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z w:val="32"/>
          <w:szCs w:val="32"/>
          <w:lang w:eastAsia="zh-CN"/>
        </w:rPr>
      </w:pPr>
    </w:p>
    <w:p w14:paraId="039131FC">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z w:val="32"/>
          <w:szCs w:val="32"/>
          <w:lang w:eastAsia="zh-CN"/>
        </w:rPr>
      </w:pPr>
    </w:p>
    <w:p w14:paraId="1B2B1545">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076B5E26">
      <w:pPr>
        <w:pStyle w:val="2"/>
        <w:spacing w:before="75" w:line="222" w:lineRule="auto"/>
        <w:rPr>
          <w:sz w:val="24"/>
          <w:szCs w:val="24"/>
          <w:lang w:eastAsia="zh-CN"/>
        </w:rPr>
      </w:pPr>
      <w:r>
        <w:rPr>
          <w:spacing w:val="15"/>
          <w:sz w:val="24"/>
          <w:szCs w:val="24"/>
          <w:lang w:eastAsia="zh-CN"/>
        </w:rPr>
        <w:t>附件1-1</w:t>
      </w:r>
    </w:p>
    <w:p w14:paraId="0B530E76">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617A4101">
      <w:pPr>
        <w:spacing w:line="219" w:lineRule="auto"/>
        <w:ind w:left="545"/>
        <w:rPr>
          <w:rFonts w:hint="eastAsia" w:ascii="宋体" w:hAnsi="宋体" w:eastAsia="宋体" w:cs="宋体"/>
          <w:spacing w:val="-1"/>
          <w:lang w:eastAsia="zh-CN"/>
        </w:rPr>
      </w:pPr>
    </w:p>
    <w:p w14:paraId="205C44AB">
      <w:pPr>
        <w:spacing w:line="219" w:lineRule="auto"/>
        <w:ind w:left="545"/>
        <w:rPr>
          <w:rFonts w:hint="eastAsia"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val="en-US" w:eastAsia="zh-CN"/>
        </w:rPr>
        <w:t>中共怀化市鹤城区委统一战线工作部</w:t>
      </w:r>
      <w:r>
        <w:rPr>
          <w:rFonts w:hint="eastAsia" w:ascii="宋体" w:hAnsi="宋体" w:eastAsia="宋体" w:cs="宋体"/>
          <w:spacing w:val="-1"/>
          <w:lang w:eastAsia="zh-CN"/>
        </w:rPr>
        <w:t xml:space="preserve">                                                                                                         </w:t>
      </w:r>
    </w:p>
    <w:p w14:paraId="3D4059B3">
      <w:pPr>
        <w:spacing w:line="219" w:lineRule="auto"/>
        <w:ind w:left="545"/>
        <w:jc w:val="right"/>
        <w:rPr>
          <w:rFonts w:ascii="宋体" w:hAnsi="宋体" w:eastAsia="宋体" w:cs="宋体"/>
          <w:spacing w:val="-1"/>
          <w:lang w:eastAsia="zh-CN"/>
        </w:rPr>
      </w:pPr>
      <w:r>
        <w:rPr>
          <w:rFonts w:hint="eastAsia" w:ascii="宋体" w:hAnsi="宋体" w:eastAsia="宋体" w:cs="宋体"/>
          <w:spacing w:val="-1"/>
          <w:lang w:eastAsia="zh-CN"/>
        </w:rPr>
        <w:t xml:space="preserve">                                                           单位：万元</w:t>
      </w:r>
    </w:p>
    <w:p w14:paraId="72B16FFD">
      <w:pPr>
        <w:spacing w:line="37" w:lineRule="exact"/>
      </w:pPr>
    </w:p>
    <w:tbl>
      <w:tblPr>
        <w:tblStyle w:val="9"/>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99"/>
        <w:gridCol w:w="1001"/>
        <w:gridCol w:w="849"/>
        <w:gridCol w:w="1109"/>
        <w:gridCol w:w="1088"/>
        <w:gridCol w:w="969"/>
        <w:gridCol w:w="874"/>
      </w:tblGrid>
      <w:tr w14:paraId="3709E8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499" w:type="dxa"/>
            <w:vMerge w:val="restart"/>
            <w:tcBorders>
              <w:bottom w:val="nil"/>
            </w:tcBorders>
          </w:tcPr>
          <w:p w14:paraId="71154F9F">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1850" w:type="dxa"/>
            <w:gridSpan w:val="2"/>
          </w:tcPr>
          <w:p w14:paraId="67EFA6C9">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51620438">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5047A3F1">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272BB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499" w:type="dxa"/>
            <w:vMerge w:val="continue"/>
            <w:tcBorders>
              <w:top w:val="nil"/>
            </w:tcBorders>
          </w:tcPr>
          <w:p w14:paraId="282FCDC2">
            <w:pPr>
              <w:pStyle w:val="10"/>
            </w:pPr>
          </w:p>
        </w:tc>
        <w:tc>
          <w:tcPr>
            <w:tcW w:w="1850" w:type="dxa"/>
            <w:gridSpan w:val="2"/>
            <w:vAlign w:val="center"/>
          </w:tcPr>
          <w:p w14:paraId="38CE201F">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21</w:t>
            </w:r>
          </w:p>
        </w:tc>
        <w:tc>
          <w:tcPr>
            <w:tcW w:w="2197" w:type="dxa"/>
            <w:gridSpan w:val="2"/>
            <w:vAlign w:val="center"/>
          </w:tcPr>
          <w:p w14:paraId="04FB6E5C">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19</w:t>
            </w:r>
          </w:p>
        </w:tc>
        <w:tc>
          <w:tcPr>
            <w:tcW w:w="1843" w:type="dxa"/>
            <w:gridSpan w:val="2"/>
            <w:vAlign w:val="center"/>
          </w:tcPr>
          <w:p w14:paraId="1E854F80">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90.48%</w:t>
            </w:r>
          </w:p>
        </w:tc>
      </w:tr>
      <w:tr w14:paraId="35F9D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99" w:type="dxa"/>
          </w:tcPr>
          <w:p w14:paraId="78BC8519">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1850" w:type="dxa"/>
            <w:gridSpan w:val="2"/>
          </w:tcPr>
          <w:p w14:paraId="5688716A">
            <w:pPr>
              <w:spacing w:before="99" w:line="219" w:lineRule="auto"/>
              <w:ind w:left="403"/>
              <w:jc w:val="center"/>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0B5F02E8">
            <w:pPr>
              <w:spacing w:before="99" w:line="219" w:lineRule="auto"/>
              <w:ind w:left="496"/>
              <w:jc w:val="center"/>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57B01E09">
            <w:pPr>
              <w:spacing w:before="99" w:line="219" w:lineRule="auto"/>
              <w:ind w:left="318"/>
              <w:jc w:val="center"/>
              <w:rPr>
                <w:rFonts w:ascii="宋体" w:hAnsi="宋体" w:eastAsia="宋体" w:cs="宋体"/>
                <w:sz w:val="20"/>
                <w:szCs w:val="20"/>
              </w:rPr>
            </w:pPr>
            <w:r>
              <w:rPr>
                <w:rFonts w:ascii="宋体" w:hAnsi="宋体" w:eastAsia="宋体" w:cs="宋体"/>
                <w:spacing w:val="-2"/>
                <w:sz w:val="20"/>
                <w:szCs w:val="20"/>
              </w:rPr>
              <w:t>2023年决算数</w:t>
            </w:r>
          </w:p>
        </w:tc>
      </w:tr>
      <w:tr w14:paraId="05539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99" w:type="dxa"/>
          </w:tcPr>
          <w:p w14:paraId="462422A9">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1850" w:type="dxa"/>
            <w:gridSpan w:val="2"/>
            <w:vAlign w:val="center"/>
          </w:tcPr>
          <w:p w14:paraId="0B56A3C1">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0.38</w:t>
            </w:r>
          </w:p>
        </w:tc>
        <w:tc>
          <w:tcPr>
            <w:tcW w:w="2197" w:type="dxa"/>
            <w:gridSpan w:val="2"/>
            <w:vAlign w:val="center"/>
          </w:tcPr>
          <w:p w14:paraId="09D8247B">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1843" w:type="dxa"/>
            <w:gridSpan w:val="2"/>
            <w:vAlign w:val="center"/>
          </w:tcPr>
          <w:p w14:paraId="6E4FC8E5">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0.16</w:t>
            </w:r>
          </w:p>
        </w:tc>
      </w:tr>
      <w:tr w14:paraId="4436D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499" w:type="dxa"/>
          </w:tcPr>
          <w:p w14:paraId="03ADE7BF">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1850" w:type="dxa"/>
            <w:gridSpan w:val="2"/>
            <w:vAlign w:val="center"/>
          </w:tcPr>
          <w:p w14:paraId="797DB661">
            <w:pPr>
              <w:pStyle w:val="10"/>
              <w:jc w:val="center"/>
              <w:rPr>
                <w:rFonts w:hint="default"/>
                <w:lang w:val="en-US" w:eastAsia="zh-CN"/>
              </w:rPr>
            </w:pPr>
          </w:p>
        </w:tc>
        <w:tc>
          <w:tcPr>
            <w:tcW w:w="2197" w:type="dxa"/>
            <w:gridSpan w:val="2"/>
            <w:vAlign w:val="center"/>
          </w:tcPr>
          <w:p w14:paraId="3A7DDC05">
            <w:pPr>
              <w:pStyle w:val="10"/>
              <w:jc w:val="center"/>
              <w:rPr>
                <w:lang w:eastAsia="zh-CN"/>
              </w:rPr>
            </w:pPr>
          </w:p>
        </w:tc>
        <w:tc>
          <w:tcPr>
            <w:tcW w:w="1843" w:type="dxa"/>
            <w:gridSpan w:val="2"/>
            <w:vAlign w:val="center"/>
          </w:tcPr>
          <w:p w14:paraId="00ED75DE">
            <w:pPr>
              <w:pStyle w:val="10"/>
              <w:jc w:val="center"/>
              <w:rPr>
                <w:lang w:eastAsia="zh-CN"/>
              </w:rPr>
            </w:pPr>
          </w:p>
        </w:tc>
      </w:tr>
      <w:tr w14:paraId="275C2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499" w:type="dxa"/>
          </w:tcPr>
          <w:p w14:paraId="0A5BA238">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1850" w:type="dxa"/>
            <w:gridSpan w:val="2"/>
            <w:vAlign w:val="center"/>
          </w:tcPr>
          <w:p w14:paraId="3F526288">
            <w:pPr>
              <w:pStyle w:val="10"/>
              <w:jc w:val="center"/>
            </w:pPr>
          </w:p>
        </w:tc>
        <w:tc>
          <w:tcPr>
            <w:tcW w:w="2197" w:type="dxa"/>
            <w:gridSpan w:val="2"/>
            <w:vAlign w:val="center"/>
          </w:tcPr>
          <w:p w14:paraId="6CCBAE09">
            <w:pPr>
              <w:pStyle w:val="10"/>
              <w:jc w:val="center"/>
            </w:pPr>
          </w:p>
        </w:tc>
        <w:tc>
          <w:tcPr>
            <w:tcW w:w="1843" w:type="dxa"/>
            <w:gridSpan w:val="2"/>
            <w:vAlign w:val="center"/>
          </w:tcPr>
          <w:p w14:paraId="2CDACA49">
            <w:pPr>
              <w:pStyle w:val="10"/>
              <w:jc w:val="center"/>
            </w:pPr>
          </w:p>
        </w:tc>
      </w:tr>
      <w:tr w14:paraId="7FB19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3499" w:type="dxa"/>
          </w:tcPr>
          <w:p w14:paraId="284F698A">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1850" w:type="dxa"/>
            <w:gridSpan w:val="2"/>
            <w:vAlign w:val="center"/>
          </w:tcPr>
          <w:p w14:paraId="06103365">
            <w:pPr>
              <w:pStyle w:val="10"/>
              <w:jc w:val="center"/>
            </w:pPr>
          </w:p>
        </w:tc>
        <w:tc>
          <w:tcPr>
            <w:tcW w:w="2197" w:type="dxa"/>
            <w:gridSpan w:val="2"/>
            <w:vAlign w:val="center"/>
          </w:tcPr>
          <w:p w14:paraId="10FE432E">
            <w:pPr>
              <w:pStyle w:val="10"/>
              <w:jc w:val="center"/>
            </w:pPr>
          </w:p>
        </w:tc>
        <w:tc>
          <w:tcPr>
            <w:tcW w:w="1843" w:type="dxa"/>
            <w:gridSpan w:val="2"/>
            <w:vAlign w:val="center"/>
          </w:tcPr>
          <w:p w14:paraId="130AAACD">
            <w:pPr>
              <w:pStyle w:val="10"/>
              <w:jc w:val="center"/>
            </w:pPr>
          </w:p>
        </w:tc>
      </w:tr>
      <w:tr w14:paraId="0F79E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99" w:type="dxa"/>
          </w:tcPr>
          <w:p w14:paraId="6018A6C6">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1850" w:type="dxa"/>
            <w:gridSpan w:val="2"/>
            <w:vAlign w:val="center"/>
          </w:tcPr>
          <w:p w14:paraId="08F42B30">
            <w:pPr>
              <w:pStyle w:val="10"/>
              <w:jc w:val="center"/>
            </w:pPr>
          </w:p>
        </w:tc>
        <w:tc>
          <w:tcPr>
            <w:tcW w:w="2197" w:type="dxa"/>
            <w:gridSpan w:val="2"/>
            <w:vAlign w:val="center"/>
          </w:tcPr>
          <w:p w14:paraId="6AF41CE0">
            <w:pPr>
              <w:pStyle w:val="10"/>
              <w:jc w:val="center"/>
            </w:pPr>
          </w:p>
        </w:tc>
        <w:tc>
          <w:tcPr>
            <w:tcW w:w="1843" w:type="dxa"/>
            <w:gridSpan w:val="2"/>
            <w:vAlign w:val="center"/>
          </w:tcPr>
          <w:p w14:paraId="0D2BE404">
            <w:pPr>
              <w:pStyle w:val="10"/>
              <w:jc w:val="center"/>
            </w:pPr>
          </w:p>
        </w:tc>
      </w:tr>
      <w:tr w14:paraId="58D4A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499" w:type="dxa"/>
          </w:tcPr>
          <w:p w14:paraId="23C2A38F">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1850" w:type="dxa"/>
            <w:gridSpan w:val="2"/>
            <w:vAlign w:val="center"/>
          </w:tcPr>
          <w:p w14:paraId="16406ADF">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0.38</w:t>
            </w:r>
          </w:p>
        </w:tc>
        <w:tc>
          <w:tcPr>
            <w:tcW w:w="2197" w:type="dxa"/>
            <w:gridSpan w:val="2"/>
            <w:vAlign w:val="center"/>
          </w:tcPr>
          <w:p w14:paraId="324B8C35">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1843" w:type="dxa"/>
            <w:gridSpan w:val="2"/>
            <w:vAlign w:val="center"/>
          </w:tcPr>
          <w:p w14:paraId="79457C54">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0.16</w:t>
            </w:r>
          </w:p>
        </w:tc>
      </w:tr>
      <w:tr w14:paraId="7AF05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99" w:type="dxa"/>
          </w:tcPr>
          <w:p w14:paraId="17965E24">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1850" w:type="dxa"/>
            <w:gridSpan w:val="2"/>
            <w:vAlign w:val="center"/>
          </w:tcPr>
          <w:p w14:paraId="721CD41A">
            <w:pPr>
              <w:pStyle w:val="10"/>
              <w:jc w:val="center"/>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98.40</w:t>
            </w:r>
          </w:p>
        </w:tc>
        <w:tc>
          <w:tcPr>
            <w:tcW w:w="2197" w:type="dxa"/>
            <w:gridSpan w:val="2"/>
            <w:vAlign w:val="center"/>
          </w:tcPr>
          <w:p w14:paraId="77C061B3">
            <w:pPr>
              <w:pStyle w:val="10"/>
              <w:jc w:val="center"/>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62.56</w:t>
            </w:r>
          </w:p>
        </w:tc>
        <w:tc>
          <w:tcPr>
            <w:tcW w:w="1843" w:type="dxa"/>
            <w:gridSpan w:val="2"/>
            <w:vAlign w:val="center"/>
          </w:tcPr>
          <w:p w14:paraId="2A2806A7">
            <w:pPr>
              <w:pStyle w:val="10"/>
              <w:jc w:val="center"/>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47.98</w:t>
            </w:r>
          </w:p>
        </w:tc>
      </w:tr>
      <w:tr w14:paraId="0EE79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99" w:type="dxa"/>
          </w:tcPr>
          <w:p w14:paraId="0D2D7421">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1850" w:type="dxa"/>
            <w:gridSpan w:val="2"/>
            <w:vAlign w:val="center"/>
          </w:tcPr>
          <w:p w14:paraId="3FB4F7B1">
            <w:pPr>
              <w:pStyle w:val="10"/>
              <w:jc w:val="center"/>
              <w:rPr>
                <w:rFonts w:hint="eastAsia" w:ascii="宋体" w:hAnsi="宋体" w:eastAsia="宋体" w:cs="宋体"/>
                <w:sz w:val="20"/>
                <w:szCs w:val="20"/>
              </w:rPr>
            </w:pPr>
          </w:p>
        </w:tc>
        <w:tc>
          <w:tcPr>
            <w:tcW w:w="2197" w:type="dxa"/>
            <w:gridSpan w:val="2"/>
            <w:vAlign w:val="center"/>
          </w:tcPr>
          <w:p w14:paraId="34F1033F">
            <w:pPr>
              <w:pStyle w:val="10"/>
              <w:jc w:val="center"/>
              <w:rPr>
                <w:rFonts w:hint="eastAsia" w:ascii="宋体" w:hAnsi="宋体" w:eastAsia="宋体" w:cs="宋体"/>
                <w:sz w:val="20"/>
                <w:szCs w:val="20"/>
              </w:rPr>
            </w:pPr>
          </w:p>
        </w:tc>
        <w:tc>
          <w:tcPr>
            <w:tcW w:w="1843" w:type="dxa"/>
            <w:gridSpan w:val="2"/>
            <w:vAlign w:val="center"/>
          </w:tcPr>
          <w:p w14:paraId="464BBCAA">
            <w:pPr>
              <w:pStyle w:val="10"/>
              <w:jc w:val="center"/>
              <w:rPr>
                <w:rFonts w:hint="eastAsia" w:ascii="宋体" w:hAnsi="宋体" w:eastAsia="宋体" w:cs="宋体"/>
                <w:sz w:val="20"/>
                <w:szCs w:val="20"/>
              </w:rPr>
            </w:pPr>
          </w:p>
        </w:tc>
      </w:tr>
      <w:tr w14:paraId="54798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3499" w:type="dxa"/>
          </w:tcPr>
          <w:p w14:paraId="6CA39C02">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1850" w:type="dxa"/>
            <w:gridSpan w:val="2"/>
            <w:vAlign w:val="center"/>
          </w:tcPr>
          <w:p w14:paraId="78414061">
            <w:pPr>
              <w:pStyle w:val="10"/>
              <w:jc w:val="center"/>
              <w:rPr>
                <w:rFonts w:hint="eastAsia" w:ascii="宋体" w:hAnsi="宋体" w:eastAsia="宋体" w:cs="宋体"/>
                <w:sz w:val="20"/>
                <w:szCs w:val="20"/>
              </w:rPr>
            </w:pPr>
          </w:p>
        </w:tc>
        <w:tc>
          <w:tcPr>
            <w:tcW w:w="2197" w:type="dxa"/>
            <w:gridSpan w:val="2"/>
            <w:vAlign w:val="center"/>
          </w:tcPr>
          <w:p w14:paraId="4A236A3D">
            <w:pPr>
              <w:pStyle w:val="10"/>
              <w:jc w:val="center"/>
              <w:rPr>
                <w:rFonts w:hint="eastAsia" w:ascii="宋体" w:hAnsi="宋体" w:eastAsia="宋体" w:cs="宋体"/>
                <w:sz w:val="20"/>
                <w:szCs w:val="20"/>
              </w:rPr>
            </w:pPr>
          </w:p>
        </w:tc>
        <w:tc>
          <w:tcPr>
            <w:tcW w:w="1843" w:type="dxa"/>
            <w:gridSpan w:val="2"/>
            <w:vAlign w:val="center"/>
          </w:tcPr>
          <w:p w14:paraId="229246B6">
            <w:pPr>
              <w:pStyle w:val="10"/>
              <w:jc w:val="center"/>
              <w:rPr>
                <w:rFonts w:hint="eastAsia" w:ascii="宋体" w:hAnsi="宋体" w:eastAsia="宋体" w:cs="宋体"/>
                <w:sz w:val="20"/>
                <w:szCs w:val="20"/>
              </w:rPr>
            </w:pPr>
          </w:p>
        </w:tc>
      </w:tr>
      <w:tr w14:paraId="598AF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tcPr>
          <w:p w14:paraId="77D1E734">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highlight w:val="none"/>
                <w:lang w:eastAsia="zh-CN"/>
              </w:rPr>
              <w:t>3、市级专项资金</w:t>
            </w:r>
            <w:r>
              <w:rPr>
                <w:rFonts w:ascii="宋体" w:hAnsi="宋体" w:eastAsia="宋体" w:cs="宋体"/>
                <w:spacing w:val="5"/>
                <w:sz w:val="20"/>
                <w:szCs w:val="20"/>
                <w:highlight w:val="none"/>
                <w:lang w:eastAsia="zh-CN"/>
              </w:rPr>
              <w:t>(一个专项一行)</w:t>
            </w:r>
          </w:p>
        </w:tc>
        <w:tc>
          <w:tcPr>
            <w:tcW w:w="1850" w:type="dxa"/>
            <w:gridSpan w:val="2"/>
            <w:vAlign w:val="center"/>
          </w:tcPr>
          <w:p w14:paraId="169DAFA2">
            <w:pPr>
              <w:pStyle w:val="10"/>
              <w:jc w:val="center"/>
              <w:rPr>
                <w:rFonts w:hint="eastAsia" w:ascii="宋体" w:hAnsi="宋体" w:eastAsia="宋体" w:cs="宋体"/>
                <w:snapToGrid w:val="0"/>
                <w:color w:val="000000"/>
                <w:sz w:val="20"/>
                <w:szCs w:val="20"/>
                <w:highlight w:val="none"/>
                <w:lang w:val="en-US" w:eastAsia="zh-CN" w:bidi="ar-SA"/>
              </w:rPr>
            </w:pPr>
            <w:r>
              <w:rPr>
                <w:rFonts w:hint="eastAsia" w:ascii="宋体" w:hAnsi="宋体" w:eastAsia="宋体" w:cs="宋体"/>
                <w:sz w:val="20"/>
                <w:szCs w:val="20"/>
                <w:highlight w:val="none"/>
                <w:lang w:val="en-US" w:eastAsia="zh-CN"/>
              </w:rPr>
              <w:t>98.40</w:t>
            </w:r>
          </w:p>
        </w:tc>
        <w:tc>
          <w:tcPr>
            <w:tcW w:w="2197" w:type="dxa"/>
            <w:gridSpan w:val="2"/>
            <w:vAlign w:val="center"/>
          </w:tcPr>
          <w:p w14:paraId="030A56F0">
            <w:pPr>
              <w:pStyle w:val="10"/>
              <w:jc w:val="center"/>
              <w:rPr>
                <w:rFonts w:hint="eastAsia" w:ascii="宋体" w:hAnsi="宋体" w:eastAsia="宋体" w:cs="宋体"/>
                <w:snapToGrid w:val="0"/>
                <w:color w:val="000000"/>
                <w:sz w:val="20"/>
                <w:szCs w:val="20"/>
                <w:highlight w:val="none"/>
                <w:lang w:val="en-US" w:eastAsia="zh-CN" w:bidi="ar-SA"/>
              </w:rPr>
            </w:pPr>
            <w:r>
              <w:rPr>
                <w:rFonts w:hint="eastAsia" w:ascii="宋体" w:hAnsi="宋体" w:eastAsia="宋体" w:cs="宋体"/>
                <w:sz w:val="20"/>
                <w:szCs w:val="20"/>
                <w:highlight w:val="none"/>
                <w:lang w:val="en-US" w:eastAsia="zh-CN"/>
              </w:rPr>
              <w:t>62.56</w:t>
            </w:r>
          </w:p>
        </w:tc>
        <w:tc>
          <w:tcPr>
            <w:tcW w:w="1843" w:type="dxa"/>
            <w:gridSpan w:val="2"/>
            <w:tcBorders>
              <w:bottom w:val="nil"/>
            </w:tcBorders>
            <w:vAlign w:val="center"/>
          </w:tcPr>
          <w:p w14:paraId="520B3458">
            <w:pPr>
              <w:pStyle w:val="10"/>
              <w:jc w:val="center"/>
              <w:rPr>
                <w:rFonts w:hint="eastAsia" w:ascii="宋体" w:hAnsi="宋体" w:eastAsia="宋体" w:cs="宋体"/>
                <w:snapToGrid w:val="0"/>
                <w:color w:val="000000"/>
                <w:sz w:val="20"/>
                <w:szCs w:val="20"/>
                <w:highlight w:val="none"/>
                <w:lang w:val="en-US" w:eastAsia="zh-CN" w:bidi="ar-SA"/>
              </w:rPr>
            </w:pPr>
            <w:r>
              <w:rPr>
                <w:rFonts w:hint="eastAsia" w:ascii="宋体" w:hAnsi="宋体" w:eastAsia="宋体" w:cs="宋体"/>
                <w:sz w:val="20"/>
                <w:szCs w:val="20"/>
                <w:highlight w:val="none"/>
                <w:lang w:val="en-US" w:eastAsia="zh-CN"/>
              </w:rPr>
              <w:t>47.98</w:t>
            </w:r>
          </w:p>
        </w:tc>
      </w:tr>
      <w:tr w14:paraId="09012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515D4D5B">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2023年宗教重点工作补助</w:t>
            </w:r>
          </w:p>
        </w:tc>
        <w:tc>
          <w:tcPr>
            <w:tcW w:w="1850" w:type="dxa"/>
            <w:gridSpan w:val="2"/>
            <w:vAlign w:val="center"/>
          </w:tcPr>
          <w:p w14:paraId="4ADC3E48">
            <w:pPr>
              <w:pStyle w:val="10"/>
              <w:jc w:val="center"/>
              <w:rPr>
                <w:rFonts w:hint="eastAsia" w:ascii="宋体" w:hAnsi="宋体" w:eastAsia="宋体" w:cs="宋体"/>
                <w:sz w:val="20"/>
                <w:szCs w:val="20"/>
                <w:lang w:eastAsia="zh-CN"/>
              </w:rPr>
            </w:pPr>
          </w:p>
        </w:tc>
        <w:tc>
          <w:tcPr>
            <w:tcW w:w="2197" w:type="dxa"/>
            <w:gridSpan w:val="2"/>
            <w:vAlign w:val="center"/>
          </w:tcPr>
          <w:p w14:paraId="5E53A7C4">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3057C6DA">
            <w:pPr>
              <w:pStyle w:val="10"/>
              <w:spacing w:line="230" w:lineRule="exact"/>
              <w:jc w:val="center"/>
              <w:rPr>
                <w:rFonts w:hint="eastAsia" w:ascii="宋体" w:hAnsi="宋体" w:eastAsia="宋体" w:cs="宋体"/>
                <w:sz w:val="20"/>
                <w:szCs w:val="20"/>
                <w:lang w:val="en-US" w:eastAsia="zh-CN"/>
              </w:rPr>
            </w:pPr>
            <w:r>
              <w:rPr>
                <w:rFonts w:hint="eastAsia" w:ascii="宋体" w:hAnsi="宋体" w:eastAsia="宋体" w:cs="宋体"/>
                <w:sz w:val="20"/>
                <w:szCs w:val="20"/>
                <w:lang w:eastAsia="zh-CN"/>
              </w:rPr>
              <w:t>6</w:t>
            </w:r>
            <w:r>
              <w:rPr>
                <w:rFonts w:hint="eastAsia" w:ascii="宋体" w:hAnsi="宋体" w:eastAsia="宋体" w:cs="宋体"/>
                <w:sz w:val="20"/>
                <w:szCs w:val="20"/>
                <w:lang w:val="en-US" w:eastAsia="zh-CN"/>
              </w:rPr>
              <w:t>.00</w:t>
            </w:r>
          </w:p>
        </w:tc>
      </w:tr>
      <w:tr w14:paraId="13EEC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0229ADCF">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民族团结进步示范创建工作经费</w:t>
            </w:r>
          </w:p>
        </w:tc>
        <w:tc>
          <w:tcPr>
            <w:tcW w:w="1850" w:type="dxa"/>
            <w:gridSpan w:val="2"/>
            <w:vAlign w:val="center"/>
          </w:tcPr>
          <w:p w14:paraId="27158C68">
            <w:pPr>
              <w:pStyle w:val="10"/>
              <w:jc w:val="center"/>
              <w:rPr>
                <w:rFonts w:hint="eastAsia" w:ascii="宋体" w:hAnsi="宋体" w:eastAsia="宋体" w:cs="宋体"/>
                <w:sz w:val="20"/>
                <w:szCs w:val="20"/>
                <w:lang w:eastAsia="zh-CN"/>
              </w:rPr>
            </w:pPr>
          </w:p>
        </w:tc>
        <w:tc>
          <w:tcPr>
            <w:tcW w:w="2197" w:type="dxa"/>
            <w:gridSpan w:val="2"/>
            <w:vAlign w:val="center"/>
          </w:tcPr>
          <w:p w14:paraId="1A5AF790">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46CA507E">
            <w:pPr>
              <w:pStyle w:val="10"/>
              <w:spacing w:line="230" w:lineRule="exact"/>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1.05</w:t>
            </w:r>
          </w:p>
        </w:tc>
      </w:tr>
      <w:tr w14:paraId="3B736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7A2C0891">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归国华侨联合会换届工作经费</w:t>
            </w:r>
          </w:p>
        </w:tc>
        <w:tc>
          <w:tcPr>
            <w:tcW w:w="1850" w:type="dxa"/>
            <w:gridSpan w:val="2"/>
            <w:vAlign w:val="center"/>
          </w:tcPr>
          <w:p w14:paraId="2E33F779">
            <w:pPr>
              <w:pStyle w:val="10"/>
              <w:jc w:val="center"/>
              <w:rPr>
                <w:rFonts w:hint="eastAsia" w:ascii="宋体" w:hAnsi="宋体" w:eastAsia="宋体" w:cs="宋体"/>
                <w:sz w:val="20"/>
                <w:szCs w:val="20"/>
                <w:lang w:eastAsia="zh-CN"/>
              </w:rPr>
            </w:pPr>
          </w:p>
        </w:tc>
        <w:tc>
          <w:tcPr>
            <w:tcW w:w="2197" w:type="dxa"/>
            <w:gridSpan w:val="2"/>
            <w:vAlign w:val="center"/>
          </w:tcPr>
          <w:p w14:paraId="29A71967">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41FFB37D">
            <w:pPr>
              <w:pStyle w:val="10"/>
              <w:spacing w:line="230" w:lineRule="exact"/>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1.8</w:t>
            </w:r>
            <w:r>
              <w:rPr>
                <w:rFonts w:hint="eastAsia" w:ascii="宋体" w:hAnsi="宋体" w:eastAsia="宋体" w:cs="宋体"/>
                <w:sz w:val="20"/>
                <w:szCs w:val="20"/>
                <w:lang w:val="en-US" w:eastAsia="zh-CN"/>
              </w:rPr>
              <w:t>0</w:t>
            </w:r>
          </w:p>
        </w:tc>
      </w:tr>
      <w:tr w14:paraId="220F92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1F5C9EF9">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宗教教职人员唐玉香困难补助经费</w:t>
            </w:r>
          </w:p>
        </w:tc>
        <w:tc>
          <w:tcPr>
            <w:tcW w:w="1850" w:type="dxa"/>
            <w:gridSpan w:val="2"/>
            <w:vAlign w:val="center"/>
          </w:tcPr>
          <w:p w14:paraId="7E47A84E">
            <w:pPr>
              <w:pStyle w:val="10"/>
              <w:jc w:val="center"/>
              <w:rPr>
                <w:rFonts w:hint="eastAsia" w:ascii="宋体" w:hAnsi="宋体" w:eastAsia="宋体" w:cs="宋体"/>
                <w:sz w:val="20"/>
                <w:szCs w:val="20"/>
                <w:lang w:eastAsia="zh-CN"/>
              </w:rPr>
            </w:pPr>
          </w:p>
        </w:tc>
        <w:tc>
          <w:tcPr>
            <w:tcW w:w="2197" w:type="dxa"/>
            <w:gridSpan w:val="2"/>
            <w:vAlign w:val="center"/>
          </w:tcPr>
          <w:p w14:paraId="1285678D">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0A5385CD">
            <w:pPr>
              <w:pStyle w:val="10"/>
              <w:spacing w:line="230" w:lineRule="exact"/>
              <w:jc w:val="center"/>
              <w:rPr>
                <w:rFonts w:hint="eastAsia" w:ascii="宋体" w:hAnsi="宋体" w:eastAsia="宋体" w:cs="宋体"/>
                <w:sz w:val="20"/>
                <w:szCs w:val="20"/>
                <w:lang w:val="en-US" w:eastAsia="zh-CN"/>
              </w:rPr>
            </w:pPr>
            <w:r>
              <w:rPr>
                <w:rFonts w:hint="eastAsia" w:ascii="宋体" w:hAnsi="宋体" w:eastAsia="宋体" w:cs="宋体"/>
                <w:sz w:val="20"/>
                <w:szCs w:val="20"/>
                <w:lang w:eastAsia="zh-CN"/>
              </w:rPr>
              <w:t>0.2</w:t>
            </w:r>
            <w:r>
              <w:rPr>
                <w:rFonts w:hint="eastAsia" w:ascii="宋体" w:hAnsi="宋体" w:eastAsia="宋体" w:cs="宋体"/>
                <w:sz w:val="20"/>
                <w:szCs w:val="20"/>
                <w:lang w:val="en-US" w:eastAsia="zh-CN"/>
              </w:rPr>
              <w:t>0</w:t>
            </w:r>
          </w:p>
        </w:tc>
      </w:tr>
      <w:tr w14:paraId="15F7C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771B4B07">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统战工作经费</w:t>
            </w:r>
          </w:p>
        </w:tc>
        <w:tc>
          <w:tcPr>
            <w:tcW w:w="1850" w:type="dxa"/>
            <w:gridSpan w:val="2"/>
            <w:vAlign w:val="center"/>
          </w:tcPr>
          <w:p w14:paraId="0568CA2E">
            <w:pPr>
              <w:pStyle w:val="10"/>
              <w:jc w:val="center"/>
              <w:rPr>
                <w:rFonts w:hint="eastAsia" w:ascii="宋体" w:hAnsi="宋体" w:eastAsia="宋体" w:cs="宋体"/>
                <w:sz w:val="20"/>
                <w:szCs w:val="20"/>
                <w:lang w:eastAsia="zh-CN"/>
              </w:rPr>
            </w:pPr>
          </w:p>
        </w:tc>
        <w:tc>
          <w:tcPr>
            <w:tcW w:w="2197" w:type="dxa"/>
            <w:gridSpan w:val="2"/>
            <w:vAlign w:val="center"/>
          </w:tcPr>
          <w:p w14:paraId="30287A84">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eastAsia="zh-CN"/>
              </w:rPr>
              <w:t>6.</w:t>
            </w:r>
            <w:r>
              <w:rPr>
                <w:rFonts w:hint="eastAsia" w:ascii="宋体" w:hAnsi="宋体" w:eastAsia="宋体" w:cs="宋体"/>
                <w:sz w:val="20"/>
                <w:szCs w:val="20"/>
                <w:lang w:val="en-US" w:eastAsia="zh-CN"/>
              </w:rPr>
              <w:t>00</w:t>
            </w:r>
          </w:p>
        </w:tc>
        <w:tc>
          <w:tcPr>
            <w:tcW w:w="1843" w:type="dxa"/>
            <w:gridSpan w:val="2"/>
            <w:tcBorders>
              <w:bottom w:val="nil"/>
            </w:tcBorders>
            <w:vAlign w:val="center"/>
          </w:tcPr>
          <w:p w14:paraId="19FF56A3">
            <w:pPr>
              <w:pStyle w:val="10"/>
              <w:spacing w:line="230" w:lineRule="exact"/>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6.</w:t>
            </w:r>
            <w:r>
              <w:rPr>
                <w:rFonts w:hint="eastAsia" w:ascii="宋体" w:hAnsi="宋体" w:eastAsia="宋体" w:cs="宋体"/>
                <w:sz w:val="20"/>
                <w:szCs w:val="20"/>
                <w:lang w:val="en-US" w:eastAsia="zh-CN"/>
              </w:rPr>
              <w:t>00</w:t>
            </w:r>
          </w:p>
        </w:tc>
      </w:tr>
      <w:tr w14:paraId="088CC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3F478A15">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统战工作专项经费</w:t>
            </w:r>
          </w:p>
        </w:tc>
        <w:tc>
          <w:tcPr>
            <w:tcW w:w="1850" w:type="dxa"/>
            <w:gridSpan w:val="2"/>
            <w:vAlign w:val="center"/>
          </w:tcPr>
          <w:p w14:paraId="4F554E68">
            <w:pPr>
              <w:pStyle w:val="10"/>
              <w:jc w:val="center"/>
              <w:rPr>
                <w:rFonts w:hint="eastAsia" w:ascii="宋体" w:hAnsi="宋体" w:eastAsia="宋体" w:cs="宋体"/>
                <w:sz w:val="20"/>
                <w:szCs w:val="20"/>
                <w:lang w:eastAsia="zh-CN"/>
              </w:rPr>
            </w:pPr>
          </w:p>
        </w:tc>
        <w:tc>
          <w:tcPr>
            <w:tcW w:w="2197" w:type="dxa"/>
            <w:gridSpan w:val="2"/>
            <w:vAlign w:val="center"/>
          </w:tcPr>
          <w:p w14:paraId="723286AF">
            <w:pPr>
              <w:pStyle w:val="10"/>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38.56</w:t>
            </w:r>
          </w:p>
        </w:tc>
        <w:tc>
          <w:tcPr>
            <w:tcW w:w="1843" w:type="dxa"/>
            <w:gridSpan w:val="2"/>
            <w:tcBorders>
              <w:bottom w:val="nil"/>
            </w:tcBorders>
            <w:vAlign w:val="center"/>
          </w:tcPr>
          <w:p w14:paraId="3D2315B1">
            <w:pPr>
              <w:pStyle w:val="10"/>
              <w:spacing w:line="230" w:lineRule="exact"/>
              <w:jc w:val="center"/>
              <w:rPr>
                <w:rFonts w:hint="eastAsia" w:ascii="宋体" w:hAnsi="宋体" w:eastAsia="宋体" w:cs="宋体"/>
                <w:sz w:val="20"/>
                <w:szCs w:val="20"/>
                <w:lang w:val="en-US" w:eastAsia="zh-CN"/>
              </w:rPr>
            </w:pPr>
            <w:r>
              <w:rPr>
                <w:rFonts w:hint="eastAsia" w:ascii="宋体" w:hAnsi="宋体" w:eastAsia="宋体" w:cs="宋体"/>
                <w:sz w:val="20"/>
                <w:szCs w:val="20"/>
                <w:lang w:eastAsia="zh-CN"/>
              </w:rPr>
              <w:t>17.8</w:t>
            </w:r>
            <w:r>
              <w:rPr>
                <w:rFonts w:hint="eastAsia" w:ascii="宋体" w:hAnsi="宋体" w:eastAsia="宋体" w:cs="宋体"/>
                <w:sz w:val="20"/>
                <w:szCs w:val="20"/>
                <w:lang w:val="en-US" w:eastAsia="zh-CN"/>
              </w:rPr>
              <w:t>0</w:t>
            </w:r>
          </w:p>
        </w:tc>
      </w:tr>
      <w:tr w14:paraId="1928D9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79E6AD23">
            <w:pPr>
              <w:keepNext w:val="0"/>
              <w:keepLines w:val="0"/>
              <w:widowControl/>
              <w:suppressLineNumbers w:val="0"/>
              <w:jc w:val="center"/>
              <w:textAlignment w:val="center"/>
              <w:rPr>
                <w:sz w:val="20"/>
                <w:lang w:eastAsia="zh-CN"/>
              </w:rPr>
            </w:pPr>
            <w:r>
              <w:rPr>
                <w:rFonts w:hint="eastAsia" w:ascii="宋体" w:hAnsi="宋体" w:eastAsia="宋体" w:cs="宋体"/>
                <w:i w:val="0"/>
                <w:iCs w:val="0"/>
                <w:snapToGrid w:val="0"/>
                <w:color w:val="000000"/>
                <w:kern w:val="0"/>
                <w:sz w:val="18"/>
                <w:szCs w:val="18"/>
                <w:u w:val="none"/>
                <w:lang w:val="en-US" w:eastAsia="zh-CN" w:bidi="ar"/>
              </w:rPr>
              <w:t>2022年度全区绩效考核优秀单位奖励</w:t>
            </w:r>
          </w:p>
        </w:tc>
        <w:tc>
          <w:tcPr>
            <w:tcW w:w="1850" w:type="dxa"/>
            <w:gridSpan w:val="2"/>
            <w:vAlign w:val="center"/>
          </w:tcPr>
          <w:p w14:paraId="336BCE95">
            <w:pPr>
              <w:pStyle w:val="10"/>
              <w:jc w:val="center"/>
              <w:rPr>
                <w:rFonts w:hint="eastAsia" w:ascii="宋体" w:hAnsi="宋体" w:eastAsia="宋体" w:cs="宋体"/>
                <w:sz w:val="20"/>
                <w:szCs w:val="20"/>
                <w:lang w:eastAsia="zh-CN"/>
              </w:rPr>
            </w:pPr>
          </w:p>
        </w:tc>
        <w:tc>
          <w:tcPr>
            <w:tcW w:w="2197" w:type="dxa"/>
            <w:gridSpan w:val="2"/>
            <w:vAlign w:val="center"/>
          </w:tcPr>
          <w:p w14:paraId="527A036F">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5AE2D008">
            <w:pPr>
              <w:pStyle w:val="10"/>
              <w:spacing w:line="230" w:lineRule="exact"/>
              <w:jc w:val="center"/>
              <w:rPr>
                <w:rFonts w:hint="eastAsia" w:ascii="宋体" w:hAnsi="宋体" w:eastAsia="宋体" w:cs="宋体"/>
                <w:sz w:val="20"/>
                <w:szCs w:val="20"/>
                <w:lang w:val="en-US" w:eastAsia="zh-CN"/>
              </w:rPr>
            </w:pPr>
            <w:r>
              <w:rPr>
                <w:rFonts w:hint="eastAsia" w:ascii="宋体" w:hAnsi="宋体" w:eastAsia="宋体" w:cs="宋体"/>
                <w:sz w:val="20"/>
                <w:szCs w:val="20"/>
                <w:lang w:eastAsia="zh-CN"/>
              </w:rPr>
              <w:t>0.3</w:t>
            </w:r>
            <w:r>
              <w:rPr>
                <w:rFonts w:hint="eastAsia" w:ascii="宋体" w:hAnsi="宋体" w:eastAsia="宋体" w:cs="宋体"/>
                <w:sz w:val="20"/>
                <w:szCs w:val="20"/>
                <w:lang w:val="en-US" w:eastAsia="zh-CN"/>
              </w:rPr>
              <w:t>0</w:t>
            </w:r>
          </w:p>
        </w:tc>
      </w:tr>
      <w:tr w14:paraId="3BB15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123BD982">
            <w:pPr>
              <w:keepNext w:val="0"/>
              <w:keepLines w:val="0"/>
              <w:widowControl/>
              <w:suppressLineNumbers w:val="0"/>
              <w:jc w:val="center"/>
              <w:textAlignment w:val="center"/>
              <w:rPr>
                <w:sz w:val="20"/>
                <w:lang w:eastAsia="zh-CN"/>
              </w:rPr>
            </w:pPr>
            <w:r>
              <w:rPr>
                <w:rFonts w:hint="eastAsia" w:ascii="宋体" w:hAnsi="宋体" w:eastAsia="宋体" w:cs="宋体"/>
                <w:i w:val="0"/>
                <w:iCs w:val="0"/>
                <w:snapToGrid w:val="0"/>
                <w:color w:val="000000"/>
                <w:kern w:val="0"/>
                <w:sz w:val="18"/>
                <w:szCs w:val="18"/>
                <w:u w:val="none"/>
                <w:lang w:val="en-US" w:eastAsia="zh-CN" w:bidi="ar"/>
              </w:rPr>
              <w:t>2022年调整专项业务费（统战部）</w:t>
            </w:r>
          </w:p>
        </w:tc>
        <w:tc>
          <w:tcPr>
            <w:tcW w:w="1850" w:type="dxa"/>
            <w:gridSpan w:val="2"/>
            <w:vAlign w:val="center"/>
          </w:tcPr>
          <w:p w14:paraId="4A121DF3">
            <w:pPr>
              <w:pStyle w:val="10"/>
              <w:jc w:val="center"/>
              <w:rPr>
                <w:rFonts w:hint="eastAsia" w:ascii="宋体" w:hAnsi="宋体" w:eastAsia="宋体" w:cs="宋体"/>
                <w:sz w:val="20"/>
                <w:szCs w:val="20"/>
                <w:lang w:eastAsia="zh-CN"/>
              </w:rPr>
            </w:pPr>
          </w:p>
        </w:tc>
        <w:tc>
          <w:tcPr>
            <w:tcW w:w="2197" w:type="dxa"/>
            <w:gridSpan w:val="2"/>
            <w:vAlign w:val="center"/>
          </w:tcPr>
          <w:p w14:paraId="63AD3044">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615C5615">
            <w:pPr>
              <w:pStyle w:val="10"/>
              <w:spacing w:line="230" w:lineRule="exact"/>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4.65</w:t>
            </w:r>
          </w:p>
        </w:tc>
      </w:tr>
      <w:tr w14:paraId="03F8B1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0AAC9D91">
            <w:pPr>
              <w:keepNext w:val="0"/>
              <w:keepLines w:val="0"/>
              <w:widowControl/>
              <w:suppressLineNumbers w:val="0"/>
              <w:jc w:val="center"/>
              <w:textAlignment w:val="center"/>
              <w:rPr>
                <w:sz w:val="20"/>
                <w:lang w:eastAsia="zh-CN"/>
              </w:rPr>
            </w:pPr>
            <w:r>
              <w:rPr>
                <w:rFonts w:hint="eastAsia" w:ascii="宋体" w:hAnsi="宋体" w:eastAsia="宋体" w:cs="宋体"/>
                <w:i w:val="0"/>
                <w:iCs w:val="0"/>
                <w:snapToGrid w:val="0"/>
                <w:color w:val="000000"/>
                <w:kern w:val="0"/>
                <w:sz w:val="18"/>
                <w:szCs w:val="18"/>
                <w:u w:val="none"/>
                <w:lang w:val="en-US" w:eastAsia="zh-CN" w:bidi="ar"/>
              </w:rPr>
              <w:t>宗教执法大队工作经费</w:t>
            </w:r>
          </w:p>
        </w:tc>
        <w:tc>
          <w:tcPr>
            <w:tcW w:w="1850" w:type="dxa"/>
            <w:gridSpan w:val="2"/>
            <w:vAlign w:val="center"/>
          </w:tcPr>
          <w:p w14:paraId="66BBE89B">
            <w:pPr>
              <w:pStyle w:val="10"/>
              <w:jc w:val="center"/>
              <w:rPr>
                <w:rFonts w:hint="eastAsia" w:ascii="宋体" w:hAnsi="宋体" w:eastAsia="宋体" w:cs="宋体"/>
                <w:sz w:val="20"/>
                <w:szCs w:val="20"/>
                <w:lang w:eastAsia="zh-CN"/>
              </w:rPr>
            </w:pPr>
          </w:p>
        </w:tc>
        <w:tc>
          <w:tcPr>
            <w:tcW w:w="2197" w:type="dxa"/>
            <w:gridSpan w:val="2"/>
            <w:vAlign w:val="center"/>
          </w:tcPr>
          <w:p w14:paraId="28226FFE">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eastAsia="zh-CN"/>
              </w:rPr>
              <w:t>3</w:t>
            </w:r>
            <w:r>
              <w:rPr>
                <w:rFonts w:hint="eastAsia" w:ascii="宋体" w:hAnsi="宋体" w:eastAsia="宋体" w:cs="宋体"/>
                <w:sz w:val="20"/>
                <w:szCs w:val="20"/>
                <w:lang w:val="en-US" w:eastAsia="zh-CN"/>
              </w:rPr>
              <w:t>.00</w:t>
            </w:r>
          </w:p>
        </w:tc>
        <w:tc>
          <w:tcPr>
            <w:tcW w:w="1843" w:type="dxa"/>
            <w:gridSpan w:val="2"/>
            <w:tcBorders>
              <w:bottom w:val="nil"/>
            </w:tcBorders>
            <w:vAlign w:val="center"/>
          </w:tcPr>
          <w:p w14:paraId="132AF0BF">
            <w:pPr>
              <w:pStyle w:val="10"/>
              <w:spacing w:line="230" w:lineRule="exact"/>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1.81</w:t>
            </w:r>
          </w:p>
        </w:tc>
      </w:tr>
      <w:tr w14:paraId="665E5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2EFAB4FE">
            <w:pPr>
              <w:keepNext w:val="0"/>
              <w:keepLines w:val="0"/>
              <w:widowControl/>
              <w:suppressLineNumbers w:val="0"/>
              <w:jc w:val="center"/>
              <w:textAlignment w:val="center"/>
              <w:rPr>
                <w:sz w:val="20"/>
                <w:lang w:eastAsia="zh-CN"/>
              </w:rPr>
            </w:pPr>
            <w:r>
              <w:rPr>
                <w:rFonts w:hint="eastAsia" w:ascii="宋体" w:hAnsi="宋体" w:eastAsia="宋体" w:cs="宋体"/>
                <w:i w:val="0"/>
                <w:iCs w:val="0"/>
                <w:snapToGrid w:val="0"/>
                <w:color w:val="000000"/>
                <w:kern w:val="0"/>
                <w:sz w:val="18"/>
                <w:szCs w:val="18"/>
                <w:u w:val="none"/>
                <w:lang w:val="en-US" w:eastAsia="zh-CN" w:bidi="ar"/>
              </w:rPr>
              <w:t>鹤城区民族工作服务站建设</w:t>
            </w:r>
          </w:p>
        </w:tc>
        <w:tc>
          <w:tcPr>
            <w:tcW w:w="1850" w:type="dxa"/>
            <w:gridSpan w:val="2"/>
            <w:vAlign w:val="center"/>
          </w:tcPr>
          <w:p w14:paraId="7809C4F0">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5.00</w:t>
            </w:r>
          </w:p>
        </w:tc>
        <w:tc>
          <w:tcPr>
            <w:tcW w:w="2197" w:type="dxa"/>
            <w:gridSpan w:val="2"/>
            <w:vAlign w:val="center"/>
          </w:tcPr>
          <w:p w14:paraId="640BF2B5">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eastAsia="zh-CN"/>
              </w:rPr>
              <w:t>15</w:t>
            </w:r>
            <w:r>
              <w:rPr>
                <w:rFonts w:hint="eastAsia" w:ascii="宋体" w:hAnsi="宋体" w:eastAsia="宋体" w:cs="宋体"/>
                <w:sz w:val="20"/>
                <w:szCs w:val="20"/>
                <w:lang w:val="en-US" w:eastAsia="zh-CN"/>
              </w:rPr>
              <w:t>.00</w:t>
            </w:r>
          </w:p>
        </w:tc>
        <w:tc>
          <w:tcPr>
            <w:tcW w:w="1843" w:type="dxa"/>
            <w:gridSpan w:val="2"/>
            <w:tcBorders>
              <w:bottom w:val="nil"/>
            </w:tcBorders>
            <w:vAlign w:val="center"/>
          </w:tcPr>
          <w:p w14:paraId="404433FC">
            <w:pPr>
              <w:pStyle w:val="10"/>
              <w:spacing w:line="230" w:lineRule="exact"/>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8.37</w:t>
            </w:r>
          </w:p>
        </w:tc>
      </w:tr>
      <w:tr w14:paraId="6C6DF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4AECFAC7">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怀财行指［2022］6号，2022年宗教重点工作补助经费</w:t>
            </w:r>
          </w:p>
        </w:tc>
        <w:tc>
          <w:tcPr>
            <w:tcW w:w="1850" w:type="dxa"/>
            <w:gridSpan w:val="2"/>
            <w:vAlign w:val="center"/>
          </w:tcPr>
          <w:p w14:paraId="67CB9520">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 xml:space="preserve">5.00 </w:t>
            </w:r>
          </w:p>
        </w:tc>
        <w:tc>
          <w:tcPr>
            <w:tcW w:w="2197" w:type="dxa"/>
            <w:gridSpan w:val="2"/>
            <w:vAlign w:val="center"/>
          </w:tcPr>
          <w:p w14:paraId="3B09CCAD">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5B43840C">
            <w:pPr>
              <w:pStyle w:val="10"/>
              <w:spacing w:line="230" w:lineRule="exact"/>
              <w:jc w:val="center"/>
              <w:rPr>
                <w:rFonts w:hint="eastAsia" w:ascii="宋体" w:hAnsi="宋体" w:eastAsia="宋体" w:cs="宋体"/>
                <w:sz w:val="20"/>
                <w:szCs w:val="20"/>
                <w:lang w:eastAsia="zh-CN"/>
              </w:rPr>
            </w:pPr>
          </w:p>
        </w:tc>
      </w:tr>
      <w:tr w14:paraId="79FAE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single" w:color="auto" w:sz="4" w:space="0"/>
            </w:tcBorders>
            <w:vAlign w:val="center"/>
          </w:tcPr>
          <w:p w14:paraId="4F7B3EDF">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怀财行字〔2022〕0006号，宗教教职人员困难补助经费</w:t>
            </w:r>
          </w:p>
        </w:tc>
        <w:tc>
          <w:tcPr>
            <w:tcW w:w="1850" w:type="dxa"/>
            <w:gridSpan w:val="2"/>
            <w:tcBorders>
              <w:bottom w:val="single" w:color="auto" w:sz="4" w:space="0"/>
            </w:tcBorders>
            <w:vAlign w:val="center"/>
          </w:tcPr>
          <w:p w14:paraId="72F8D514">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0.18</w:t>
            </w:r>
          </w:p>
        </w:tc>
        <w:tc>
          <w:tcPr>
            <w:tcW w:w="2197" w:type="dxa"/>
            <w:gridSpan w:val="2"/>
            <w:tcBorders>
              <w:bottom w:val="single" w:color="auto" w:sz="4" w:space="0"/>
            </w:tcBorders>
            <w:vAlign w:val="center"/>
          </w:tcPr>
          <w:p w14:paraId="698A1365">
            <w:pPr>
              <w:pStyle w:val="10"/>
              <w:jc w:val="center"/>
              <w:rPr>
                <w:rFonts w:hint="eastAsia" w:ascii="宋体" w:hAnsi="宋体" w:eastAsia="宋体" w:cs="宋体"/>
                <w:sz w:val="20"/>
                <w:szCs w:val="20"/>
                <w:lang w:eastAsia="zh-CN"/>
              </w:rPr>
            </w:pPr>
          </w:p>
        </w:tc>
        <w:tc>
          <w:tcPr>
            <w:tcW w:w="1843" w:type="dxa"/>
            <w:gridSpan w:val="2"/>
            <w:tcBorders>
              <w:bottom w:val="single" w:color="auto" w:sz="4" w:space="0"/>
            </w:tcBorders>
            <w:vAlign w:val="center"/>
          </w:tcPr>
          <w:p w14:paraId="4437E38E">
            <w:pPr>
              <w:pStyle w:val="10"/>
              <w:spacing w:line="230" w:lineRule="exact"/>
              <w:jc w:val="center"/>
              <w:rPr>
                <w:rFonts w:hint="eastAsia" w:ascii="宋体" w:hAnsi="宋体" w:eastAsia="宋体" w:cs="宋体"/>
                <w:sz w:val="20"/>
                <w:szCs w:val="20"/>
                <w:lang w:eastAsia="zh-CN"/>
              </w:rPr>
            </w:pPr>
          </w:p>
        </w:tc>
      </w:tr>
      <w:tr w14:paraId="0F9AD5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top w:val="single" w:color="auto" w:sz="4" w:space="0"/>
              <w:left w:val="single" w:color="auto" w:sz="4" w:space="0"/>
              <w:bottom w:val="single" w:color="auto" w:sz="4" w:space="0"/>
              <w:right w:val="single" w:color="auto" w:sz="4" w:space="0"/>
            </w:tcBorders>
            <w:vAlign w:val="center"/>
          </w:tcPr>
          <w:p w14:paraId="63610272">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统战工作经费（民营办工作经费、侨联工作经费、统战工作经费、统战特殊工作经费、新社会阶层人士工作经费、知识分子联谊会工作经费）</w:t>
            </w:r>
          </w:p>
        </w:tc>
        <w:tc>
          <w:tcPr>
            <w:tcW w:w="1850" w:type="dxa"/>
            <w:gridSpan w:val="2"/>
            <w:tcBorders>
              <w:top w:val="single" w:color="auto" w:sz="4" w:space="0"/>
              <w:left w:val="single" w:color="auto" w:sz="4" w:space="0"/>
              <w:bottom w:val="single" w:color="auto" w:sz="4" w:space="0"/>
              <w:right w:val="single" w:color="auto" w:sz="4" w:space="0"/>
            </w:tcBorders>
            <w:vAlign w:val="center"/>
          </w:tcPr>
          <w:p w14:paraId="4B45A87C">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9.15</w:t>
            </w:r>
          </w:p>
        </w:tc>
        <w:tc>
          <w:tcPr>
            <w:tcW w:w="2197" w:type="dxa"/>
            <w:gridSpan w:val="2"/>
            <w:tcBorders>
              <w:top w:val="single" w:color="auto" w:sz="4" w:space="0"/>
              <w:left w:val="single" w:color="auto" w:sz="4" w:space="0"/>
              <w:bottom w:val="single" w:color="auto" w:sz="4" w:space="0"/>
              <w:right w:val="single" w:color="auto" w:sz="4" w:space="0"/>
            </w:tcBorders>
            <w:vAlign w:val="center"/>
          </w:tcPr>
          <w:p w14:paraId="1652F421">
            <w:pPr>
              <w:pStyle w:val="10"/>
              <w:jc w:val="center"/>
              <w:rPr>
                <w:rFonts w:hint="eastAsia" w:ascii="宋体" w:hAnsi="宋体" w:eastAsia="宋体" w:cs="宋体"/>
                <w:sz w:val="20"/>
                <w:szCs w:val="20"/>
                <w:lang w:eastAsia="zh-CN"/>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784CAF8A">
            <w:pPr>
              <w:pStyle w:val="10"/>
              <w:spacing w:line="230" w:lineRule="exact"/>
              <w:jc w:val="center"/>
              <w:rPr>
                <w:rFonts w:hint="eastAsia" w:ascii="宋体" w:hAnsi="宋体" w:eastAsia="宋体" w:cs="宋体"/>
                <w:sz w:val="20"/>
                <w:szCs w:val="20"/>
                <w:lang w:eastAsia="zh-CN"/>
              </w:rPr>
            </w:pPr>
          </w:p>
        </w:tc>
      </w:tr>
      <w:tr w14:paraId="04E7D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top w:val="single" w:color="auto" w:sz="4" w:space="0"/>
              <w:left w:val="single" w:color="auto" w:sz="4" w:space="0"/>
              <w:bottom w:val="single" w:color="auto" w:sz="4" w:space="0"/>
              <w:right w:val="single" w:color="auto" w:sz="4" w:space="0"/>
            </w:tcBorders>
            <w:vAlign w:val="center"/>
          </w:tcPr>
          <w:p w14:paraId="7855B19E">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2022年调整专项业务费</w:t>
            </w:r>
          </w:p>
        </w:tc>
        <w:tc>
          <w:tcPr>
            <w:tcW w:w="1850" w:type="dxa"/>
            <w:gridSpan w:val="2"/>
            <w:tcBorders>
              <w:top w:val="single" w:color="auto" w:sz="4" w:space="0"/>
              <w:left w:val="single" w:color="auto" w:sz="4" w:space="0"/>
              <w:bottom w:val="single" w:color="auto" w:sz="4" w:space="0"/>
              <w:right w:val="single" w:color="auto" w:sz="4" w:space="0"/>
            </w:tcBorders>
            <w:vAlign w:val="center"/>
          </w:tcPr>
          <w:p w14:paraId="2080E9DD">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30.54</w:t>
            </w:r>
          </w:p>
        </w:tc>
        <w:tc>
          <w:tcPr>
            <w:tcW w:w="2197" w:type="dxa"/>
            <w:gridSpan w:val="2"/>
            <w:tcBorders>
              <w:top w:val="single" w:color="auto" w:sz="4" w:space="0"/>
              <w:left w:val="single" w:color="auto" w:sz="4" w:space="0"/>
              <w:bottom w:val="single" w:color="auto" w:sz="4" w:space="0"/>
              <w:right w:val="single" w:color="auto" w:sz="4" w:space="0"/>
            </w:tcBorders>
            <w:vAlign w:val="center"/>
          </w:tcPr>
          <w:p w14:paraId="012B8EB0">
            <w:pPr>
              <w:pStyle w:val="10"/>
              <w:jc w:val="center"/>
              <w:rPr>
                <w:rFonts w:hint="eastAsia" w:ascii="宋体" w:hAnsi="宋体" w:eastAsia="宋体" w:cs="宋体"/>
                <w:sz w:val="20"/>
                <w:szCs w:val="20"/>
                <w:lang w:eastAsia="zh-CN"/>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6288E859">
            <w:pPr>
              <w:pStyle w:val="10"/>
              <w:spacing w:line="230" w:lineRule="exact"/>
              <w:jc w:val="center"/>
              <w:rPr>
                <w:rFonts w:hint="eastAsia" w:ascii="宋体" w:hAnsi="宋体" w:eastAsia="宋体" w:cs="宋体"/>
                <w:sz w:val="20"/>
                <w:szCs w:val="20"/>
                <w:lang w:eastAsia="zh-CN"/>
              </w:rPr>
            </w:pPr>
          </w:p>
        </w:tc>
      </w:tr>
      <w:tr w14:paraId="368C9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top w:val="single" w:color="auto" w:sz="4" w:space="0"/>
              <w:left w:val="single" w:color="auto" w:sz="4" w:space="0"/>
              <w:bottom w:val="single" w:color="auto" w:sz="4" w:space="0"/>
              <w:right w:val="single" w:color="auto" w:sz="4" w:space="0"/>
            </w:tcBorders>
            <w:vAlign w:val="center"/>
          </w:tcPr>
          <w:p w14:paraId="6E55519C">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“四同创建”工作经费</w:t>
            </w:r>
          </w:p>
        </w:tc>
        <w:tc>
          <w:tcPr>
            <w:tcW w:w="1850" w:type="dxa"/>
            <w:gridSpan w:val="2"/>
            <w:tcBorders>
              <w:top w:val="single" w:color="auto" w:sz="4" w:space="0"/>
              <w:left w:val="single" w:color="auto" w:sz="4" w:space="0"/>
              <w:bottom w:val="single" w:color="auto" w:sz="4" w:space="0"/>
              <w:right w:val="single" w:color="auto" w:sz="4" w:space="0"/>
            </w:tcBorders>
            <w:vAlign w:val="center"/>
          </w:tcPr>
          <w:p w14:paraId="0DB6A88C">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1.36</w:t>
            </w:r>
          </w:p>
        </w:tc>
        <w:tc>
          <w:tcPr>
            <w:tcW w:w="2197" w:type="dxa"/>
            <w:gridSpan w:val="2"/>
            <w:tcBorders>
              <w:top w:val="single" w:color="auto" w:sz="4" w:space="0"/>
              <w:left w:val="single" w:color="auto" w:sz="4" w:space="0"/>
              <w:bottom w:val="single" w:color="auto" w:sz="4" w:space="0"/>
              <w:right w:val="single" w:color="auto" w:sz="4" w:space="0"/>
            </w:tcBorders>
            <w:vAlign w:val="center"/>
          </w:tcPr>
          <w:p w14:paraId="0BC51E2C">
            <w:pPr>
              <w:pStyle w:val="10"/>
              <w:jc w:val="center"/>
              <w:rPr>
                <w:rFonts w:hint="eastAsia" w:ascii="宋体" w:hAnsi="宋体" w:eastAsia="宋体" w:cs="宋体"/>
                <w:sz w:val="20"/>
                <w:szCs w:val="20"/>
                <w:lang w:eastAsia="zh-CN"/>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066D8647">
            <w:pPr>
              <w:pStyle w:val="10"/>
              <w:spacing w:line="230" w:lineRule="exact"/>
              <w:jc w:val="center"/>
              <w:rPr>
                <w:rFonts w:hint="eastAsia" w:ascii="宋体" w:hAnsi="宋体" w:eastAsia="宋体" w:cs="宋体"/>
                <w:sz w:val="20"/>
                <w:szCs w:val="20"/>
                <w:lang w:eastAsia="zh-CN"/>
              </w:rPr>
            </w:pPr>
          </w:p>
        </w:tc>
      </w:tr>
      <w:tr w14:paraId="656C6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top w:val="single" w:color="auto" w:sz="4" w:space="0"/>
              <w:left w:val="single" w:color="auto" w:sz="4" w:space="0"/>
              <w:bottom w:val="single" w:color="auto" w:sz="4" w:space="0"/>
              <w:right w:val="single" w:color="auto" w:sz="4" w:space="0"/>
            </w:tcBorders>
            <w:vAlign w:val="center"/>
          </w:tcPr>
          <w:p w14:paraId="379232BB">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民创工作经费10万元，服务中心工作经费3万元（统战部）</w:t>
            </w:r>
          </w:p>
        </w:tc>
        <w:tc>
          <w:tcPr>
            <w:tcW w:w="1850" w:type="dxa"/>
            <w:gridSpan w:val="2"/>
            <w:tcBorders>
              <w:top w:val="single" w:color="auto" w:sz="4" w:space="0"/>
              <w:left w:val="single" w:color="auto" w:sz="4" w:space="0"/>
              <w:bottom w:val="single" w:color="auto" w:sz="4" w:space="0"/>
              <w:right w:val="single" w:color="auto" w:sz="4" w:space="0"/>
            </w:tcBorders>
            <w:vAlign w:val="center"/>
          </w:tcPr>
          <w:p w14:paraId="14659704">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 xml:space="preserve">13.00 </w:t>
            </w:r>
          </w:p>
        </w:tc>
        <w:tc>
          <w:tcPr>
            <w:tcW w:w="2197" w:type="dxa"/>
            <w:gridSpan w:val="2"/>
            <w:tcBorders>
              <w:top w:val="single" w:color="auto" w:sz="4" w:space="0"/>
              <w:left w:val="single" w:color="auto" w:sz="4" w:space="0"/>
              <w:bottom w:val="single" w:color="auto" w:sz="4" w:space="0"/>
              <w:right w:val="single" w:color="auto" w:sz="4" w:space="0"/>
            </w:tcBorders>
            <w:vAlign w:val="center"/>
          </w:tcPr>
          <w:p w14:paraId="5A1BF40B">
            <w:pPr>
              <w:pStyle w:val="10"/>
              <w:jc w:val="center"/>
              <w:rPr>
                <w:rFonts w:hint="eastAsia" w:ascii="宋体" w:hAnsi="宋体" w:eastAsia="宋体" w:cs="宋体"/>
                <w:sz w:val="20"/>
                <w:szCs w:val="20"/>
                <w:lang w:eastAsia="zh-CN"/>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37416CCF">
            <w:pPr>
              <w:pStyle w:val="10"/>
              <w:spacing w:line="230" w:lineRule="exact"/>
              <w:jc w:val="center"/>
              <w:rPr>
                <w:rFonts w:hint="eastAsia" w:ascii="宋体" w:hAnsi="宋体" w:eastAsia="宋体" w:cs="宋体"/>
                <w:sz w:val="20"/>
                <w:szCs w:val="20"/>
                <w:lang w:eastAsia="zh-CN"/>
              </w:rPr>
            </w:pPr>
          </w:p>
        </w:tc>
      </w:tr>
      <w:tr w14:paraId="612D3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top w:val="single" w:color="auto" w:sz="4" w:space="0"/>
              <w:bottom w:val="nil"/>
            </w:tcBorders>
            <w:vAlign w:val="center"/>
          </w:tcPr>
          <w:p w14:paraId="699C5359">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区委民族、宗教工作会议经费</w:t>
            </w:r>
          </w:p>
        </w:tc>
        <w:tc>
          <w:tcPr>
            <w:tcW w:w="1850" w:type="dxa"/>
            <w:gridSpan w:val="2"/>
            <w:tcBorders>
              <w:top w:val="single" w:color="auto" w:sz="4" w:space="0"/>
            </w:tcBorders>
            <w:vAlign w:val="center"/>
          </w:tcPr>
          <w:p w14:paraId="1CCCB9D7">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2.21</w:t>
            </w:r>
          </w:p>
        </w:tc>
        <w:tc>
          <w:tcPr>
            <w:tcW w:w="2197" w:type="dxa"/>
            <w:gridSpan w:val="2"/>
            <w:tcBorders>
              <w:top w:val="single" w:color="auto" w:sz="4" w:space="0"/>
            </w:tcBorders>
            <w:vAlign w:val="center"/>
          </w:tcPr>
          <w:p w14:paraId="7B51A388">
            <w:pPr>
              <w:pStyle w:val="10"/>
              <w:jc w:val="center"/>
              <w:rPr>
                <w:rFonts w:hint="eastAsia" w:ascii="宋体" w:hAnsi="宋体" w:eastAsia="宋体" w:cs="宋体"/>
                <w:sz w:val="20"/>
                <w:szCs w:val="20"/>
                <w:lang w:eastAsia="zh-CN"/>
              </w:rPr>
            </w:pPr>
          </w:p>
        </w:tc>
        <w:tc>
          <w:tcPr>
            <w:tcW w:w="1843" w:type="dxa"/>
            <w:gridSpan w:val="2"/>
            <w:tcBorders>
              <w:top w:val="single" w:color="auto" w:sz="4" w:space="0"/>
              <w:bottom w:val="nil"/>
            </w:tcBorders>
            <w:vAlign w:val="center"/>
          </w:tcPr>
          <w:p w14:paraId="50636CE9">
            <w:pPr>
              <w:pStyle w:val="10"/>
              <w:spacing w:line="230" w:lineRule="exact"/>
              <w:jc w:val="center"/>
              <w:rPr>
                <w:rFonts w:hint="eastAsia" w:ascii="宋体" w:hAnsi="宋体" w:eastAsia="宋体" w:cs="宋体"/>
                <w:sz w:val="20"/>
                <w:szCs w:val="20"/>
                <w:lang w:eastAsia="zh-CN"/>
              </w:rPr>
            </w:pPr>
          </w:p>
        </w:tc>
      </w:tr>
      <w:tr w14:paraId="432B9D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0BB88E5A">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参政议政（民主党派及工商联）</w:t>
            </w:r>
          </w:p>
        </w:tc>
        <w:tc>
          <w:tcPr>
            <w:tcW w:w="1850" w:type="dxa"/>
            <w:gridSpan w:val="2"/>
            <w:vAlign w:val="center"/>
          </w:tcPr>
          <w:p w14:paraId="34021C63">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 xml:space="preserve">9.00 </w:t>
            </w:r>
          </w:p>
        </w:tc>
        <w:tc>
          <w:tcPr>
            <w:tcW w:w="2197" w:type="dxa"/>
            <w:gridSpan w:val="2"/>
            <w:vAlign w:val="center"/>
          </w:tcPr>
          <w:p w14:paraId="29631967">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0D4617E7">
            <w:pPr>
              <w:pStyle w:val="10"/>
              <w:spacing w:line="230" w:lineRule="exact"/>
              <w:jc w:val="center"/>
              <w:rPr>
                <w:rFonts w:hint="eastAsia" w:ascii="宋体" w:hAnsi="宋体" w:eastAsia="宋体" w:cs="宋体"/>
                <w:sz w:val="20"/>
                <w:szCs w:val="20"/>
                <w:lang w:eastAsia="zh-CN"/>
              </w:rPr>
            </w:pPr>
          </w:p>
        </w:tc>
      </w:tr>
      <w:tr w14:paraId="06FF5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350DFBB5">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非公人士综合评价工作经费</w:t>
            </w:r>
          </w:p>
        </w:tc>
        <w:tc>
          <w:tcPr>
            <w:tcW w:w="1850" w:type="dxa"/>
            <w:gridSpan w:val="2"/>
            <w:vAlign w:val="center"/>
          </w:tcPr>
          <w:p w14:paraId="3F66FFD9">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 xml:space="preserve">3.00 </w:t>
            </w:r>
          </w:p>
        </w:tc>
        <w:tc>
          <w:tcPr>
            <w:tcW w:w="2197" w:type="dxa"/>
            <w:gridSpan w:val="2"/>
            <w:vAlign w:val="center"/>
          </w:tcPr>
          <w:p w14:paraId="53B2C521">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753F24FE">
            <w:pPr>
              <w:pStyle w:val="10"/>
              <w:spacing w:line="230" w:lineRule="exact"/>
              <w:jc w:val="center"/>
              <w:rPr>
                <w:rFonts w:hint="eastAsia" w:ascii="宋体" w:hAnsi="宋体" w:eastAsia="宋体" w:cs="宋体"/>
                <w:sz w:val="20"/>
                <w:szCs w:val="20"/>
                <w:lang w:eastAsia="zh-CN"/>
              </w:rPr>
            </w:pPr>
          </w:p>
        </w:tc>
      </w:tr>
      <w:tr w14:paraId="4684E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581BD482">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基层宗教工作协理员、信息员工作补贴</w:t>
            </w:r>
          </w:p>
        </w:tc>
        <w:tc>
          <w:tcPr>
            <w:tcW w:w="1850" w:type="dxa"/>
            <w:gridSpan w:val="2"/>
            <w:vAlign w:val="center"/>
          </w:tcPr>
          <w:p w14:paraId="1E63AB20">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0.96</w:t>
            </w:r>
          </w:p>
        </w:tc>
        <w:tc>
          <w:tcPr>
            <w:tcW w:w="2197" w:type="dxa"/>
            <w:gridSpan w:val="2"/>
            <w:vAlign w:val="center"/>
          </w:tcPr>
          <w:p w14:paraId="7EBF8009">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7C0E5B86">
            <w:pPr>
              <w:pStyle w:val="10"/>
              <w:spacing w:line="230" w:lineRule="exact"/>
              <w:jc w:val="center"/>
              <w:rPr>
                <w:rFonts w:hint="eastAsia" w:ascii="宋体" w:hAnsi="宋体" w:eastAsia="宋体" w:cs="宋体"/>
                <w:sz w:val="20"/>
                <w:szCs w:val="20"/>
                <w:lang w:eastAsia="zh-CN"/>
              </w:rPr>
            </w:pPr>
          </w:p>
        </w:tc>
      </w:tr>
      <w:tr w14:paraId="4A476F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52758AD3">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民族宗教工作经费</w:t>
            </w:r>
          </w:p>
        </w:tc>
        <w:tc>
          <w:tcPr>
            <w:tcW w:w="1850" w:type="dxa"/>
            <w:gridSpan w:val="2"/>
            <w:vAlign w:val="center"/>
          </w:tcPr>
          <w:p w14:paraId="23069351">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 xml:space="preserve">3.00 </w:t>
            </w:r>
          </w:p>
        </w:tc>
        <w:tc>
          <w:tcPr>
            <w:tcW w:w="2197" w:type="dxa"/>
            <w:gridSpan w:val="2"/>
            <w:vAlign w:val="center"/>
          </w:tcPr>
          <w:p w14:paraId="02981423">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5B7EA96D">
            <w:pPr>
              <w:pStyle w:val="10"/>
              <w:spacing w:line="230" w:lineRule="exact"/>
              <w:jc w:val="center"/>
              <w:rPr>
                <w:rFonts w:hint="eastAsia" w:ascii="宋体" w:hAnsi="宋体" w:eastAsia="宋体" w:cs="宋体"/>
                <w:sz w:val="20"/>
                <w:szCs w:val="20"/>
                <w:lang w:eastAsia="zh-CN"/>
              </w:rPr>
            </w:pPr>
          </w:p>
        </w:tc>
      </w:tr>
      <w:tr w14:paraId="24947B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1441513C">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民族服饰大赛1万，工作经费13万</w:t>
            </w:r>
          </w:p>
        </w:tc>
        <w:tc>
          <w:tcPr>
            <w:tcW w:w="1850" w:type="dxa"/>
            <w:gridSpan w:val="2"/>
            <w:vAlign w:val="center"/>
          </w:tcPr>
          <w:p w14:paraId="16603017">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 xml:space="preserve">14.00 </w:t>
            </w:r>
          </w:p>
        </w:tc>
        <w:tc>
          <w:tcPr>
            <w:tcW w:w="2197" w:type="dxa"/>
            <w:gridSpan w:val="2"/>
            <w:vAlign w:val="center"/>
          </w:tcPr>
          <w:p w14:paraId="1B215C09">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47B49FBE">
            <w:pPr>
              <w:pStyle w:val="10"/>
              <w:spacing w:line="230" w:lineRule="exact"/>
              <w:jc w:val="center"/>
              <w:rPr>
                <w:rFonts w:hint="eastAsia" w:ascii="宋体" w:hAnsi="宋体" w:eastAsia="宋体" w:cs="宋体"/>
                <w:sz w:val="20"/>
                <w:szCs w:val="20"/>
                <w:lang w:eastAsia="zh-CN"/>
              </w:rPr>
            </w:pPr>
          </w:p>
        </w:tc>
      </w:tr>
      <w:tr w14:paraId="2F9FE5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99" w:type="dxa"/>
            <w:tcBorders>
              <w:bottom w:val="nil"/>
            </w:tcBorders>
            <w:vAlign w:val="center"/>
          </w:tcPr>
          <w:p w14:paraId="045BEE1C">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涉疆工作经费</w:t>
            </w:r>
          </w:p>
        </w:tc>
        <w:tc>
          <w:tcPr>
            <w:tcW w:w="1850" w:type="dxa"/>
            <w:gridSpan w:val="2"/>
            <w:vAlign w:val="center"/>
          </w:tcPr>
          <w:p w14:paraId="3F8C1871">
            <w:pPr>
              <w:keepNext w:val="0"/>
              <w:keepLines w:val="0"/>
              <w:widowControl/>
              <w:suppressLineNumbers w:val="0"/>
              <w:jc w:val="center"/>
              <w:textAlignment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 xml:space="preserve">2.00 </w:t>
            </w:r>
          </w:p>
        </w:tc>
        <w:tc>
          <w:tcPr>
            <w:tcW w:w="2197" w:type="dxa"/>
            <w:gridSpan w:val="2"/>
            <w:vAlign w:val="center"/>
          </w:tcPr>
          <w:p w14:paraId="026B1B31">
            <w:pPr>
              <w:pStyle w:val="10"/>
              <w:jc w:val="center"/>
              <w:rPr>
                <w:rFonts w:hint="eastAsia" w:ascii="宋体" w:hAnsi="宋体" w:eastAsia="宋体" w:cs="宋体"/>
                <w:sz w:val="20"/>
                <w:szCs w:val="20"/>
                <w:lang w:eastAsia="zh-CN"/>
              </w:rPr>
            </w:pPr>
          </w:p>
        </w:tc>
        <w:tc>
          <w:tcPr>
            <w:tcW w:w="1843" w:type="dxa"/>
            <w:gridSpan w:val="2"/>
            <w:tcBorders>
              <w:bottom w:val="nil"/>
            </w:tcBorders>
            <w:vAlign w:val="center"/>
          </w:tcPr>
          <w:p w14:paraId="21B1AB7E">
            <w:pPr>
              <w:pStyle w:val="10"/>
              <w:spacing w:line="230" w:lineRule="exact"/>
              <w:jc w:val="center"/>
              <w:rPr>
                <w:rFonts w:hint="eastAsia" w:ascii="宋体" w:hAnsi="宋体" w:eastAsia="宋体" w:cs="宋体"/>
                <w:sz w:val="20"/>
                <w:szCs w:val="20"/>
                <w:lang w:eastAsia="zh-CN"/>
              </w:rPr>
            </w:pPr>
          </w:p>
        </w:tc>
      </w:tr>
      <w:tr w14:paraId="5F3BD6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499" w:type="dxa"/>
          </w:tcPr>
          <w:p w14:paraId="2C92104A">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1850" w:type="dxa"/>
            <w:gridSpan w:val="2"/>
            <w:vAlign w:val="center"/>
          </w:tcPr>
          <w:p w14:paraId="5AF2A24E">
            <w:pPr>
              <w:pStyle w:val="10"/>
              <w:jc w:val="center"/>
              <w:rPr>
                <w:rFonts w:hint="eastAsia" w:ascii="宋体" w:hAnsi="宋体" w:eastAsia="宋体" w:cs="宋体"/>
                <w:sz w:val="20"/>
                <w:szCs w:val="20"/>
                <w:lang w:eastAsia="zh-CN"/>
              </w:rPr>
            </w:pPr>
          </w:p>
        </w:tc>
        <w:tc>
          <w:tcPr>
            <w:tcW w:w="2197" w:type="dxa"/>
            <w:gridSpan w:val="2"/>
            <w:vAlign w:val="center"/>
          </w:tcPr>
          <w:p w14:paraId="6F81EDE5">
            <w:pPr>
              <w:pStyle w:val="10"/>
              <w:jc w:val="center"/>
              <w:rPr>
                <w:rFonts w:hint="eastAsia" w:ascii="宋体" w:hAnsi="宋体" w:eastAsia="宋体" w:cs="宋体"/>
                <w:sz w:val="20"/>
                <w:szCs w:val="20"/>
                <w:lang w:eastAsia="zh-CN"/>
              </w:rPr>
            </w:pPr>
          </w:p>
        </w:tc>
        <w:tc>
          <w:tcPr>
            <w:tcW w:w="1843" w:type="dxa"/>
            <w:gridSpan w:val="2"/>
            <w:vAlign w:val="center"/>
          </w:tcPr>
          <w:p w14:paraId="61E446E5">
            <w:pPr>
              <w:pStyle w:val="10"/>
              <w:jc w:val="center"/>
              <w:rPr>
                <w:rFonts w:hint="eastAsia" w:ascii="宋体" w:hAnsi="宋体" w:eastAsia="宋体" w:cs="宋体"/>
                <w:sz w:val="20"/>
                <w:szCs w:val="20"/>
                <w:lang w:eastAsia="zh-CN"/>
              </w:rPr>
            </w:pPr>
          </w:p>
        </w:tc>
      </w:tr>
      <w:tr w14:paraId="54D48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99" w:type="dxa"/>
          </w:tcPr>
          <w:p w14:paraId="33D6898F">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1850" w:type="dxa"/>
            <w:gridSpan w:val="2"/>
            <w:vAlign w:val="center"/>
          </w:tcPr>
          <w:p w14:paraId="5A6C5980">
            <w:pPr>
              <w:pStyle w:val="10"/>
              <w:jc w:val="center"/>
              <w:rPr>
                <w:rFonts w:hint="eastAsia" w:ascii="宋体" w:hAnsi="宋体" w:eastAsia="宋体" w:cs="宋体"/>
                <w:sz w:val="20"/>
                <w:szCs w:val="20"/>
              </w:rPr>
            </w:pPr>
          </w:p>
        </w:tc>
        <w:tc>
          <w:tcPr>
            <w:tcW w:w="2197" w:type="dxa"/>
            <w:gridSpan w:val="2"/>
            <w:vAlign w:val="center"/>
          </w:tcPr>
          <w:p w14:paraId="54F4C750">
            <w:pPr>
              <w:pStyle w:val="10"/>
              <w:jc w:val="center"/>
              <w:rPr>
                <w:rFonts w:hint="eastAsia" w:ascii="宋体" w:hAnsi="宋体" w:eastAsia="宋体" w:cs="宋体"/>
                <w:sz w:val="20"/>
                <w:szCs w:val="20"/>
              </w:rPr>
            </w:pPr>
          </w:p>
        </w:tc>
        <w:tc>
          <w:tcPr>
            <w:tcW w:w="1843" w:type="dxa"/>
            <w:gridSpan w:val="2"/>
            <w:vAlign w:val="center"/>
          </w:tcPr>
          <w:p w14:paraId="1A9C7392">
            <w:pPr>
              <w:pStyle w:val="10"/>
              <w:jc w:val="center"/>
              <w:rPr>
                <w:rFonts w:hint="eastAsia" w:ascii="宋体" w:hAnsi="宋体" w:eastAsia="宋体" w:cs="宋体"/>
                <w:sz w:val="20"/>
                <w:szCs w:val="20"/>
              </w:rPr>
            </w:pPr>
          </w:p>
        </w:tc>
      </w:tr>
      <w:tr w14:paraId="4403C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499" w:type="dxa"/>
          </w:tcPr>
          <w:p w14:paraId="763B55CB">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1850" w:type="dxa"/>
            <w:gridSpan w:val="2"/>
            <w:vAlign w:val="center"/>
          </w:tcPr>
          <w:p w14:paraId="4927E73B">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0.35</w:t>
            </w:r>
          </w:p>
        </w:tc>
        <w:tc>
          <w:tcPr>
            <w:tcW w:w="2197" w:type="dxa"/>
            <w:gridSpan w:val="2"/>
            <w:vAlign w:val="center"/>
          </w:tcPr>
          <w:p w14:paraId="3F46155E">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highlight w:val="none"/>
                <w:lang w:val="en-US" w:eastAsia="zh-CN"/>
              </w:rPr>
              <w:t>5.00</w:t>
            </w:r>
          </w:p>
        </w:tc>
        <w:tc>
          <w:tcPr>
            <w:tcW w:w="1843" w:type="dxa"/>
            <w:gridSpan w:val="2"/>
            <w:vAlign w:val="center"/>
          </w:tcPr>
          <w:p w14:paraId="13209672">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1.35</w:t>
            </w:r>
          </w:p>
        </w:tc>
      </w:tr>
      <w:tr w14:paraId="44EC24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99" w:type="dxa"/>
          </w:tcPr>
          <w:p w14:paraId="1F8108F3">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1850" w:type="dxa"/>
            <w:gridSpan w:val="2"/>
            <w:vAlign w:val="center"/>
          </w:tcPr>
          <w:p w14:paraId="689AEFBB">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0.00</w:t>
            </w:r>
          </w:p>
        </w:tc>
        <w:tc>
          <w:tcPr>
            <w:tcW w:w="2197" w:type="dxa"/>
            <w:gridSpan w:val="2"/>
            <w:vAlign w:val="center"/>
          </w:tcPr>
          <w:p w14:paraId="23D0ED9E">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0.00</w:t>
            </w:r>
          </w:p>
        </w:tc>
        <w:tc>
          <w:tcPr>
            <w:tcW w:w="1843" w:type="dxa"/>
            <w:gridSpan w:val="2"/>
            <w:vAlign w:val="center"/>
          </w:tcPr>
          <w:p w14:paraId="2651DB16">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0.07</w:t>
            </w:r>
          </w:p>
        </w:tc>
      </w:tr>
      <w:tr w14:paraId="62315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499" w:type="dxa"/>
          </w:tcPr>
          <w:p w14:paraId="03DCF70B">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1850" w:type="dxa"/>
            <w:gridSpan w:val="2"/>
            <w:vAlign w:val="center"/>
          </w:tcPr>
          <w:p w14:paraId="7850D09E">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0.00</w:t>
            </w:r>
          </w:p>
        </w:tc>
        <w:tc>
          <w:tcPr>
            <w:tcW w:w="2197" w:type="dxa"/>
            <w:gridSpan w:val="2"/>
            <w:vAlign w:val="center"/>
          </w:tcPr>
          <w:p w14:paraId="34397497">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0.00</w:t>
            </w:r>
          </w:p>
        </w:tc>
        <w:tc>
          <w:tcPr>
            <w:tcW w:w="1843" w:type="dxa"/>
            <w:gridSpan w:val="2"/>
            <w:vAlign w:val="center"/>
          </w:tcPr>
          <w:p w14:paraId="58CD4DB2">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0.30</w:t>
            </w:r>
          </w:p>
        </w:tc>
      </w:tr>
      <w:tr w14:paraId="430677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99" w:type="dxa"/>
          </w:tcPr>
          <w:p w14:paraId="305B6945">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1850" w:type="dxa"/>
            <w:gridSpan w:val="2"/>
            <w:vAlign w:val="center"/>
          </w:tcPr>
          <w:p w14:paraId="7A2BA8D8">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0.00</w:t>
            </w:r>
          </w:p>
        </w:tc>
        <w:tc>
          <w:tcPr>
            <w:tcW w:w="2197" w:type="dxa"/>
            <w:gridSpan w:val="2"/>
            <w:vAlign w:val="center"/>
          </w:tcPr>
          <w:p w14:paraId="69F77A42">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0.00</w:t>
            </w:r>
          </w:p>
        </w:tc>
        <w:tc>
          <w:tcPr>
            <w:tcW w:w="1843" w:type="dxa"/>
            <w:gridSpan w:val="2"/>
            <w:vAlign w:val="center"/>
          </w:tcPr>
          <w:p w14:paraId="2B104435">
            <w:pPr>
              <w:pStyle w:val="10"/>
              <w:jc w:val="center"/>
              <w:rPr>
                <w:rFonts w:hint="eastAsia" w:ascii="宋体" w:hAnsi="宋体" w:eastAsia="宋体" w:cs="宋体"/>
                <w:sz w:val="20"/>
                <w:szCs w:val="20"/>
              </w:rPr>
            </w:pPr>
            <w:r>
              <w:rPr>
                <w:rFonts w:hint="eastAsia" w:ascii="宋体" w:hAnsi="宋体" w:eastAsia="宋体" w:cs="宋体"/>
                <w:sz w:val="20"/>
                <w:szCs w:val="20"/>
              </w:rPr>
              <w:t>13.79</w:t>
            </w:r>
          </w:p>
        </w:tc>
      </w:tr>
      <w:tr w14:paraId="180BA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99" w:type="dxa"/>
          </w:tcPr>
          <w:p w14:paraId="1F18BD63">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1850" w:type="dxa"/>
            <w:gridSpan w:val="2"/>
            <w:vAlign w:val="center"/>
          </w:tcPr>
          <w:p w14:paraId="5FEF70FE">
            <w:pPr>
              <w:pStyle w:val="10"/>
              <w:jc w:val="center"/>
              <w:rPr>
                <w:rFonts w:hint="eastAsia" w:ascii="宋体" w:hAnsi="宋体" w:eastAsia="宋体" w:cs="宋体"/>
                <w:sz w:val="20"/>
                <w:szCs w:val="20"/>
                <w:lang w:eastAsia="zh-CN"/>
              </w:rPr>
            </w:pPr>
          </w:p>
        </w:tc>
        <w:tc>
          <w:tcPr>
            <w:tcW w:w="2197" w:type="dxa"/>
            <w:gridSpan w:val="2"/>
            <w:vAlign w:val="center"/>
          </w:tcPr>
          <w:p w14:paraId="7B3BB872">
            <w:pPr>
              <w:pStyle w:val="10"/>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227.94</w:t>
            </w:r>
          </w:p>
        </w:tc>
        <w:tc>
          <w:tcPr>
            <w:tcW w:w="1843" w:type="dxa"/>
            <w:gridSpan w:val="2"/>
            <w:vAlign w:val="center"/>
          </w:tcPr>
          <w:p w14:paraId="7304B44C">
            <w:pPr>
              <w:pStyle w:val="10"/>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256.56</w:t>
            </w:r>
          </w:p>
        </w:tc>
      </w:tr>
      <w:tr w14:paraId="0EB06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499" w:type="dxa"/>
            <w:vMerge w:val="restart"/>
            <w:tcBorders>
              <w:bottom w:val="nil"/>
            </w:tcBorders>
          </w:tcPr>
          <w:p w14:paraId="7C02C3D5">
            <w:pPr>
              <w:pStyle w:val="10"/>
              <w:spacing w:line="269" w:lineRule="auto"/>
              <w:rPr>
                <w:lang w:eastAsia="zh-CN"/>
              </w:rPr>
            </w:pPr>
          </w:p>
          <w:p w14:paraId="16D241AF">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001" w:type="dxa"/>
          </w:tcPr>
          <w:p w14:paraId="00F68D52">
            <w:pPr>
              <w:spacing w:before="195" w:line="233" w:lineRule="auto"/>
              <w:ind w:left="323" w:right="191" w:hanging="149"/>
              <w:jc w:val="center"/>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124B20F8">
            <w:pPr>
              <w:spacing w:before="196" w:line="225" w:lineRule="auto"/>
              <w:ind w:left="64" w:right="30" w:firstLine="49"/>
              <w:jc w:val="center"/>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327CF8EA">
            <w:pPr>
              <w:spacing w:before="195" w:line="236" w:lineRule="auto"/>
              <w:ind w:left="444" w:right="135" w:hanging="299"/>
              <w:jc w:val="center"/>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55E840D1">
            <w:pPr>
              <w:spacing w:before="196" w:line="219" w:lineRule="auto"/>
              <w:ind w:left="136"/>
              <w:jc w:val="center"/>
              <w:rPr>
                <w:rFonts w:ascii="宋体" w:hAnsi="宋体" w:eastAsia="宋体" w:cs="宋体"/>
                <w:sz w:val="20"/>
                <w:szCs w:val="20"/>
              </w:rPr>
            </w:pPr>
            <w:r>
              <w:rPr>
                <w:rFonts w:ascii="宋体" w:hAnsi="宋体" w:eastAsia="宋体" w:cs="宋体"/>
                <w:spacing w:val="3"/>
                <w:sz w:val="20"/>
                <w:szCs w:val="20"/>
              </w:rPr>
              <w:t>预算投资</w:t>
            </w:r>
          </w:p>
          <w:p w14:paraId="48E67986">
            <w:pPr>
              <w:spacing w:before="23" w:line="220" w:lineRule="auto"/>
              <w:ind w:left="236"/>
              <w:jc w:val="center"/>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778BEE74">
            <w:pPr>
              <w:spacing w:before="77" w:line="212" w:lineRule="auto"/>
              <w:ind w:left="179"/>
              <w:jc w:val="center"/>
              <w:rPr>
                <w:rFonts w:ascii="宋体" w:hAnsi="宋体" w:eastAsia="宋体" w:cs="宋体"/>
                <w:sz w:val="20"/>
                <w:szCs w:val="20"/>
              </w:rPr>
            </w:pPr>
            <w:r>
              <w:rPr>
                <w:rFonts w:ascii="宋体" w:hAnsi="宋体" w:eastAsia="宋体" w:cs="宋体"/>
                <w:spacing w:val="2"/>
                <w:sz w:val="20"/>
                <w:szCs w:val="20"/>
              </w:rPr>
              <w:t>实际投</w:t>
            </w:r>
          </w:p>
          <w:p w14:paraId="59441EB9">
            <w:pPr>
              <w:spacing w:line="220" w:lineRule="auto"/>
              <w:ind w:left="179"/>
              <w:jc w:val="center"/>
              <w:rPr>
                <w:rFonts w:ascii="宋体" w:hAnsi="宋体" w:eastAsia="宋体" w:cs="宋体"/>
                <w:sz w:val="20"/>
                <w:szCs w:val="20"/>
              </w:rPr>
            </w:pPr>
            <w:r>
              <w:rPr>
                <w:rFonts w:ascii="宋体" w:hAnsi="宋体" w:eastAsia="宋体" w:cs="宋体"/>
                <w:spacing w:val="-20"/>
                <w:sz w:val="20"/>
                <w:szCs w:val="20"/>
              </w:rPr>
              <w:t>资(万</w:t>
            </w:r>
          </w:p>
          <w:p w14:paraId="0AC18BAC">
            <w:pPr>
              <w:spacing w:before="31" w:line="220" w:lineRule="auto"/>
              <w:ind w:left="328"/>
              <w:jc w:val="center"/>
              <w:rPr>
                <w:rFonts w:ascii="宋体" w:hAnsi="宋体" w:eastAsia="宋体" w:cs="宋体"/>
                <w:sz w:val="20"/>
                <w:szCs w:val="20"/>
              </w:rPr>
            </w:pPr>
            <w:r>
              <w:rPr>
                <w:rFonts w:ascii="宋体" w:hAnsi="宋体" w:eastAsia="宋体" w:cs="宋体"/>
                <w:spacing w:val="-5"/>
                <w:sz w:val="20"/>
                <w:szCs w:val="20"/>
              </w:rPr>
              <w:t>元)</w:t>
            </w:r>
          </w:p>
        </w:tc>
        <w:tc>
          <w:tcPr>
            <w:tcW w:w="874" w:type="dxa"/>
          </w:tcPr>
          <w:p w14:paraId="29395528">
            <w:pPr>
              <w:spacing w:before="86" w:line="212" w:lineRule="auto"/>
              <w:ind w:left="129"/>
              <w:jc w:val="center"/>
              <w:rPr>
                <w:rFonts w:ascii="宋体" w:hAnsi="宋体" w:eastAsia="宋体" w:cs="宋体"/>
                <w:sz w:val="20"/>
                <w:szCs w:val="20"/>
              </w:rPr>
            </w:pPr>
            <w:r>
              <w:rPr>
                <w:rFonts w:ascii="宋体" w:hAnsi="宋体" w:eastAsia="宋体" w:cs="宋体"/>
                <w:spacing w:val="-3"/>
                <w:sz w:val="20"/>
                <w:szCs w:val="20"/>
              </w:rPr>
              <w:t>投资概</w:t>
            </w:r>
          </w:p>
          <w:p w14:paraId="29ABE74E">
            <w:pPr>
              <w:spacing w:line="219" w:lineRule="auto"/>
              <w:ind w:left="129"/>
              <w:jc w:val="center"/>
              <w:rPr>
                <w:rFonts w:ascii="宋体" w:hAnsi="宋体" w:eastAsia="宋体" w:cs="宋体"/>
                <w:sz w:val="20"/>
                <w:szCs w:val="20"/>
              </w:rPr>
            </w:pPr>
            <w:r>
              <w:rPr>
                <w:rFonts w:ascii="宋体" w:hAnsi="宋体" w:eastAsia="宋体" w:cs="宋体"/>
                <w:spacing w:val="5"/>
                <w:sz w:val="20"/>
                <w:szCs w:val="20"/>
              </w:rPr>
              <w:t>算控制</w:t>
            </w:r>
          </w:p>
          <w:p w14:paraId="32244421">
            <w:pPr>
              <w:spacing w:before="32" w:line="219" w:lineRule="auto"/>
              <w:ind w:left="330"/>
              <w:jc w:val="center"/>
              <w:rPr>
                <w:rFonts w:ascii="宋体" w:hAnsi="宋体" w:eastAsia="宋体" w:cs="宋体"/>
                <w:sz w:val="20"/>
                <w:szCs w:val="20"/>
              </w:rPr>
            </w:pPr>
            <w:r>
              <w:rPr>
                <w:rFonts w:ascii="宋体" w:hAnsi="宋体" w:eastAsia="宋体" w:cs="宋体"/>
                <w:sz w:val="20"/>
                <w:szCs w:val="20"/>
              </w:rPr>
              <w:t>率</w:t>
            </w:r>
          </w:p>
        </w:tc>
      </w:tr>
      <w:tr w14:paraId="7E51D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499" w:type="dxa"/>
            <w:vMerge w:val="continue"/>
            <w:tcBorders>
              <w:top w:val="nil"/>
            </w:tcBorders>
          </w:tcPr>
          <w:p w14:paraId="181039CA">
            <w:pPr>
              <w:pStyle w:val="10"/>
            </w:pPr>
          </w:p>
        </w:tc>
        <w:tc>
          <w:tcPr>
            <w:tcW w:w="1001" w:type="dxa"/>
          </w:tcPr>
          <w:p w14:paraId="45A11914">
            <w:pPr>
              <w:pStyle w:val="10"/>
              <w:jc w:val="center"/>
              <w:rPr>
                <w:rFonts w:hint="default" w:eastAsia="宋体"/>
                <w:lang w:val="en-US" w:eastAsia="zh-CN"/>
              </w:rPr>
            </w:pPr>
            <w:r>
              <w:rPr>
                <w:rFonts w:hint="eastAsia" w:ascii="宋体" w:hAnsi="宋体" w:eastAsia="宋体" w:cs="宋体"/>
                <w:sz w:val="20"/>
                <w:szCs w:val="20"/>
                <w:lang w:val="en-US" w:eastAsia="zh-CN"/>
              </w:rPr>
              <w:t>0.00</w:t>
            </w:r>
          </w:p>
        </w:tc>
        <w:tc>
          <w:tcPr>
            <w:tcW w:w="849" w:type="dxa"/>
          </w:tcPr>
          <w:p w14:paraId="59D430A8">
            <w:pPr>
              <w:pStyle w:val="10"/>
              <w:jc w:val="center"/>
            </w:pPr>
            <w:r>
              <w:rPr>
                <w:rFonts w:hint="eastAsia" w:ascii="宋体" w:hAnsi="宋体" w:eastAsia="宋体" w:cs="宋体"/>
                <w:sz w:val="20"/>
                <w:szCs w:val="20"/>
                <w:lang w:val="en-US" w:eastAsia="zh-CN"/>
              </w:rPr>
              <w:t>0.00</w:t>
            </w:r>
          </w:p>
        </w:tc>
        <w:tc>
          <w:tcPr>
            <w:tcW w:w="1109" w:type="dxa"/>
          </w:tcPr>
          <w:p w14:paraId="465A9360">
            <w:pPr>
              <w:pStyle w:val="10"/>
              <w:jc w:val="center"/>
            </w:pPr>
            <w:r>
              <w:rPr>
                <w:rFonts w:hint="eastAsia" w:ascii="宋体" w:hAnsi="宋体" w:eastAsia="宋体" w:cs="宋体"/>
                <w:sz w:val="20"/>
                <w:szCs w:val="20"/>
                <w:lang w:val="en-US" w:eastAsia="zh-CN"/>
              </w:rPr>
              <w:t>0.00</w:t>
            </w:r>
          </w:p>
        </w:tc>
        <w:tc>
          <w:tcPr>
            <w:tcW w:w="1088" w:type="dxa"/>
          </w:tcPr>
          <w:p w14:paraId="792A3874">
            <w:pPr>
              <w:pStyle w:val="10"/>
              <w:jc w:val="center"/>
            </w:pPr>
            <w:r>
              <w:rPr>
                <w:rFonts w:hint="eastAsia" w:ascii="宋体" w:hAnsi="宋体" w:eastAsia="宋体" w:cs="宋体"/>
                <w:sz w:val="20"/>
                <w:szCs w:val="20"/>
                <w:lang w:val="en-US" w:eastAsia="zh-CN"/>
              </w:rPr>
              <w:t>0.00</w:t>
            </w:r>
          </w:p>
        </w:tc>
        <w:tc>
          <w:tcPr>
            <w:tcW w:w="969" w:type="dxa"/>
          </w:tcPr>
          <w:p w14:paraId="601160FC">
            <w:pPr>
              <w:pStyle w:val="10"/>
              <w:jc w:val="center"/>
            </w:pPr>
            <w:r>
              <w:rPr>
                <w:rFonts w:hint="eastAsia" w:ascii="宋体" w:hAnsi="宋体" w:eastAsia="宋体" w:cs="宋体"/>
                <w:sz w:val="20"/>
                <w:szCs w:val="20"/>
                <w:lang w:val="en-US" w:eastAsia="zh-CN"/>
              </w:rPr>
              <w:t>0.00</w:t>
            </w:r>
          </w:p>
        </w:tc>
        <w:tc>
          <w:tcPr>
            <w:tcW w:w="874" w:type="dxa"/>
          </w:tcPr>
          <w:p w14:paraId="36E7AF1D">
            <w:pPr>
              <w:pStyle w:val="10"/>
              <w:jc w:val="center"/>
            </w:pPr>
            <w:r>
              <w:rPr>
                <w:rFonts w:hint="eastAsia" w:ascii="宋体" w:hAnsi="宋体" w:eastAsia="宋体" w:cs="宋体"/>
                <w:sz w:val="20"/>
                <w:szCs w:val="20"/>
                <w:lang w:val="en-US" w:eastAsia="zh-CN"/>
              </w:rPr>
              <w:t>0.00</w:t>
            </w:r>
          </w:p>
        </w:tc>
      </w:tr>
      <w:tr w14:paraId="3C393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499" w:type="dxa"/>
          </w:tcPr>
          <w:p w14:paraId="2F761B59">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5890" w:type="dxa"/>
            <w:gridSpan w:val="6"/>
            <w:vAlign w:val="center"/>
          </w:tcPr>
          <w:p w14:paraId="4455C1BA">
            <w:pPr>
              <w:pStyle w:val="10"/>
              <w:jc w:val="center"/>
            </w:pPr>
            <w:r>
              <w:rPr>
                <w:rFonts w:hint="eastAsia" w:ascii="宋体" w:hAnsi="宋体" w:eastAsia="宋体" w:cs="宋体"/>
                <w:sz w:val="20"/>
                <w:szCs w:val="20"/>
              </w:rPr>
              <w:t>加强资金管理，严控办公费、水电费、差旅费等支出。</w:t>
            </w:r>
          </w:p>
        </w:tc>
      </w:tr>
    </w:tbl>
    <w:p w14:paraId="7ADF5D8D">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4175A10C">
      <w:pPr>
        <w:pStyle w:val="2"/>
        <w:spacing w:before="12" w:line="285" w:lineRule="auto"/>
        <w:ind w:right="285" w:firstLine="420" w:firstLineChars="200"/>
        <w:rPr>
          <w:rFonts w:ascii="宋体" w:hAnsi="宋体" w:eastAsia="宋体" w:cs="宋体"/>
          <w:sz w:val="21"/>
          <w:szCs w:val="21"/>
          <w:lang w:eastAsia="zh-CN"/>
        </w:rPr>
      </w:pPr>
    </w:p>
    <w:p w14:paraId="52873DAB">
      <w:pPr>
        <w:pStyle w:val="2"/>
        <w:spacing w:before="12" w:line="285" w:lineRule="auto"/>
        <w:ind w:right="285" w:firstLine="420" w:firstLineChars="200"/>
        <w:rPr>
          <w:rFonts w:ascii="Arial"/>
          <w:sz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段丹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2024.10.17         </w:t>
      </w:r>
      <w:r>
        <w:rPr>
          <w:rFonts w:ascii="宋体" w:hAnsi="宋体" w:eastAsia="宋体" w:cs="宋体"/>
          <w:sz w:val="21"/>
          <w:szCs w:val="21"/>
          <w:lang w:eastAsia="zh-CN"/>
        </w:rPr>
        <w:t>联系电话：</w:t>
      </w:r>
      <w:r>
        <w:rPr>
          <w:rFonts w:hint="eastAsia" w:ascii="宋体" w:hAnsi="宋体" w:eastAsia="宋体" w:cs="宋体"/>
          <w:sz w:val="21"/>
          <w:szCs w:val="21"/>
          <w:lang w:eastAsia="zh-CN"/>
        </w:rPr>
        <w:t>13787406611</w:t>
      </w:r>
    </w:p>
    <w:p w14:paraId="033DA99E">
      <w:pPr>
        <w:spacing w:line="242" w:lineRule="auto"/>
        <w:rPr>
          <w:lang w:eastAsia="zh-CN"/>
        </w:rPr>
      </w:pPr>
    </w:p>
    <w:p w14:paraId="3175EE5D">
      <w:pPr>
        <w:spacing w:line="242" w:lineRule="auto"/>
        <w:rPr>
          <w:lang w:eastAsia="zh-CN"/>
        </w:rPr>
      </w:pPr>
    </w:p>
    <w:p w14:paraId="06C5E6BA">
      <w:pPr>
        <w:spacing w:line="242" w:lineRule="auto"/>
        <w:rPr>
          <w:lang w:eastAsia="zh-CN"/>
        </w:rPr>
      </w:pPr>
    </w:p>
    <w:p w14:paraId="3ADD15BC">
      <w:pPr>
        <w:pStyle w:val="2"/>
        <w:spacing w:before="100" w:line="222" w:lineRule="auto"/>
        <w:ind w:left="414"/>
        <w:rPr>
          <w:spacing w:val="15"/>
          <w:sz w:val="24"/>
          <w:szCs w:val="24"/>
          <w:lang w:eastAsia="zh-CN"/>
        </w:rPr>
      </w:pPr>
    </w:p>
    <w:p w14:paraId="1BA7188E">
      <w:pPr>
        <w:pStyle w:val="2"/>
        <w:spacing w:before="100" w:line="222" w:lineRule="auto"/>
        <w:ind w:left="414"/>
        <w:rPr>
          <w:spacing w:val="15"/>
          <w:sz w:val="24"/>
          <w:szCs w:val="24"/>
          <w:lang w:eastAsia="zh-CN"/>
        </w:rPr>
      </w:pPr>
    </w:p>
    <w:p w14:paraId="196FD1F2">
      <w:pPr>
        <w:pStyle w:val="2"/>
        <w:spacing w:before="100" w:line="222" w:lineRule="auto"/>
        <w:ind w:left="414"/>
        <w:rPr>
          <w:spacing w:val="15"/>
          <w:sz w:val="24"/>
          <w:szCs w:val="24"/>
          <w:lang w:eastAsia="zh-CN"/>
        </w:rPr>
      </w:pPr>
    </w:p>
    <w:p w14:paraId="5E3A9EB8">
      <w:pPr>
        <w:pStyle w:val="2"/>
        <w:spacing w:before="100" w:line="222" w:lineRule="auto"/>
        <w:ind w:left="414"/>
        <w:rPr>
          <w:spacing w:val="15"/>
          <w:sz w:val="24"/>
          <w:szCs w:val="24"/>
          <w:lang w:eastAsia="zh-CN"/>
        </w:rPr>
      </w:pPr>
    </w:p>
    <w:p w14:paraId="7ECC4F67">
      <w:pPr>
        <w:pStyle w:val="2"/>
        <w:spacing w:before="100" w:line="222" w:lineRule="auto"/>
        <w:ind w:left="414"/>
        <w:rPr>
          <w:spacing w:val="15"/>
          <w:sz w:val="24"/>
          <w:szCs w:val="24"/>
          <w:lang w:eastAsia="zh-CN"/>
        </w:rPr>
      </w:pPr>
    </w:p>
    <w:p w14:paraId="039F1BFD">
      <w:pPr>
        <w:pStyle w:val="2"/>
        <w:spacing w:before="100" w:line="222" w:lineRule="auto"/>
        <w:ind w:left="414"/>
        <w:rPr>
          <w:spacing w:val="15"/>
          <w:sz w:val="24"/>
          <w:szCs w:val="24"/>
          <w:lang w:eastAsia="zh-CN"/>
        </w:rPr>
      </w:pPr>
    </w:p>
    <w:p w14:paraId="15EA6F1A">
      <w:pPr>
        <w:pStyle w:val="2"/>
        <w:spacing w:before="100" w:line="222" w:lineRule="auto"/>
        <w:ind w:left="414"/>
        <w:rPr>
          <w:spacing w:val="15"/>
          <w:sz w:val="24"/>
          <w:szCs w:val="24"/>
          <w:lang w:eastAsia="zh-CN"/>
        </w:rPr>
      </w:pPr>
    </w:p>
    <w:p w14:paraId="76E67556">
      <w:pPr>
        <w:pStyle w:val="2"/>
        <w:spacing w:before="100" w:line="222" w:lineRule="auto"/>
        <w:ind w:left="414"/>
        <w:rPr>
          <w:spacing w:val="15"/>
          <w:sz w:val="24"/>
          <w:szCs w:val="24"/>
          <w:lang w:eastAsia="zh-CN"/>
        </w:rPr>
      </w:pPr>
    </w:p>
    <w:p w14:paraId="12021159">
      <w:pPr>
        <w:pStyle w:val="2"/>
        <w:spacing w:before="100" w:line="222" w:lineRule="auto"/>
        <w:ind w:left="414"/>
        <w:rPr>
          <w:spacing w:val="15"/>
          <w:sz w:val="24"/>
          <w:szCs w:val="24"/>
          <w:lang w:eastAsia="zh-CN"/>
        </w:rPr>
      </w:pPr>
    </w:p>
    <w:p w14:paraId="430FCC0F">
      <w:pPr>
        <w:pStyle w:val="2"/>
        <w:spacing w:before="100" w:line="222" w:lineRule="auto"/>
        <w:ind w:left="414"/>
        <w:rPr>
          <w:spacing w:val="15"/>
          <w:sz w:val="24"/>
          <w:szCs w:val="24"/>
          <w:lang w:eastAsia="zh-CN"/>
        </w:rPr>
      </w:pPr>
    </w:p>
    <w:p w14:paraId="30E239F6">
      <w:pPr>
        <w:pStyle w:val="2"/>
        <w:spacing w:before="100" w:line="222" w:lineRule="auto"/>
        <w:ind w:left="414"/>
        <w:rPr>
          <w:spacing w:val="15"/>
          <w:sz w:val="24"/>
          <w:szCs w:val="24"/>
          <w:lang w:eastAsia="zh-CN"/>
        </w:rPr>
      </w:pPr>
    </w:p>
    <w:p w14:paraId="16E518BB">
      <w:pPr>
        <w:pStyle w:val="2"/>
        <w:spacing w:before="100" w:line="222" w:lineRule="auto"/>
        <w:ind w:left="414"/>
        <w:rPr>
          <w:spacing w:val="15"/>
          <w:sz w:val="24"/>
          <w:szCs w:val="24"/>
          <w:lang w:eastAsia="zh-CN"/>
        </w:rPr>
      </w:pPr>
    </w:p>
    <w:p w14:paraId="0EDFACAF">
      <w:pPr>
        <w:pStyle w:val="2"/>
        <w:spacing w:before="100" w:line="222" w:lineRule="auto"/>
        <w:ind w:left="414"/>
        <w:rPr>
          <w:sz w:val="24"/>
          <w:szCs w:val="24"/>
          <w:lang w:eastAsia="zh-CN"/>
        </w:rPr>
      </w:pPr>
      <w:r>
        <w:rPr>
          <w:spacing w:val="15"/>
          <w:sz w:val="24"/>
          <w:szCs w:val="24"/>
          <w:lang w:eastAsia="zh-CN"/>
        </w:rPr>
        <w:t>附件1-2</w:t>
      </w:r>
    </w:p>
    <w:p w14:paraId="46DBA59E">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9"/>
        <w:tblW w:w="930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1039"/>
        <w:gridCol w:w="1204"/>
        <w:gridCol w:w="1027"/>
        <w:gridCol w:w="637"/>
        <w:gridCol w:w="738"/>
        <w:gridCol w:w="1237"/>
      </w:tblGrid>
      <w:tr w14:paraId="5D872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144" w:type="dxa"/>
          </w:tcPr>
          <w:p w14:paraId="4BA7E960">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160" w:type="dxa"/>
            <w:gridSpan w:val="8"/>
            <w:vAlign w:val="center"/>
          </w:tcPr>
          <w:p w14:paraId="2AB919F0">
            <w:pPr>
              <w:pStyle w:val="10"/>
              <w:jc w:val="center"/>
            </w:pPr>
            <w:r>
              <w:rPr>
                <w:rFonts w:hint="eastAsia" w:ascii="宋体" w:hAnsi="宋体" w:eastAsia="宋体" w:cs="宋体"/>
                <w:spacing w:val="-1"/>
                <w:sz w:val="20"/>
                <w:szCs w:val="20"/>
                <w:lang w:val="en-US" w:eastAsia="zh-CN"/>
              </w:rPr>
              <w:t>中共怀化市鹤城区委统一战线工作部</w:t>
            </w:r>
          </w:p>
        </w:tc>
      </w:tr>
      <w:tr w14:paraId="6B606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tcPr>
          <w:p w14:paraId="631C3B08">
            <w:pPr>
              <w:pStyle w:val="10"/>
              <w:spacing w:line="244" w:lineRule="auto"/>
            </w:pPr>
          </w:p>
          <w:p w14:paraId="7B3E13CD">
            <w:pPr>
              <w:pStyle w:val="10"/>
              <w:spacing w:line="244" w:lineRule="auto"/>
            </w:pPr>
          </w:p>
          <w:p w14:paraId="4F3A5A6D">
            <w:pPr>
              <w:pStyle w:val="10"/>
              <w:spacing w:line="245" w:lineRule="auto"/>
            </w:pPr>
          </w:p>
          <w:p w14:paraId="6F148FB6">
            <w:pPr>
              <w:pStyle w:val="10"/>
              <w:spacing w:line="245" w:lineRule="auto"/>
            </w:pPr>
          </w:p>
          <w:p w14:paraId="0FA43033">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278" w:type="dxa"/>
            <w:gridSpan w:val="2"/>
          </w:tcPr>
          <w:p w14:paraId="39814511">
            <w:pPr>
              <w:pStyle w:val="10"/>
            </w:pPr>
          </w:p>
        </w:tc>
        <w:tc>
          <w:tcPr>
            <w:tcW w:w="1039" w:type="dxa"/>
          </w:tcPr>
          <w:p w14:paraId="66164360">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4" w:type="dxa"/>
          </w:tcPr>
          <w:p w14:paraId="41717D6A">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1027" w:type="dxa"/>
          </w:tcPr>
          <w:p w14:paraId="35BF3F7B">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637" w:type="dxa"/>
          </w:tcPr>
          <w:p w14:paraId="7FBE4DAE">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738" w:type="dxa"/>
            <w:textDirection w:val="tbRlV"/>
            <w:vAlign w:val="center"/>
          </w:tcPr>
          <w:p w14:paraId="393171F1">
            <w:pPr>
              <w:spacing w:before="139" w:line="200" w:lineRule="auto"/>
              <w:ind w:left="50"/>
              <w:jc w:val="center"/>
              <w:rPr>
                <w:rFonts w:ascii="宋体" w:hAnsi="宋体" w:eastAsia="宋体" w:cs="宋体"/>
                <w:sz w:val="20"/>
                <w:szCs w:val="20"/>
              </w:rPr>
            </w:pPr>
            <w:r>
              <w:rPr>
                <w:rFonts w:ascii="宋体" w:hAnsi="宋体" w:eastAsia="宋体" w:cs="宋体"/>
                <w:sz w:val="20"/>
                <w:szCs w:val="20"/>
              </w:rPr>
              <w:t>执行率</w:t>
            </w:r>
          </w:p>
        </w:tc>
        <w:tc>
          <w:tcPr>
            <w:tcW w:w="1237" w:type="dxa"/>
            <w:vAlign w:val="top"/>
          </w:tcPr>
          <w:p w14:paraId="768AFED3">
            <w:pPr>
              <w:spacing w:before="269" w:line="219" w:lineRule="auto"/>
              <w:ind w:firstLine="400" w:firstLineChars="200"/>
              <w:jc w:val="both"/>
              <w:rPr>
                <w:rFonts w:ascii="宋体" w:hAnsi="宋体" w:eastAsia="宋体" w:cs="宋体"/>
                <w:sz w:val="20"/>
                <w:szCs w:val="20"/>
              </w:rPr>
            </w:pPr>
            <w:r>
              <w:rPr>
                <w:rFonts w:ascii="宋体" w:hAnsi="宋体" w:eastAsia="宋体" w:cs="宋体"/>
                <w:sz w:val="20"/>
                <w:szCs w:val="20"/>
              </w:rPr>
              <w:t>得分</w:t>
            </w:r>
          </w:p>
        </w:tc>
      </w:tr>
      <w:tr w14:paraId="2A7DD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004B0762">
            <w:pPr>
              <w:pStyle w:val="10"/>
            </w:pPr>
          </w:p>
        </w:tc>
        <w:tc>
          <w:tcPr>
            <w:tcW w:w="2278" w:type="dxa"/>
            <w:gridSpan w:val="2"/>
          </w:tcPr>
          <w:p w14:paraId="2AD58A35">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1039" w:type="dxa"/>
            <w:vAlign w:val="center"/>
          </w:tcPr>
          <w:p w14:paraId="137C39AE">
            <w:pPr>
              <w:pStyle w:val="10"/>
              <w:jc w:val="center"/>
              <w:rPr>
                <w:rFonts w:hint="eastAsia" w:eastAsia="宋体"/>
                <w:lang w:val="en-US" w:eastAsia="zh-CN"/>
              </w:rPr>
            </w:pPr>
            <w:r>
              <w:rPr>
                <w:rFonts w:hint="eastAsia"/>
              </w:rPr>
              <w:t>290.5</w:t>
            </w:r>
            <w:r>
              <w:rPr>
                <w:rFonts w:hint="eastAsia" w:eastAsia="宋体"/>
                <w:lang w:val="en-US" w:eastAsia="zh-CN"/>
              </w:rPr>
              <w:t>0</w:t>
            </w:r>
          </w:p>
        </w:tc>
        <w:tc>
          <w:tcPr>
            <w:tcW w:w="1204" w:type="dxa"/>
            <w:vAlign w:val="center"/>
          </w:tcPr>
          <w:p w14:paraId="5507C6CB">
            <w:pPr>
              <w:pStyle w:val="10"/>
              <w:jc w:val="center"/>
            </w:pPr>
            <w:r>
              <w:rPr>
                <w:rFonts w:hint="eastAsia"/>
              </w:rPr>
              <w:t>304.54</w:t>
            </w:r>
          </w:p>
        </w:tc>
        <w:tc>
          <w:tcPr>
            <w:tcW w:w="1027" w:type="dxa"/>
            <w:vAlign w:val="center"/>
          </w:tcPr>
          <w:p w14:paraId="693DD235">
            <w:pPr>
              <w:pStyle w:val="10"/>
              <w:jc w:val="center"/>
            </w:pPr>
            <w:r>
              <w:rPr>
                <w:rFonts w:hint="eastAsia"/>
              </w:rPr>
              <w:t>304.54</w:t>
            </w:r>
          </w:p>
        </w:tc>
        <w:tc>
          <w:tcPr>
            <w:tcW w:w="637" w:type="dxa"/>
            <w:vAlign w:val="center"/>
          </w:tcPr>
          <w:p w14:paraId="4B73682E">
            <w:pPr>
              <w:spacing w:before="120" w:line="184" w:lineRule="auto"/>
              <w:ind w:firstLine="210" w:firstLineChars="100"/>
              <w:jc w:val="both"/>
              <w:rPr>
                <w:rFonts w:hint="default" w:ascii="宋体" w:hAnsi="宋体" w:eastAsia="宋体" w:cs="宋体"/>
                <w:sz w:val="20"/>
                <w:szCs w:val="20"/>
                <w:lang w:val="en-US" w:eastAsia="zh-CN"/>
              </w:rPr>
            </w:pPr>
            <w:r>
              <w:rPr>
                <w:rFonts w:hint="eastAsia" w:eastAsia="宋体"/>
                <w:lang w:val="en-US" w:eastAsia="zh-CN"/>
              </w:rPr>
              <w:t>10</w:t>
            </w:r>
          </w:p>
        </w:tc>
        <w:tc>
          <w:tcPr>
            <w:tcW w:w="738" w:type="dxa"/>
            <w:vAlign w:val="center"/>
          </w:tcPr>
          <w:p w14:paraId="67461964">
            <w:pPr>
              <w:pStyle w:val="10"/>
              <w:jc w:val="center"/>
            </w:pPr>
            <w:r>
              <w:rPr>
                <w:rFonts w:hint="eastAsia" w:eastAsia="宋体"/>
                <w:lang w:val="en-US" w:eastAsia="zh-CN"/>
              </w:rPr>
              <w:t>100</w:t>
            </w:r>
            <w:r>
              <w:rPr>
                <w:rFonts w:hint="eastAsia"/>
              </w:rPr>
              <w:t>%</w:t>
            </w:r>
          </w:p>
        </w:tc>
        <w:tc>
          <w:tcPr>
            <w:tcW w:w="1237" w:type="dxa"/>
            <w:vAlign w:val="center"/>
          </w:tcPr>
          <w:p w14:paraId="601DEF2F">
            <w:pPr>
              <w:pStyle w:val="10"/>
              <w:jc w:val="center"/>
              <w:rPr>
                <w:rFonts w:hint="default" w:eastAsia="宋体"/>
                <w:lang w:val="en-US" w:eastAsia="zh-CN"/>
              </w:rPr>
            </w:pPr>
            <w:r>
              <w:rPr>
                <w:rFonts w:hint="eastAsia" w:eastAsia="宋体"/>
                <w:lang w:val="en-US" w:eastAsia="zh-CN"/>
              </w:rPr>
              <w:t>10</w:t>
            </w:r>
          </w:p>
        </w:tc>
      </w:tr>
      <w:tr w14:paraId="15EBE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641F4104">
            <w:pPr>
              <w:pStyle w:val="10"/>
            </w:pPr>
          </w:p>
        </w:tc>
        <w:tc>
          <w:tcPr>
            <w:tcW w:w="4521" w:type="dxa"/>
            <w:gridSpan w:val="4"/>
          </w:tcPr>
          <w:p w14:paraId="040D0A77">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639" w:type="dxa"/>
            <w:gridSpan w:val="4"/>
          </w:tcPr>
          <w:p w14:paraId="48A5759F">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13D010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12299827">
            <w:pPr>
              <w:pStyle w:val="10"/>
            </w:pPr>
          </w:p>
        </w:tc>
        <w:tc>
          <w:tcPr>
            <w:tcW w:w="4521" w:type="dxa"/>
            <w:gridSpan w:val="4"/>
          </w:tcPr>
          <w:p w14:paraId="35A82F57">
            <w:pPr>
              <w:spacing w:before="70" w:line="219" w:lineRule="auto"/>
              <w:ind w:left="331"/>
              <w:rPr>
                <w:rFonts w:ascii="宋体" w:hAnsi="宋体" w:eastAsia="宋体" w:cs="宋体"/>
                <w:sz w:val="20"/>
                <w:szCs w:val="20"/>
                <w:lang w:eastAsia="zh-CN"/>
              </w:rPr>
            </w:pPr>
            <w:r>
              <w:rPr>
                <w:rFonts w:ascii="宋体" w:hAnsi="宋体" w:eastAsia="宋体" w:cs="宋体"/>
                <w:spacing w:val="-3"/>
                <w:sz w:val="20"/>
                <w:szCs w:val="20"/>
                <w:lang w:eastAsia="zh-CN"/>
              </w:rPr>
              <w:t>其中：一般公共预算：</w:t>
            </w:r>
            <w:r>
              <w:rPr>
                <w:rFonts w:hint="eastAsia"/>
              </w:rPr>
              <w:t>304.54</w:t>
            </w:r>
          </w:p>
        </w:tc>
        <w:tc>
          <w:tcPr>
            <w:tcW w:w="3639" w:type="dxa"/>
            <w:gridSpan w:val="4"/>
          </w:tcPr>
          <w:p w14:paraId="40F8B6ED">
            <w:pPr>
              <w:spacing w:before="68" w:line="219" w:lineRule="auto"/>
              <w:ind w:left="95"/>
              <w:rPr>
                <w:rFonts w:ascii="宋体" w:hAnsi="宋体" w:eastAsia="宋体" w:cs="宋体"/>
                <w:sz w:val="20"/>
                <w:szCs w:val="20"/>
              </w:rPr>
            </w:pPr>
            <w:r>
              <w:rPr>
                <w:rFonts w:ascii="宋体" w:hAnsi="宋体" w:eastAsia="宋体" w:cs="宋体"/>
                <w:sz w:val="20"/>
                <w:szCs w:val="20"/>
              </w:rPr>
              <w:t>其中：基本支出：</w:t>
            </w:r>
            <w:r>
              <w:rPr>
                <w:rFonts w:hint="eastAsia"/>
              </w:rPr>
              <w:t>256.56</w:t>
            </w:r>
          </w:p>
        </w:tc>
      </w:tr>
      <w:tr w14:paraId="60FF90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2FCA207A">
            <w:pPr>
              <w:pStyle w:val="10"/>
            </w:pPr>
          </w:p>
        </w:tc>
        <w:tc>
          <w:tcPr>
            <w:tcW w:w="4521" w:type="dxa"/>
            <w:gridSpan w:val="4"/>
          </w:tcPr>
          <w:p w14:paraId="03745F78">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639" w:type="dxa"/>
            <w:gridSpan w:val="4"/>
          </w:tcPr>
          <w:p w14:paraId="5E4DAD9C">
            <w:pPr>
              <w:spacing w:before="70" w:line="220" w:lineRule="auto"/>
              <w:ind w:left="715"/>
              <w:rPr>
                <w:rFonts w:ascii="宋体" w:hAnsi="宋体" w:eastAsia="宋体" w:cs="宋体"/>
                <w:sz w:val="20"/>
                <w:szCs w:val="20"/>
              </w:rPr>
            </w:pPr>
            <w:r>
              <w:rPr>
                <w:rFonts w:ascii="宋体" w:hAnsi="宋体" w:eastAsia="宋体" w:cs="宋体"/>
                <w:spacing w:val="-1"/>
                <w:sz w:val="20"/>
                <w:szCs w:val="20"/>
              </w:rPr>
              <w:t>项目支出：</w:t>
            </w:r>
            <w:r>
              <w:rPr>
                <w:rFonts w:hint="eastAsia"/>
              </w:rPr>
              <w:t>47.98</w:t>
            </w:r>
          </w:p>
        </w:tc>
      </w:tr>
      <w:tr w14:paraId="4758BE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2BBFCE27">
            <w:pPr>
              <w:pStyle w:val="10"/>
            </w:pPr>
          </w:p>
        </w:tc>
        <w:tc>
          <w:tcPr>
            <w:tcW w:w="4521" w:type="dxa"/>
            <w:gridSpan w:val="4"/>
          </w:tcPr>
          <w:p w14:paraId="73E56494">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639" w:type="dxa"/>
            <w:gridSpan w:val="4"/>
          </w:tcPr>
          <w:p w14:paraId="381750B6">
            <w:pPr>
              <w:pStyle w:val="10"/>
              <w:rPr>
                <w:lang w:eastAsia="zh-CN"/>
              </w:rPr>
            </w:pPr>
          </w:p>
        </w:tc>
      </w:tr>
      <w:tr w14:paraId="3A6CF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23E25BCE">
            <w:pPr>
              <w:pStyle w:val="10"/>
              <w:rPr>
                <w:lang w:eastAsia="zh-CN"/>
              </w:rPr>
            </w:pPr>
          </w:p>
        </w:tc>
        <w:tc>
          <w:tcPr>
            <w:tcW w:w="4521" w:type="dxa"/>
            <w:gridSpan w:val="4"/>
          </w:tcPr>
          <w:p w14:paraId="2BBA215A">
            <w:pPr>
              <w:spacing w:before="41" w:line="202" w:lineRule="auto"/>
              <w:ind w:left="1521"/>
              <w:rPr>
                <w:rFonts w:ascii="宋体" w:hAnsi="宋体" w:eastAsia="宋体" w:cs="宋体"/>
                <w:sz w:val="20"/>
                <w:szCs w:val="20"/>
              </w:rPr>
            </w:pPr>
            <w:r>
              <w:rPr>
                <w:rFonts w:ascii="宋体" w:hAnsi="宋体" w:eastAsia="宋体" w:cs="宋体"/>
                <w:spacing w:val="-1"/>
                <w:sz w:val="20"/>
                <w:szCs w:val="20"/>
              </w:rPr>
              <w:t>其他资金：</w:t>
            </w:r>
          </w:p>
        </w:tc>
        <w:tc>
          <w:tcPr>
            <w:tcW w:w="3639" w:type="dxa"/>
            <w:gridSpan w:val="4"/>
          </w:tcPr>
          <w:p w14:paraId="05D8D2C8">
            <w:pPr>
              <w:pStyle w:val="10"/>
            </w:pPr>
          </w:p>
        </w:tc>
      </w:tr>
      <w:tr w14:paraId="65C42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tcPr>
          <w:p w14:paraId="782D7FCE">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521" w:type="dxa"/>
            <w:gridSpan w:val="4"/>
          </w:tcPr>
          <w:p w14:paraId="25A543F3">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639" w:type="dxa"/>
            <w:gridSpan w:val="4"/>
          </w:tcPr>
          <w:p w14:paraId="3D47C3A4">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618D1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7" w:hRule="atLeast"/>
        </w:trPr>
        <w:tc>
          <w:tcPr>
            <w:tcW w:w="1144" w:type="dxa"/>
            <w:vMerge w:val="continue"/>
            <w:tcBorders>
              <w:top w:val="nil"/>
            </w:tcBorders>
          </w:tcPr>
          <w:p w14:paraId="466BA027">
            <w:pPr>
              <w:pStyle w:val="10"/>
            </w:pPr>
          </w:p>
        </w:tc>
        <w:tc>
          <w:tcPr>
            <w:tcW w:w="4521" w:type="dxa"/>
            <w:gridSpan w:val="4"/>
          </w:tcPr>
          <w:p w14:paraId="53D22F27">
            <w:pPr>
              <w:spacing w:before="80" w:line="219" w:lineRule="auto"/>
              <w:ind w:left="95"/>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深入学习贯彻习近平总书记关于加强和改进统一战线工作的重要思想，全面落实中央民族工作会议、全国宗教工作会议、全国统战部长会议精神和省委工作要求。</w:t>
            </w:r>
          </w:p>
          <w:p w14:paraId="0D3E0CD0">
            <w:pPr>
              <w:pStyle w:val="10"/>
              <w:spacing w:line="230" w:lineRule="exact"/>
              <w:rPr>
                <w:sz w:val="20"/>
              </w:rPr>
            </w:pPr>
          </w:p>
        </w:tc>
        <w:tc>
          <w:tcPr>
            <w:tcW w:w="3639" w:type="dxa"/>
            <w:gridSpan w:val="4"/>
          </w:tcPr>
          <w:p w14:paraId="62B339FF">
            <w:pPr>
              <w:pStyle w:val="10"/>
              <w:spacing w:line="230" w:lineRule="exact"/>
              <w:rPr>
                <w:sz w:val="20"/>
              </w:rPr>
            </w:pPr>
            <w:r>
              <w:rPr>
                <w:rFonts w:hint="eastAsia" w:ascii="宋体" w:hAnsi="宋体" w:eastAsia="宋体" w:cs="宋体"/>
                <w:snapToGrid w:val="0"/>
                <w:color w:val="000000"/>
                <w:sz w:val="20"/>
                <w:szCs w:val="20"/>
                <w:lang w:val="en-US" w:eastAsia="zh-CN" w:bidi="ar-SA"/>
              </w:rPr>
              <w:t>本单位2023年一般公共预算资金总体目标完成较好，维护统战工作正常运行，带动其他各项工作的开展，增强了解情况、掌握政策、协调关系、安排人事、增进共识和加强团结等重要职责。</w:t>
            </w:r>
          </w:p>
        </w:tc>
      </w:tr>
      <w:tr w14:paraId="181AE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bottom w:val="nil"/>
            </w:tcBorders>
            <w:textDirection w:val="tbRlV"/>
          </w:tcPr>
          <w:p w14:paraId="65DED0B3">
            <w:pPr>
              <w:pStyle w:val="10"/>
              <w:spacing w:line="396" w:lineRule="auto"/>
            </w:pPr>
          </w:p>
          <w:p w14:paraId="76E203FB">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169" w:type="dxa"/>
          </w:tcPr>
          <w:p w14:paraId="4F190B83">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109" w:type="dxa"/>
          </w:tcPr>
          <w:p w14:paraId="106CA1B1">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1039" w:type="dxa"/>
          </w:tcPr>
          <w:p w14:paraId="632E514B">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204" w:type="dxa"/>
          </w:tcPr>
          <w:p w14:paraId="04148F00">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027" w:type="dxa"/>
          </w:tcPr>
          <w:p w14:paraId="11719570">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637" w:type="dxa"/>
          </w:tcPr>
          <w:p w14:paraId="46D64FA5">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738" w:type="dxa"/>
            <w:textDirection w:val="tbRlV"/>
          </w:tcPr>
          <w:p w14:paraId="59200B94">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237" w:type="dxa"/>
          </w:tcPr>
          <w:p w14:paraId="72EC4117">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0A13BADE">
            <w:pPr>
              <w:spacing w:line="182" w:lineRule="auto"/>
              <w:ind w:left="18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5F43F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extDirection w:val="tbRlV"/>
          </w:tcPr>
          <w:p w14:paraId="687A89F2">
            <w:pPr>
              <w:pStyle w:val="10"/>
              <w:rPr>
                <w:lang w:eastAsia="zh-CN"/>
              </w:rPr>
            </w:pPr>
          </w:p>
        </w:tc>
        <w:tc>
          <w:tcPr>
            <w:tcW w:w="1169" w:type="dxa"/>
            <w:vMerge w:val="restart"/>
            <w:tcBorders>
              <w:bottom w:val="nil"/>
            </w:tcBorders>
          </w:tcPr>
          <w:p w14:paraId="6FD2486E">
            <w:pPr>
              <w:pStyle w:val="10"/>
              <w:spacing w:line="277" w:lineRule="auto"/>
              <w:rPr>
                <w:lang w:eastAsia="zh-CN"/>
              </w:rPr>
            </w:pPr>
          </w:p>
          <w:p w14:paraId="0F10855F">
            <w:pPr>
              <w:pStyle w:val="10"/>
              <w:spacing w:line="277" w:lineRule="auto"/>
              <w:rPr>
                <w:lang w:eastAsia="zh-CN"/>
              </w:rPr>
            </w:pPr>
          </w:p>
          <w:p w14:paraId="71518774">
            <w:pPr>
              <w:pStyle w:val="10"/>
              <w:spacing w:line="278" w:lineRule="auto"/>
              <w:rPr>
                <w:lang w:eastAsia="zh-CN"/>
              </w:rPr>
            </w:pPr>
          </w:p>
          <w:p w14:paraId="6137F800">
            <w:pPr>
              <w:pStyle w:val="10"/>
              <w:spacing w:line="278" w:lineRule="auto"/>
              <w:rPr>
                <w:lang w:eastAsia="zh-CN"/>
              </w:rPr>
            </w:pPr>
          </w:p>
          <w:p w14:paraId="4AEC05AC">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14:paraId="0FB9EB5D">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109" w:type="dxa"/>
            <w:tcBorders>
              <w:bottom w:val="nil"/>
            </w:tcBorders>
          </w:tcPr>
          <w:p w14:paraId="55059068">
            <w:pPr>
              <w:spacing w:before="161" w:line="212" w:lineRule="auto"/>
              <w:ind w:left="341" w:right="366"/>
              <w:rPr>
                <w:rFonts w:ascii="宋体" w:hAnsi="宋体" w:eastAsia="宋体" w:cs="宋体"/>
                <w:sz w:val="20"/>
                <w:szCs w:val="20"/>
              </w:rPr>
            </w:pPr>
            <w:r>
              <w:rPr>
                <w:rFonts w:ascii="宋体" w:hAnsi="宋体" w:eastAsia="宋体" w:cs="宋体"/>
                <w:spacing w:val="-5"/>
                <w:sz w:val="20"/>
                <w:szCs w:val="20"/>
              </w:rPr>
              <w:t>数量</w:t>
            </w:r>
            <w:r>
              <w:rPr>
                <w:rFonts w:ascii="宋体" w:hAnsi="宋体" w:eastAsia="宋体" w:cs="宋体"/>
                <w:spacing w:val="-6"/>
                <w:sz w:val="20"/>
                <w:szCs w:val="20"/>
              </w:rPr>
              <w:t>指标</w:t>
            </w:r>
          </w:p>
        </w:tc>
        <w:tc>
          <w:tcPr>
            <w:tcW w:w="1039" w:type="dxa"/>
            <w:vAlign w:val="center"/>
          </w:tcPr>
          <w:p w14:paraId="4A8DA14A">
            <w:pPr>
              <w:pStyle w:val="10"/>
              <w:jc w:val="center"/>
            </w:pPr>
            <w:r>
              <w:rPr>
                <w:rFonts w:hint="eastAsia" w:ascii="宋体" w:hAnsi="宋体" w:eastAsia="宋体" w:cs="宋体"/>
                <w:sz w:val="20"/>
                <w:szCs w:val="20"/>
              </w:rPr>
              <w:t>团结进步示范创建</w:t>
            </w:r>
          </w:p>
        </w:tc>
        <w:tc>
          <w:tcPr>
            <w:tcW w:w="1204" w:type="dxa"/>
            <w:shd w:val="clear" w:color="auto" w:fill="auto"/>
            <w:vAlign w:val="center"/>
          </w:tcPr>
          <w:p w14:paraId="46CF31D2">
            <w:pPr>
              <w:pStyle w:val="10"/>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1027" w:type="dxa"/>
            <w:shd w:val="clear" w:color="auto" w:fill="auto"/>
            <w:vAlign w:val="center"/>
          </w:tcPr>
          <w:p w14:paraId="0D240B1E">
            <w:pPr>
              <w:pStyle w:val="10"/>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637" w:type="dxa"/>
            <w:vAlign w:val="center"/>
          </w:tcPr>
          <w:p w14:paraId="26ABB729">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738" w:type="dxa"/>
            <w:vAlign w:val="center"/>
          </w:tcPr>
          <w:p w14:paraId="39745860">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1237" w:type="dxa"/>
          </w:tcPr>
          <w:p w14:paraId="75BB403F">
            <w:pPr>
              <w:pStyle w:val="10"/>
            </w:pPr>
          </w:p>
        </w:tc>
      </w:tr>
      <w:tr w14:paraId="02779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trPr>
        <w:tc>
          <w:tcPr>
            <w:tcW w:w="1144" w:type="dxa"/>
            <w:vMerge w:val="continue"/>
            <w:tcBorders>
              <w:top w:val="nil"/>
              <w:bottom w:val="nil"/>
            </w:tcBorders>
            <w:textDirection w:val="tbRlV"/>
          </w:tcPr>
          <w:p w14:paraId="22D325ED">
            <w:pPr>
              <w:pStyle w:val="10"/>
            </w:pPr>
          </w:p>
        </w:tc>
        <w:tc>
          <w:tcPr>
            <w:tcW w:w="1169" w:type="dxa"/>
            <w:vMerge w:val="continue"/>
            <w:tcBorders>
              <w:top w:val="nil"/>
              <w:bottom w:val="nil"/>
            </w:tcBorders>
          </w:tcPr>
          <w:p w14:paraId="5AEFAD27">
            <w:pPr>
              <w:pStyle w:val="10"/>
            </w:pPr>
          </w:p>
        </w:tc>
        <w:tc>
          <w:tcPr>
            <w:tcW w:w="1109" w:type="dxa"/>
            <w:tcBorders>
              <w:bottom w:val="nil"/>
            </w:tcBorders>
          </w:tcPr>
          <w:p w14:paraId="133C1D64">
            <w:pPr>
              <w:spacing w:before="132" w:line="221" w:lineRule="auto"/>
              <w:ind w:left="341" w:right="365"/>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pacing w:val="-6"/>
                <w:sz w:val="20"/>
                <w:szCs w:val="20"/>
              </w:rPr>
              <w:t>指标</w:t>
            </w:r>
          </w:p>
        </w:tc>
        <w:tc>
          <w:tcPr>
            <w:tcW w:w="1039" w:type="dxa"/>
            <w:vAlign w:val="center"/>
          </w:tcPr>
          <w:p w14:paraId="134DDE33">
            <w:pPr>
              <w:pStyle w:val="10"/>
              <w:jc w:val="center"/>
              <w:rPr>
                <w:rFonts w:hint="default" w:eastAsia="宋体"/>
                <w:sz w:val="20"/>
                <w:szCs w:val="20"/>
                <w:lang w:val="en-US" w:eastAsia="zh-CN"/>
              </w:rPr>
            </w:pPr>
            <w:r>
              <w:rPr>
                <w:rFonts w:hint="eastAsia" w:eastAsia="宋体"/>
                <w:sz w:val="20"/>
                <w:szCs w:val="20"/>
                <w:lang w:val="en-US" w:eastAsia="zh-CN"/>
              </w:rPr>
              <w:t>团结活动开展情况</w:t>
            </w:r>
          </w:p>
        </w:tc>
        <w:tc>
          <w:tcPr>
            <w:tcW w:w="1204" w:type="dxa"/>
            <w:shd w:val="clear" w:color="auto" w:fill="auto"/>
            <w:vAlign w:val="center"/>
          </w:tcPr>
          <w:p w14:paraId="5F8DB06F">
            <w:pPr>
              <w:pStyle w:val="10"/>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1027" w:type="dxa"/>
            <w:shd w:val="clear" w:color="auto" w:fill="auto"/>
            <w:vAlign w:val="center"/>
          </w:tcPr>
          <w:p w14:paraId="20B86388">
            <w:pPr>
              <w:pStyle w:val="10"/>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637" w:type="dxa"/>
            <w:shd w:val="clear" w:color="auto" w:fill="auto"/>
            <w:vAlign w:val="center"/>
          </w:tcPr>
          <w:p w14:paraId="0D77F9C5">
            <w:pPr>
              <w:pStyle w:val="10"/>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w:t>
            </w:r>
          </w:p>
        </w:tc>
        <w:tc>
          <w:tcPr>
            <w:tcW w:w="738" w:type="dxa"/>
            <w:shd w:val="clear" w:color="auto" w:fill="auto"/>
            <w:vAlign w:val="center"/>
          </w:tcPr>
          <w:p w14:paraId="492B774F">
            <w:pPr>
              <w:pStyle w:val="10"/>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w:t>
            </w:r>
          </w:p>
        </w:tc>
        <w:tc>
          <w:tcPr>
            <w:tcW w:w="1237" w:type="dxa"/>
          </w:tcPr>
          <w:p w14:paraId="72FBDA21">
            <w:pPr>
              <w:pStyle w:val="10"/>
            </w:pPr>
          </w:p>
        </w:tc>
      </w:tr>
      <w:tr w14:paraId="0E1AB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079EC3A6">
            <w:pPr>
              <w:pStyle w:val="10"/>
            </w:pPr>
          </w:p>
        </w:tc>
        <w:tc>
          <w:tcPr>
            <w:tcW w:w="1169" w:type="dxa"/>
            <w:vMerge w:val="continue"/>
            <w:tcBorders>
              <w:top w:val="nil"/>
              <w:bottom w:val="nil"/>
            </w:tcBorders>
          </w:tcPr>
          <w:p w14:paraId="5CC05D77">
            <w:pPr>
              <w:pStyle w:val="10"/>
            </w:pPr>
          </w:p>
        </w:tc>
        <w:tc>
          <w:tcPr>
            <w:tcW w:w="1109" w:type="dxa"/>
            <w:tcBorders>
              <w:bottom w:val="nil"/>
            </w:tcBorders>
          </w:tcPr>
          <w:p w14:paraId="793524D4">
            <w:pPr>
              <w:spacing w:before="134" w:line="216" w:lineRule="auto"/>
              <w:ind w:left="341" w:right="348"/>
              <w:rPr>
                <w:rFonts w:ascii="宋体" w:hAnsi="宋体" w:eastAsia="宋体" w:cs="宋体"/>
                <w:sz w:val="20"/>
                <w:szCs w:val="20"/>
              </w:rPr>
            </w:pPr>
            <w:r>
              <w:rPr>
                <w:rFonts w:ascii="宋体" w:hAnsi="宋体" w:eastAsia="宋体" w:cs="宋体"/>
                <w:spacing w:val="4"/>
                <w:sz w:val="20"/>
                <w:szCs w:val="20"/>
              </w:rPr>
              <w:t>时效</w:t>
            </w:r>
            <w:r>
              <w:rPr>
                <w:rFonts w:ascii="宋体" w:hAnsi="宋体" w:eastAsia="宋体" w:cs="宋体"/>
                <w:spacing w:val="-3"/>
                <w:sz w:val="20"/>
                <w:szCs w:val="20"/>
              </w:rPr>
              <w:t>指标</w:t>
            </w:r>
          </w:p>
        </w:tc>
        <w:tc>
          <w:tcPr>
            <w:tcW w:w="1039" w:type="dxa"/>
            <w:vAlign w:val="center"/>
          </w:tcPr>
          <w:p w14:paraId="2D678139">
            <w:pPr>
              <w:pStyle w:val="10"/>
              <w:jc w:val="center"/>
            </w:pPr>
            <w:r>
              <w:rPr>
                <w:rFonts w:hint="eastAsia" w:ascii="宋体" w:hAnsi="宋体" w:eastAsia="宋体" w:cs="宋体"/>
                <w:sz w:val="20"/>
                <w:szCs w:val="20"/>
              </w:rPr>
              <w:t>工作任务完成时间</w:t>
            </w:r>
          </w:p>
        </w:tc>
        <w:tc>
          <w:tcPr>
            <w:tcW w:w="1204" w:type="dxa"/>
            <w:vAlign w:val="center"/>
          </w:tcPr>
          <w:p w14:paraId="0004833D">
            <w:pPr>
              <w:pStyle w:val="10"/>
              <w:jc w:val="center"/>
            </w:pPr>
            <w:r>
              <w:rPr>
                <w:rFonts w:hint="eastAsia" w:ascii="宋体" w:hAnsi="宋体" w:eastAsia="宋体" w:cs="宋体"/>
                <w:sz w:val="20"/>
                <w:szCs w:val="20"/>
              </w:rPr>
              <w:t>2023年12月31日之前完成</w:t>
            </w:r>
          </w:p>
        </w:tc>
        <w:tc>
          <w:tcPr>
            <w:tcW w:w="1027" w:type="dxa"/>
            <w:vAlign w:val="center"/>
          </w:tcPr>
          <w:p w14:paraId="1C1209B3">
            <w:pPr>
              <w:pStyle w:val="10"/>
              <w:jc w:val="center"/>
            </w:pPr>
            <w:r>
              <w:rPr>
                <w:rFonts w:hint="eastAsia" w:ascii="宋体" w:hAnsi="宋体" w:eastAsia="宋体" w:cs="宋体"/>
                <w:sz w:val="20"/>
                <w:szCs w:val="20"/>
              </w:rPr>
              <w:t>2023年12月31日之前完成</w:t>
            </w:r>
          </w:p>
        </w:tc>
        <w:tc>
          <w:tcPr>
            <w:tcW w:w="637" w:type="dxa"/>
            <w:vAlign w:val="center"/>
          </w:tcPr>
          <w:p w14:paraId="07E6D66A">
            <w:pPr>
              <w:pStyle w:val="10"/>
              <w:jc w:val="center"/>
              <w:rPr>
                <w:rFonts w:hint="eastAsia" w:ascii="宋体" w:hAnsi="宋体" w:eastAsia="宋体" w:cs="宋体"/>
                <w:sz w:val="20"/>
                <w:szCs w:val="20"/>
              </w:rPr>
            </w:pPr>
            <w:r>
              <w:rPr>
                <w:rFonts w:hint="eastAsia" w:ascii="宋体" w:hAnsi="宋体" w:eastAsia="宋体" w:cs="宋体"/>
                <w:sz w:val="20"/>
                <w:szCs w:val="20"/>
                <w:lang w:val="en-US" w:eastAsia="zh-CN"/>
              </w:rPr>
              <w:t>10</w:t>
            </w:r>
          </w:p>
        </w:tc>
        <w:tc>
          <w:tcPr>
            <w:tcW w:w="738" w:type="dxa"/>
            <w:vAlign w:val="center"/>
          </w:tcPr>
          <w:p w14:paraId="79330612">
            <w:pPr>
              <w:pStyle w:val="10"/>
              <w:jc w:val="center"/>
              <w:rPr>
                <w:rFonts w:hint="eastAsia" w:ascii="宋体" w:hAnsi="宋体" w:eastAsia="宋体" w:cs="宋体"/>
                <w:sz w:val="20"/>
                <w:szCs w:val="20"/>
              </w:rPr>
            </w:pPr>
            <w:r>
              <w:rPr>
                <w:rFonts w:hint="eastAsia" w:ascii="宋体" w:hAnsi="宋体" w:eastAsia="宋体" w:cs="宋体"/>
                <w:sz w:val="20"/>
                <w:szCs w:val="20"/>
                <w:lang w:val="en-US" w:eastAsia="zh-CN"/>
              </w:rPr>
              <w:t>10</w:t>
            </w:r>
          </w:p>
        </w:tc>
        <w:tc>
          <w:tcPr>
            <w:tcW w:w="1237" w:type="dxa"/>
          </w:tcPr>
          <w:p w14:paraId="658C12FF">
            <w:pPr>
              <w:pStyle w:val="10"/>
            </w:pPr>
          </w:p>
        </w:tc>
      </w:tr>
      <w:tr w14:paraId="44F50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116FEDF3">
            <w:pPr>
              <w:pStyle w:val="10"/>
            </w:pPr>
          </w:p>
        </w:tc>
        <w:tc>
          <w:tcPr>
            <w:tcW w:w="1169" w:type="dxa"/>
            <w:vMerge w:val="continue"/>
            <w:tcBorders>
              <w:top w:val="nil"/>
              <w:bottom w:val="nil"/>
            </w:tcBorders>
          </w:tcPr>
          <w:p w14:paraId="61FB0E3B">
            <w:pPr>
              <w:pStyle w:val="10"/>
            </w:pPr>
          </w:p>
        </w:tc>
        <w:tc>
          <w:tcPr>
            <w:tcW w:w="1109" w:type="dxa"/>
            <w:tcBorders>
              <w:bottom w:val="nil"/>
            </w:tcBorders>
          </w:tcPr>
          <w:p w14:paraId="4035A61C">
            <w:pPr>
              <w:spacing w:before="143" w:line="221" w:lineRule="auto"/>
              <w:ind w:left="341" w:right="366"/>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pacing w:val="-6"/>
                <w:sz w:val="20"/>
                <w:szCs w:val="20"/>
              </w:rPr>
              <w:t>指标</w:t>
            </w:r>
          </w:p>
        </w:tc>
        <w:tc>
          <w:tcPr>
            <w:tcW w:w="1039" w:type="dxa"/>
            <w:vAlign w:val="center"/>
          </w:tcPr>
          <w:p w14:paraId="6B5EFF0C">
            <w:pPr>
              <w:pStyle w:val="10"/>
              <w:jc w:val="center"/>
            </w:pPr>
            <w:r>
              <w:rPr>
                <w:rFonts w:hint="eastAsia" w:ascii="宋体" w:hAnsi="宋体" w:eastAsia="宋体" w:cs="宋体"/>
                <w:sz w:val="20"/>
                <w:szCs w:val="20"/>
              </w:rPr>
              <w:t>整体支出成本节约率</w:t>
            </w:r>
          </w:p>
        </w:tc>
        <w:tc>
          <w:tcPr>
            <w:tcW w:w="1204" w:type="dxa"/>
            <w:vAlign w:val="center"/>
          </w:tcPr>
          <w:p w14:paraId="01AB311D">
            <w:pPr>
              <w:pStyle w:val="10"/>
              <w:jc w:val="center"/>
            </w:pPr>
            <w:r>
              <w:rPr>
                <w:rFonts w:hint="eastAsia" w:ascii="宋体" w:hAnsi="宋体" w:eastAsia="宋体" w:cs="宋体"/>
                <w:sz w:val="20"/>
                <w:szCs w:val="20"/>
                <w:lang w:val="en-US" w:eastAsia="zh-CN"/>
              </w:rPr>
              <w:t>≥0%</w:t>
            </w:r>
          </w:p>
        </w:tc>
        <w:tc>
          <w:tcPr>
            <w:tcW w:w="1027" w:type="dxa"/>
            <w:vAlign w:val="center"/>
          </w:tcPr>
          <w:p w14:paraId="0982DB83">
            <w:pPr>
              <w:pStyle w:val="10"/>
              <w:jc w:val="center"/>
            </w:pPr>
            <w:r>
              <w:rPr>
                <w:rFonts w:hint="eastAsia" w:ascii="宋体" w:hAnsi="宋体" w:eastAsia="宋体" w:cs="宋体"/>
                <w:snapToGrid w:val="0"/>
                <w:color w:val="000000"/>
                <w:sz w:val="20"/>
                <w:szCs w:val="20"/>
                <w:lang w:val="en-US" w:eastAsia="zh-CN" w:bidi="ar-SA"/>
              </w:rPr>
              <w:t>0%</w:t>
            </w:r>
          </w:p>
        </w:tc>
        <w:tc>
          <w:tcPr>
            <w:tcW w:w="637" w:type="dxa"/>
            <w:vAlign w:val="center"/>
          </w:tcPr>
          <w:p w14:paraId="3C653887">
            <w:pPr>
              <w:pStyle w:val="10"/>
              <w:jc w:val="center"/>
              <w:rPr>
                <w:rFonts w:hint="eastAsia" w:ascii="宋体" w:hAnsi="宋体" w:eastAsia="宋体" w:cs="宋体"/>
                <w:sz w:val="20"/>
                <w:szCs w:val="20"/>
                <w:lang w:val="en-US"/>
              </w:rPr>
            </w:pPr>
            <w:r>
              <w:rPr>
                <w:rFonts w:hint="eastAsia" w:ascii="宋体" w:hAnsi="宋体" w:eastAsia="宋体" w:cs="宋体"/>
                <w:sz w:val="20"/>
                <w:szCs w:val="20"/>
                <w:lang w:val="en-US" w:eastAsia="zh-CN"/>
              </w:rPr>
              <w:t>15</w:t>
            </w:r>
          </w:p>
        </w:tc>
        <w:tc>
          <w:tcPr>
            <w:tcW w:w="738" w:type="dxa"/>
            <w:vAlign w:val="center"/>
          </w:tcPr>
          <w:p w14:paraId="514FE901">
            <w:pPr>
              <w:pStyle w:val="10"/>
              <w:jc w:val="center"/>
              <w:rPr>
                <w:rFonts w:hint="eastAsia" w:ascii="宋体" w:hAnsi="宋体" w:eastAsia="宋体" w:cs="宋体"/>
                <w:sz w:val="20"/>
                <w:szCs w:val="20"/>
                <w:lang w:val="en-US"/>
              </w:rPr>
            </w:pPr>
            <w:r>
              <w:rPr>
                <w:rFonts w:hint="eastAsia" w:ascii="宋体" w:hAnsi="宋体" w:eastAsia="宋体" w:cs="宋体"/>
                <w:sz w:val="20"/>
                <w:szCs w:val="20"/>
                <w:lang w:val="en-US" w:eastAsia="zh-CN"/>
              </w:rPr>
              <w:t>15</w:t>
            </w:r>
          </w:p>
        </w:tc>
        <w:tc>
          <w:tcPr>
            <w:tcW w:w="1237" w:type="dxa"/>
          </w:tcPr>
          <w:p w14:paraId="7EDE8B23">
            <w:pPr>
              <w:pStyle w:val="10"/>
            </w:pPr>
          </w:p>
        </w:tc>
      </w:tr>
      <w:tr w14:paraId="17FA9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131CD198">
            <w:pPr>
              <w:pStyle w:val="10"/>
            </w:pPr>
          </w:p>
        </w:tc>
        <w:tc>
          <w:tcPr>
            <w:tcW w:w="1169" w:type="dxa"/>
            <w:vMerge w:val="restart"/>
            <w:tcBorders>
              <w:bottom w:val="nil"/>
            </w:tcBorders>
          </w:tcPr>
          <w:p w14:paraId="50D4D830">
            <w:pPr>
              <w:pStyle w:val="10"/>
              <w:spacing w:line="270" w:lineRule="auto"/>
            </w:pPr>
          </w:p>
          <w:p w14:paraId="5122D183">
            <w:pPr>
              <w:pStyle w:val="10"/>
              <w:spacing w:line="271" w:lineRule="auto"/>
            </w:pPr>
          </w:p>
          <w:p w14:paraId="05CE9371">
            <w:pPr>
              <w:pStyle w:val="10"/>
              <w:spacing w:line="271" w:lineRule="auto"/>
            </w:pPr>
          </w:p>
          <w:p w14:paraId="33BBF6EB">
            <w:pPr>
              <w:pStyle w:val="10"/>
              <w:spacing w:line="271" w:lineRule="auto"/>
            </w:pPr>
          </w:p>
          <w:p w14:paraId="09EB68CE">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14:paraId="4EF9446B">
            <w:pPr>
              <w:spacing w:before="11" w:line="220" w:lineRule="auto"/>
              <w:ind w:left="270"/>
              <w:rPr>
                <w:rFonts w:ascii="宋体" w:hAnsi="宋体" w:eastAsia="宋体" w:cs="宋体"/>
                <w:sz w:val="20"/>
                <w:szCs w:val="20"/>
              </w:rPr>
            </w:pPr>
            <w:r>
              <w:rPr>
                <w:rFonts w:ascii="宋体" w:hAnsi="宋体" w:eastAsia="宋体" w:cs="宋体"/>
                <w:spacing w:val="8"/>
                <w:sz w:val="20"/>
                <w:szCs w:val="20"/>
              </w:rPr>
              <w:t>(30分)</w:t>
            </w:r>
          </w:p>
        </w:tc>
        <w:tc>
          <w:tcPr>
            <w:tcW w:w="1109" w:type="dxa"/>
            <w:tcBorders>
              <w:bottom w:val="nil"/>
            </w:tcBorders>
          </w:tcPr>
          <w:p w14:paraId="5EE98A5D">
            <w:pPr>
              <w:spacing w:before="145" w:line="216" w:lineRule="auto"/>
              <w:ind w:left="241" w:right="266"/>
              <w:rPr>
                <w:rFonts w:ascii="宋体" w:hAnsi="宋体" w:eastAsia="宋体" w:cs="宋体"/>
                <w:sz w:val="20"/>
                <w:szCs w:val="20"/>
              </w:rPr>
            </w:pPr>
            <w:r>
              <w:rPr>
                <w:rFonts w:ascii="宋体" w:hAnsi="宋体" w:eastAsia="宋体" w:cs="宋体"/>
                <w:spacing w:val="-4"/>
                <w:sz w:val="20"/>
                <w:szCs w:val="20"/>
              </w:rPr>
              <w:t>经济效益指标</w:t>
            </w:r>
          </w:p>
        </w:tc>
        <w:tc>
          <w:tcPr>
            <w:tcW w:w="1039" w:type="dxa"/>
            <w:vAlign w:val="center"/>
          </w:tcPr>
          <w:p w14:paraId="4154EB02">
            <w:pPr>
              <w:pStyle w:val="10"/>
              <w:jc w:val="center"/>
              <w:rPr>
                <w:rFonts w:hint="default" w:eastAsia="宋体"/>
                <w:lang w:val="en-US" w:eastAsia="zh-CN"/>
              </w:rPr>
            </w:pPr>
            <w:r>
              <w:rPr>
                <w:rFonts w:hint="eastAsia" w:eastAsia="宋体"/>
                <w:sz w:val="20"/>
                <w:szCs w:val="20"/>
                <w:lang w:val="en-US" w:eastAsia="zh-CN"/>
              </w:rPr>
              <w:t>不适用</w:t>
            </w:r>
          </w:p>
        </w:tc>
        <w:tc>
          <w:tcPr>
            <w:tcW w:w="1204" w:type="dxa"/>
            <w:vAlign w:val="center"/>
          </w:tcPr>
          <w:p w14:paraId="38C93248">
            <w:pPr>
              <w:pStyle w:val="10"/>
              <w:jc w:val="center"/>
            </w:pPr>
          </w:p>
        </w:tc>
        <w:tc>
          <w:tcPr>
            <w:tcW w:w="1027" w:type="dxa"/>
            <w:vAlign w:val="center"/>
          </w:tcPr>
          <w:p w14:paraId="56DFF56C">
            <w:pPr>
              <w:pStyle w:val="10"/>
              <w:jc w:val="center"/>
            </w:pPr>
          </w:p>
        </w:tc>
        <w:tc>
          <w:tcPr>
            <w:tcW w:w="637" w:type="dxa"/>
            <w:vAlign w:val="center"/>
          </w:tcPr>
          <w:p w14:paraId="55A80963">
            <w:pPr>
              <w:pStyle w:val="10"/>
              <w:jc w:val="center"/>
              <w:rPr>
                <w:rFonts w:hint="eastAsia" w:ascii="宋体" w:hAnsi="宋体" w:eastAsia="宋体" w:cs="宋体"/>
                <w:sz w:val="20"/>
                <w:szCs w:val="20"/>
              </w:rPr>
            </w:pPr>
          </w:p>
        </w:tc>
        <w:tc>
          <w:tcPr>
            <w:tcW w:w="738" w:type="dxa"/>
            <w:vAlign w:val="center"/>
          </w:tcPr>
          <w:p w14:paraId="73A1F1CE">
            <w:pPr>
              <w:pStyle w:val="10"/>
              <w:jc w:val="center"/>
              <w:rPr>
                <w:rFonts w:hint="eastAsia" w:ascii="宋体" w:hAnsi="宋体" w:eastAsia="宋体" w:cs="宋体"/>
                <w:sz w:val="20"/>
                <w:szCs w:val="20"/>
              </w:rPr>
            </w:pPr>
          </w:p>
        </w:tc>
        <w:tc>
          <w:tcPr>
            <w:tcW w:w="1237" w:type="dxa"/>
            <w:vAlign w:val="center"/>
          </w:tcPr>
          <w:p w14:paraId="105DAC3D">
            <w:pPr>
              <w:pStyle w:val="10"/>
              <w:jc w:val="center"/>
            </w:pPr>
          </w:p>
        </w:tc>
      </w:tr>
      <w:tr w14:paraId="3BCF6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042F0F43">
            <w:pPr>
              <w:pStyle w:val="10"/>
            </w:pPr>
          </w:p>
        </w:tc>
        <w:tc>
          <w:tcPr>
            <w:tcW w:w="1169" w:type="dxa"/>
            <w:vMerge w:val="continue"/>
            <w:tcBorders>
              <w:top w:val="nil"/>
              <w:bottom w:val="nil"/>
            </w:tcBorders>
          </w:tcPr>
          <w:p w14:paraId="7D9205D9">
            <w:pPr>
              <w:pStyle w:val="10"/>
            </w:pPr>
          </w:p>
        </w:tc>
        <w:tc>
          <w:tcPr>
            <w:tcW w:w="1109" w:type="dxa"/>
            <w:tcBorders>
              <w:bottom w:val="nil"/>
            </w:tcBorders>
          </w:tcPr>
          <w:p w14:paraId="1617F2ED">
            <w:pPr>
              <w:spacing w:before="124" w:line="226" w:lineRule="auto"/>
              <w:ind w:left="241" w:right="266"/>
              <w:rPr>
                <w:rFonts w:ascii="宋体" w:hAnsi="宋体" w:eastAsia="宋体" w:cs="宋体"/>
                <w:sz w:val="20"/>
                <w:szCs w:val="20"/>
              </w:rPr>
            </w:pPr>
            <w:r>
              <w:rPr>
                <w:rFonts w:ascii="宋体" w:hAnsi="宋体" w:eastAsia="宋体" w:cs="宋体"/>
                <w:spacing w:val="-4"/>
                <w:sz w:val="20"/>
                <w:szCs w:val="20"/>
              </w:rPr>
              <w:t>社会效益指标</w:t>
            </w:r>
          </w:p>
        </w:tc>
        <w:tc>
          <w:tcPr>
            <w:tcW w:w="1039" w:type="dxa"/>
            <w:vAlign w:val="center"/>
          </w:tcPr>
          <w:p w14:paraId="582C5B1A">
            <w:pPr>
              <w:pStyle w:val="10"/>
              <w:jc w:val="center"/>
              <w:rPr>
                <w:rFonts w:hint="default" w:eastAsia="宋体"/>
                <w:lang w:val="en-US" w:eastAsia="zh-CN"/>
              </w:rPr>
            </w:pPr>
            <w:r>
              <w:rPr>
                <w:rFonts w:hint="eastAsia" w:eastAsia="宋体"/>
                <w:sz w:val="20"/>
                <w:szCs w:val="20"/>
                <w:lang w:val="en-US" w:eastAsia="zh-CN"/>
              </w:rPr>
              <w:t>促进民族宗教团结</w:t>
            </w:r>
          </w:p>
        </w:tc>
        <w:tc>
          <w:tcPr>
            <w:tcW w:w="1204" w:type="dxa"/>
            <w:vAlign w:val="center"/>
          </w:tcPr>
          <w:p w14:paraId="6AFB202E">
            <w:pPr>
              <w:pStyle w:val="10"/>
              <w:jc w:val="center"/>
            </w:pPr>
            <w:r>
              <w:rPr>
                <w:rFonts w:hint="eastAsia" w:ascii="宋体" w:hAnsi="宋体" w:eastAsia="宋体" w:cs="宋体"/>
                <w:sz w:val="20"/>
                <w:szCs w:val="20"/>
              </w:rPr>
              <w:t>效果明显</w:t>
            </w:r>
          </w:p>
        </w:tc>
        <w:tc>
          <w:tcPr>
            <w:tcW w:w="1027" w:type="dxa"/>
            <w:vAlign w:val="center"/>
          </w:tcPr>
          <w:p w14:paraId="7D04F28D">
            <w:pPr>
              <w:pStyle w:val="10"/>
              <w:jc w:val="center"/>
            </w:pPr>
            <w:r>
              <w:rPr>
                <w:rFonts w:hint="eastAsia" w:ascii="宋体" w:hAnsi="宋体" w:eastAsia="宋体" w:cs="宋体"/>
                <w:sz w:val="20"/>
                <w:szCs w:val="20"/>
              </w:rPr>
              <w:t>效果明显</w:t>
            </w:r>
          </w:p>
        </w:tc>
        <w:tc>
          <w:tcPr>
            <w:tcW w:w="637" w:type="dxa"/>
            <w:vAlign w:val="center"/>
          </w:tcPr>
          <w:p w14:paraId="72EC5865">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738" w:type="dxa"/>
            <w:vAlign w:val="center"/>
          </w:tcPr>
          <w:p w14:paraId="6AA01751">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1237" w:type="dxa"/>
            <w:vAlign w:val="center"/>
          </w:tcPr>
          <w:p w14:paraId="7DBC25BB">
            <w:pPr>
              <w:pStyle w:val="10"/>
              <w:jc w:val="center"/>
            </w:pPr>
          </w:p>
        </w:tc>
      </w:tr>
      <w:tr w14:paraId="5AAE8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1144" w:type="dxa"/>
            <w:vMerge w:val="continue"/>
            <w:tcBorders>
              <w:top w:val="nil"/>
              <w:bottom w:val="nil"/>
            </w:tcBorders>
            <w:textDirection w:val="tbRlV"/>
          </w:tcPr>
          <w:p w14:paraId="1B9A8E9B">
            <w:pPr>
              <w:pStyle w:val="10"/>
            </w:pPr>
          </w:p>
        </w:tc>
        <w:tc>
          <w:tcPr>
            <w:tcW w:w="1169" w:type="dxa"/>
            <w:vMerge w:val="continue"/>
            <w:tcBorders>
              <w:top w:val="nil"/>
              <w:bottom w:val="nil"/>
            </w:tcBorders>
          </w:tcPr>
          <w:p w14:paraId="7E47FFA0">
            <w:pPr>
              <w:pStyle w:val="10"/>
            </w:pPr>
          </w:p>
        </w:tc>
        <w:tc>
          <w:tcPr>
            <w:tcW w:w="1109" w:type="dxa"/>
            <w:tcBorders>
              <w:bottom w:val="nil"/>
            </w:tcBorders>
          </w:tcPr>
          <w:p w14:paraId="2BEDC243">
            <w:pPr>
              <w:spacing w:before="145" w:line="212" w:lineRule="auto"/>
              <w:ind w:left="241" w:right="266"/>
              <w:rPr>
                <w:rFonts w:ascii="宋体" w:hAnsi="宋体" w:eastAsia="宋体" w:cs="宋体"/>
                <w:sz w:val="20"/>
                <w:szCs w:val="20"/>
              </w:rPr>
            </w:pPr>
            <w:r>
              <w:rPr>
                <w:rFonts w:ascii="宋体" w:hAnsi="宋体" w:eastAsia="宋体" w:cs="宋体"/>
                <w:spacing w:val="-4"/>
                <w:sz w:val="20"/>
                <w:szCs w:val="20"/>
              </w:rPr>
              <w:t>生态效益指标</w:t>
            </w:r>
          </w:p>
        </w:tc>
        <w:tc>
          <w:tcPr>
            <w:tcW w:w="1039" w:type="dxa"/>
            <w:vAlign w:val="center"/>
          </w:tcPr>
          <w:p w14:paraId="0E51B620">
            <w:pPr>
              <w:pStyle w:val="10"/>
              <w:jc w:val="center"/>
            </w:pPr>
            <w:r>
              <w:rPr>
                <w:rFonts w:hint="eastAsia" w:eastAsia="宋体"/>
                <w:sz w:val="20"/>
                <w:szCs w:val="20"/>
                <w:lang w:val="en-US" w:eastAsia="zh-CN"/>
              </w:rPr>
              <w:t>不适用</w:t>
            </w:r>
          </w:p>
        </w:tc>
        <w:tc>
          <w:tcPr>
            <w:tcW w:w="1204" w:type="dxa"/>
            <w:vAlign w:val="center"/>
          </w:tcPr>
          <w:p w14:paraId="31CE7756">
            <w:pPr>
              <w:pStyle w:val="10"/>
              <w:jc w:val="center"/>
            </w:pPr>
          </w:p>
        </w:tc>
        <w:tc>
          <w:tcPr>
            <w:tcW w:w="1027" w:type="dxa"/>
            <w:vAlign w:val="center"/>
          </w:tcPr>
          <w:p w14:paraId="1870E7C7">
            <w:pPr>
              <w:pStyle w:val="10"/>
              <w:jc w:val="center"/>
            </w:pPr>
          </w:p>
        </w:tc>
        <w:tc>
          <w:tcPr>
            <w:tcW w:w="637" w:type="dxa"/>
            <w:vAlign w:val="center"/>
          </w:tcPr>
          <w:p w14:paraId="669A88CE">
            <w:pPr>
              <w:pStyle w:val="10"/>
              <w:jc w:val="center"/>
              <w:rPr>
                <w:rFonts w:hint="eastAsia" w:ascii="宋体" w:hAnsi="宋体" w:eastAsia="宋体" w:cs="宋体"/>
                <w:sz w:val="20"/>
                <w:szCs w:val="20"/>
              </w:rPr>
            </w:pPr>
          </w:p>
        </w:tc>
        <w:tc>
          <w:tcPr>
            <w:tcW w:w="738" w:type="dxa"/>
            <w:vAlign w:val="center"/>
          </w:tcPr>
          <w:p w14:paraId="6E541428">
            <w:pPr>
              <w:pStyle w:val="10"/>
              <w:jc w:val="center"/>
              <w:rPr>
                <w:rFonts w:hint="eastAsia" w:ascii="宋体" w:hAnsi="宋体" w:eastAsia="宋体" w:cs="宋体"/>
                <w:sz w:val="20"/>
                <w:szCs w:val="20"/>
              </w:rPr>
            </w:pPr>
          </w:p>
        </w:tc>
        <w:tc>
          <w:tcPr>
            <w:tcW w:w="1237" w:type="dxa"/>
            <w:vAlign w:val="center"/>
          </w:tcPr>
          <w:p w14:paraId="004AE4A8">
            <w:pPr>
              <w:pStyle w:val="10"/>
              <w:jc w:val="center"/>
            </w:pPr>
          </w:p>
        </w:tc>
      </w:tr>
      <w:tr w14:paraId="45DC5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799D716B">
            <w:pPr>
              <w:pStyle w:val="10"/>
            </w:pPr>
          </w:p>
        </w:tc>
        <w:tc>
          <w:tcPr>
            <w:tcW w:w="1169" w:type="dxa"/>
            <w:vMerge w:val="continue"/>
            <w:tcBorders>
              <w:top w:val="nil"/>
              <w:bottom w:val="nil"/>
            </w:tcBorders>
          </w:tcPr>
          <w:p w14:paraId="025B3D07">
            <w:pPr>
              <w:pStyle w:val="10"/>
            </w:pPr>
          </w:p>
        </w:tc>
        <w:tc>
          <w:tcPr>
            <w:tcW w:w="1109" w:type="dxa"/>
            <w:tcBorders>
              <w:bottom w:val="nil"/>
            </w:tcBorders>
          </w:tcPr>
          <w:p w14:paraId="26CE2A98">
            <w:pPr>
              <w:spacing w:before="87" w:line="219" w:lineRule="auto"/>
              <w:ind w:left="141"/>
              <w:rPr>
                <w:rFonts w:ascii="宋体" w:hAnsi="宋体" w:eastAsia="宋体" w:cs="宋体"/>
                <w:sz w:val="20"/>
                <w:szCs w:val="20"/>
              </w:rPr>
            </w:pPr>
            <w:r>
              <w:rPr>
                <w:rFonts w:ascii="宋体" w:hAnsi="宋体" w:eastAsia="宋体" w:cs="宋体"/>
                <w:spacing w:val="-2"/>
                <w:sz w:val="20"/>
                <w:szCs w:val="20"/>
              </w:rPr>
              <w:t>可持续影</w:t>
            </w:r>
          </w:p>
          <w:p w14:paraId="2D19C51C">
            <w:pPr>
              <w:spacing w:before="23" w:line="220" w:lineRule="auto"/>
              <w:ind w:left="241"/>
              <w:rPr>
                <w:rFonts w:ascii="宋体" w:hAnsi="宋体" w:eastAsia="宋体" w:cs="宋体"/>
                <w:sz w:val="20"/>
                <w:szCs w:val="20"/>
              </w:rPr>
            </w:pPr>
            <w:r>
              <w:rPr>
                <w:rFonts w:ascii="宋体" w:hAnsi="宋体" w:eastAsia="宋体" w:cs="宋体"/>
                <w:spacing w:val="2"/>
                <w:sz w:val="20"/>
                <w:szCs w:val="20"/>
              </w:rPr>
              <w:t>响指标</w:t>
            </w:r>
          </w:p>
        </w:tc>
        <w:tc>
          <w:tcPr>
            <w:tcW w:w="1039" w:type="dxa"/>
            <w:shd w:val="clear" w:color="auto" w:fill="auto"/>
            <w:vAlign w:val="center"/>
          </w:tcPr>
          <w:p w14:paraId="3D1D2696">
            <w:pPr>
              <w:pStyle w:val="10"/>
              <w:jc w:val="center"/>
              <w:rPr>
                <w:rFonts w:hint="eastAsia" w:ascii="宋体" w:hAnsi="宋体" w:eastAsia="宋体" w:cs="宋体"/>
                <w:snapToGrid w:val="0"/>
                <w:color w:val="000000"/>
                <w:sz w:val="20"/>
                <w:szCs w:val="20"/>
                <w:lang w:val="en-US" w:eastAsia="en-US" w:bidi="ar-SA"/>
              </w:rPr>
            </w:pPr>
            <w:r>
              <w:rPr>
                <w:rFonts w:hint="eastAsia" w:ascii="宋体" w:hAnsi="宋体" w:eastAsia="宋体" w:cs="宋体"/>
                <w:sz w:val="20"/>
                <w:szCs w:val="20"/>
              </w:rPr>
              <w:t>推进</w:t>
            </w:r>
            <w:r>
              <w:rPr>
                <w:rFonts w:hint="eastAsia" w:ascii="宋体" w:hAnsi="宋体" w:eastAsia="宋体" w:cs="宋体"/>
                <w:sz w:val="20"/>
                <w:szCs w:val="20"/>
                <w:lang w:val="en-US" w:eastAsia="zh-CN"/>
              </w:rPr>
              <w:t>统战工作</w:t>
            </w:r>
            <w:r>
              <w:rPr>
                <w:rFonts w:hint="eastAsia" w:ascii="宋体" w:hAnsi="宋体" w:eastAsia="宋体" w:cs="宋体"/>
                <w:sz w:val="20"/>
                <w:szCs w:val="20"/>
              </w:rPr>
              <w:t>可持续发展</w:t>
            </w:r>
          </w:p>
        </w:tc>
        <w:tc>
          <w:tcPr>
            <w:tcW w:w="1204" w:type="dxa"/>
            <w:shd w:val="clear" w:color="auto" w:fill="auto"/>
            <w:vAlign w:val="center"/>
          </w:tcPr>
          <w:p w14:paraId="76129DB2">
            <w:pPr>
              <w:pStyle w:val="10"/>
              <w:jc w:val="center"/>
              <w:rPr>
                <w:rFonts w:hint="default"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有所提高</w:t>
            </w:r>
          </w:p>
        </w:tc>
        <w:tc>
          <w:tcPr>
            <w:tcW w:w="1027" w:type="dxa"/>
            <w:shd w:val="clear" w:color="auto" w:fill="auto"/>
            <w:vAlign w:val="center"/>
          </w:tcPr>
          <w:p w14:paraId="3EF5F5A2">
            <w:pPr>
              <w:pStyle w:val="10"/>
              <w:jc w:val="center"/>
              <w:rPr>
                <w:rFonts w:hint="eastAsia" w:ascii="宋体" w:hAnsi="宋体" w:eastAsia="宋体" w:cs="宋体"/>
                <w:snapToGrid w:val="0"/>
                <w:color w:val="000000"/>
                <w:sz w:val="20"/>
                <w:szCs w:val="20"/>
                <w:lang w:val="en-US" w:eastAsia="en-US" w:bidi="ar-SA"/>
              </w:rPr>
            </w:pPr>
            <w:r>
              <w:rPr>
                <w:rFonts w:hint="eastAsia" w:ascii="宋体" w:hAnsi="宋体" w:eastAsia="宋体" w:cs="宋体"/>
                <w:sz w:val="20"/>
                <w:szCs w:val="20"/>
                <w:lang w:val="en-US" w:eastAsia="zh-CN"/>
              </w:rPr>
              <w:t>有所提高</w:t>
            </w:r>
          </w:p>
        </w:tc>
        <w:tc>
          <w:tcPr>
            <w:tcW w:w="637" w:type="dxa"/>
            <w:shd w:val="clear" w:color="auto" w:fill="auto"/>
            <w:vAlign w:val="center"/>
          </w:tcPr>
          <w:p w14:paraId="65D4F26E">
            <w:pPr>
              <w:pStyle w:val="10"/>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15</w:t>
            </w:r>
          </w:p>
        </w:tc>
        <w:tc>
          <w:tcPr>
            <w:tcW w:w="738" w:type="dxa"/>
            <w:shd w:val="clear" w:color="auto" w:fill="auto"/>
            <w:vAlign w:val="center"/>
          </w:tcPr>
          <w:p w14:paraId="0EEC18EC">
            <w:pPr>
              <w:pStyle w:val="10"/>
              <w:jc w:val="center"/>
              <w:rPr>
                <w:rFonts w:hint="default"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13</w:t>
            </w:r>
          </w:p>
        </w:tc>
        <w:tc>
          <w:tcPr>
            <w:tcW w:w="1237" w:type="dxa"/>
          </w:tcPr>
          <w:p w14:paraId="060FCC98">
            <w:pPr>
              <w:pStyle w:val="10"/>
            </w:pPr>
          </w:p>
        </w:tc>
      </w:tr>
      <w:tr w14:paraId="52824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56DC1318">
            <w:pPr>
              <w:pStyle w:val="10"/>
            </w:pPr>
          </w:p>
        </w:tc>
        <w:tc>
          <w:tcPr>
            <w:tcW w:w="1169" w:type="dxa"/>
            <w:tcBorders>
              <w:bottom w:val="nil"/>
            </w:tcBorders>
          </w:tcPr>
          <w:p w14:paraId="78DBEE6B">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14:paraId="362FC050">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14:paraId="11F14383">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109" w:type="dxa"/>
            <w:tcBorders>
              <w:bottom w:val="nil"/>
            </w:tcBorders>
          </w:tcPr>
          <w:p w14:paraId="38743B97">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14:paraId="004BD0C9">
            <w:pPr>
              <w:spacing w:before="12" w:line="204" w:lineRule="auto"/>
              <w:ind w:left="141"/>
              <w:rPr>
                <w:rFonts w:ascii="宋体" w:hAnsi="宋体" w:eastAsia="宋体" w:cs="宋体"/>
                <w:sz w:val="20"/>
                <w:szCs w:val="20"/>
              </w:rPr>
            </w:pPr>
            <w:r>
              <w:rPr>
                <w:rFonts w:ascii="宋体" w:hAnsi="宋体" w:eastAsia="宋体" w:cs="宋体"/>
                <w:spacing w:val="3"/>
                <w:sz w:val="20"/>
                <w:szCs w:val="20"/>
              </w:rPr>
              <w:t>满意度指</w:t>
            </w:r>
          </w:p>
          <w:p w14:paraId="18B93709">
            <w:pPr>
              <w:spacing w:line="185" w:lineRule="auto"/>
              <w:ind w:left="441"/>
              <w:rPr>
                <w:rFonts w:ascii="宋体" w:hAnsi="宋体" w:eastAsia="宋体" w:cs="宋体"/>
                <w:sz w:val="20"/>
                <w:szCs w:val="20"/>
              </w:rPr>
            </w:pPr>
            <w:r>
              <w:rPr>
                <w:rFonts w:ascii="宋体" w:hAnsi="宋体" w:eastAsia="宋体" w:cs="宋体"/>
                <w:sz w:val="20"/>
                <w:szCs w:val="20"/>
              </w:rPr>
              <w:t>标</w:t>
            </w:r>
          </w:p>
        </w:tc>
        <w:tc>
          <w:tcPr>
            <w:tcW w:w="1039" w:type="dxa"/>
            <w:vAlign w:val="center"/>
          </w:tcPr>
          <w:p w14:paraId="4DB791DE">
            <w:pPr>
              <w:spacing w:before="28" w:line="219" w:lineRule="auto"/>
              <w:ind w:left="141"/>
              <w:jc w:val="center"/>
              <w:rPr>
                <w:rFonts w:ascii="宋体" w:hAnsi="宋体" w:eastAsia="宋体" w:cs="宋体"/>
                <w:sz w:val="20"/>
                <w:szCs w:val="20"/>
              </w:rPr>
            </w:pPr>
            <w:r>
              <w:rPr>
                <w:rFonts w:ascii="宋体" w:hAnsi="宋体" w:eastAsia="宋体" w:cs="宋体"/>
                <w:spacing w:val="-2"/>
                <w:sz w:val="20"/>
                <w:szCs w:val="20"/>
              </w:rPr>
              <w:t>服务对象</w:t>
            </w:r>
          </w:p>
          <w:p w14:paraId="1272AB1B">
            <w:pPr>
              <w:pStyle w:val="10"/>
              <w:jc w:val="center"/>
            </w:pPr>
            <w:r>
              <w:rPr>
                <w:rFonts w:ascii="宋体" w:hAnsi="宋体" w:eastAsia="宋体" w:cs="宋体"/>
                <w:spacing w:val="3"/>
                <w:sz w:val="20"/>
                <w:szCs w:val="20"/>
              </w:rPr>
              <w:t>满意度</w:t>
            </w:r>
          </w:p>
        </w:tc>
        <w:tc>
          <w:tcPr>
            <w:tcW w:w="1204" w:type="dxa"/>
            <w:vAlign w:val="center"/>
          </w:tcPr>
          <w:p w14:paraId="09C51F1E">
            <w:pPr>
              <w:pStyle w:val="10"/>
              <w:jc w:val="center"/>
            </w:pPr>
            <w:r>
              <w:rPr>
                <w:rFonts w:hint="eastAsia" w:ascii="宋体" w:hAnsi="宋体" w:eastAsia="宋体" w:cs="宋体"/>
                <w:sz w:val="20"/>
                <w:szCs w:val="20"/>
                <w:lang w:val="en-US" w:eastAsia="zh-CN"/>
              </w:rPr>
              <w:t>≥90%</w:t>
            </w:r>
          </w:p>
        </w:tc>
        <w:tc>
          <w:tcPr>
            <w:tcW w:w="1027" w:type="dxa"/>
            <w:vAlign w:val="center"/>
          </w:tcPr>
          <w:p w14:paraId="2AE378BA">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90%</w:t>
            </w:r>
          </w:p>
        </w:tc>
        <w:tc>
          <w:tcPr>
            <w:tcW w:w="637" w:type="dxa"/>
            <w:vAlign w:val="center"/>
          </w:tcPr>
          <w:p w14:paraId="768EABD1">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738" w:type="dxa"/>
            <w:vAlign w:val="center"/>
          </w:tcPr>
          <w:p w14:paraId="661CB69D">
            <w:pPr>
              <w:pStyle w:val="1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1237" w:type="dxa"/>
          </w:tcPr>
          <w:p w14:paraId="7E307B36">
            <w:pPr>
              <w:pStyle w:val="10"/>
              <w:rPr>
                <w:rFonts w:hint="eastAsia" w:ascii="宋体" w:hAnsi="宋体" w:eastAsia="宋体" w:cs="宋体"/>
                <w:sz w:val="20"/>
                <w:szCs w:val="20"/>
              </w:rPr>
            </w:pPr>
          </w:p>
        </w:tc>
      </w:tr>
      <w:tr w14:paraId="0D6E6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692" w:type="dxa"/>
            <w:gridSpan w:val="6"/>
          </w:tcPr>
          <w:p w14:paraId="04484817">
            <w:pPr>
              <w:spacing w:before="78" w:line="220" w:lineRule="auto"/>
              <w:ind w:left="3254"/>
              <w:rPr>
                <w:rFonts w:hint="eastAsia" w:ascii="宋体" w:hAnsi="宋体" w:eastAsia="宋体" w:cs="宋体"/>
                <w:sz w:val="20"/>
                <w:szCs w:val="20"/>
              </w:rPr>
            </w:pPr>
            <w:r>
              <w:rPr>
                <w:rFonts w:hint="eastAsia" w:ascii="宋体" w:hAnsi="宋体" w:eastAsia="宋体" w:cs="宋体"/>
                <w:spacing w:val="4"/>
                <w:sz w:val="20"/>
                <w:szCs w:val="20"/>
              </w:rPr>
              <w:t>总分</w:t>
            </w:r>
          </w:p>
        </w:tc>
        <w:tc>
          <w:tcPr>
            <w:tcW w:w="637" w:type="dxa"/>
          </w:tcPr>
          <w:p w14:paraId="1D7A1443">
            <w:pPr>
              <w:spacing w:before="128" w:line="184" w:lineRule="auto"/>
              <w:ind w:left="196"/>
              <w:rPr>
                <w:rFonts w:hint="eastAsia" w:ascii="宋体" w:hAnsi="宋体" w:eastAsia="宋体" w:cs="宋体"/>
                <w:sz w:val="20"/>
                <w:szCs w:val="20"/>
                <w:lang w:val="en-US" w:eastAsia="zh-CN"/>
              </w:rPr>
            </w:pPr>
            <w:r>
              <w:rPr>
                <w:rFonts w:hint="eastAsia" w:ascii="宋体" w:hAnsi="宋体" w:eastAsia="宋体" w:cs="宋体"/>
                <w:spacing w:val="-6"/>
                <w:sz w:val="20"/>
                <w:szCs w:val="20"/>
                <w:lang w:val="en-US" w:eastAsia="zh-CN"/>
              </w:rPr>
              <w:t>100</w:t>
            </w:r>
          </w:p>
        </w:tc>
        <w:tc>
          <w:tcPr>
            <w:tcW w:w="738" w:type="dxa"/>
            <w:vAlign w:val="center"/>
          </w:tcPr>
          <w:p w14:paraId="744C520F">
            <w:pPr>
              <w:pStyle w:val="10"/>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98</w:t>
            </w:r>
          </w:p>
        </w:tc>
        <w:tc>
          <w:tcPr>
            <w:tcW w:w="1237" w:type="dxa"/>
          </w:tcPr>
          <w:p w14:paraId="17B69FFB">
            <w:pPr>
              <w:pStyle w:val="10"/>
              <w:rPr>
                <w:rFonts w:hint="eastAsia" w:ascii="宋体" w:hAnsi="宋体" w:eastAsia="宋体" w:cs="宋体"/>
                <w:sz w:val="20"/>
                <w:szCs w:val="20"/>
              </w:rPr>
            </w:pPr>
          </w:p>
        </w:tc>
      </w:tr>
    </w:tbl>
    <w:p w14:paraId="6E67BC33">
      <w:pPr>
        <w:pStyle w:val="2"/>
        <w:spacing w:before="12" w:line="285" w:lineRule="auto"/>
        <w:ind w:right="285" w:firstLine="420" w:firstLineChars="200"/>
        <w:rPr>
          <w:rFonts w:ascii="宋体" w:hAnsi="宋体" w:eastAsia="宋体" w:cs="宋体"/>
          <w:sz w:val="21"/>
          <w:szCs w:val="21"/>
        </w:rPr>
      </w:pPr>
    </w:p>
    <w:p w14:paraId="22917CC4">
      <w:pPr>
        <w:pStyle w:val="2"/>
        <w:spacing w:before="12" w:line="285" w:lineRule="auto"/>
        <w:ind w:right="285" w:firstLine="420" w:firstLineChars="200"/>
        <w:rPr>
          <w:sz w:val="23"/>
          <w:szCs w:val="23"/>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段丹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2024.10.17        </w:t>
      </w:r>
      <w:r>
        <w:rPr>
          <w:rFonts w:ascii="宋体" w:hAnsi="宋体" w:eastAsia="宋体" w:cs="宋体"/>
          <w:sz w:val="21"/>
          <w:szCs w:val="21"/>
          <w:lang w:eastAsia="zh-CN"/>
        </w:rPr>
        <w:t>联系电话：</w:t>
      </w:r>
      <w:r>
        <w:rPr>
          <w:rFonts w:hint="eastAsia" w:ascii="宋体" w:hAnsi="宋体" w:eastAsia="宋体" w:cs="宋体"/>
          <w:sz w:val="21"/>
          <w:szCs w:val="21"/>
          <w:lang w:eastAsia="zh-CN"/>
        </w:rPr>
        <w:t>13787406611</w:t>
      </w: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Yu Gothic UI Light">
    <w:panose1 w:val="020B03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 w:name="Yu Gothic UI Semilight">
    <w:panose1 w:val="020B0400000000000000"/>
    <w:charset w:val="80"/>
    <w:family w:val="auto"/>
    <w:pitch w:val="default"/>
    <w:sig w:usb0="E00002FF" w:usb1="2AC7FDFF" w:usb2="00000016" w:usb3="00000000" w:csb0="2002009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4E1EC6C2">
        <w:pPr>
          <w:pStyle w:val="4"/>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2AA68FD9">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24570">
    <w:pPr>
      <w:pStyle w:val="4"/>
      <w:jc w:val="center"/>
    </w:pPr>
    <w:r>
      <w:fldChar w:fldCharType="begin"/>
    </w:r>
    <w:r>
      <w:instrText xml:space="preserve"> PAGE   \* MERGEFORMAT </w:instrText>
    </w:r>
    <w:r>
      <w:fldChar w:fldCharType="separate"/>
    </w:r>
    <w:r>
      <w:rPr>
        <w:lang w:val="zh-CN"/>
      </w:rPr>
      <w:t>-</w:t>
    </w:r>
    <w:r>
      <w:t xml:space="preserve"> 10 -</w:t>
    </w:r>
    <w:r>
      <w:fldChar w:fldCharType="end"/>
    </w:r>
  </w:p>
  <w:p w14:paraId="5E40D9BB">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845E6">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28569C"/>
    <w:multiLevelType w:val="singleLevel"/>
    <w:tmpl w:val="F628569C"/>
    <w:lvl w:ilvl="0" w:tentative="0">
      <w:start w:val="3"/>
      <w:numFmt w:val="chineseCounting"/>
      <w:lvlText w:val="(%1)"/>
      <w:lvlJc w:val="left"/>
      <w:pPr>
        <w:tabs>
          <w:tab w:val="left" w:pos="312"/>
        </w:tabs>
      </w:pPr>
      <w:rPr>
        <w:rFonts w:hint="eastAsia"/>
      </w:rPr>
    </w:lvl>
  </w:abstractNum>
  <w:abstractNum w:abstractNumId="1">
    <w:nsid w:val="41265698"/>
    <w:multiLevelType w:val="singleLevel"/>
    <w:tmpl w:val="41265698"/>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M2NkOWNmMTc5ZWI0N2FiMTg1N2JkZWJiYzRiOGUxMzQifQ=="/>
  </w:docVars>
  <w:rsids>
    <w:rsidRoot w:val="00D65F4E"/>
    <w:rsid w:val="00252DD3"/>
    <w:rsid w:val="003A0F30"/>
    <w:rsid w:val="006B3AFB"/>
    <w:rsid w:val="00814CEE"/>
    <w:rsid w:val="00BF52BD"/>
    <w:rsid w:val="00C24372"/>
    <w:rsid w:val="00D65F4E"/>
    <w:rsid w:val="010333FC"/>
    <w:rsid w:val="0D0A17F5"/>
    <w:rsid w:val="0E552DBD"/>
    <w:rsid w:val="11074842"/>
    <w:rsid w:val="132711CC"/>
    <w:rsid w:val="157C4894"/>
    <w:rsid w:val="177C4139"/>
    <w:rsid w:val="183710C7"/>
    <w:rsid w:val="18583BD5"/>
    <w:rsid w:val="19D572C9"/>
    <w:rsid w:val="1D5A3F4C"/>
    <w:rsid w:val="1E2702D2"/>
    <w:rsid w:val="1EB63404"/>
    <w:rsid w:val="1EBF42B5"/>
    <w:rsid w:val="1FF73CD4"/>
    <w:rsid w:val="204607B7"/>
    <w:rsid w:val="20D96E81"/>
    <w:rsid w:val="22665141"/>
    <w:rsid w:val="2412732E"/>
    <w:rsid w:val="25050C41"/>
    <w:rsid w:val="26121868"/>
    <w:rsid w:val="2A9F38E6"/>
    <w:rsid w:val="2BAC62BA"/>
    <w:rsid w:val="2C302A48"/>
    <w:rsid w:val="2CCF04B2"/>
    <w:rsid w:val="2FB41BE1"/>
    <w:rsid w:val="2FECE574"/>
    <w:rsid w:val="317F372C"/>
    <w:rsid w:val="31A6555A"/>
    <w:rsid w:val="325A4C76"/>
    <w:rsid w:val="338B0EAB"/>
    <w:rsid w:val="34781430"/>
    <w:rsid w:val="34A51AF9"/>
    <w:rsid w:val="3C722C08"/>
    <w:rsid w:val="3D934BE4"/>
    <w:rsid w:val="3E444130"/>
    <w:rsid w:val="3F7D3D52"/>
    <w:rsid w:val="3F9DD004"/>
    <w:rsid w:val="4037219F"/>
    <w:rsid w:val="41432DC5"/>
    <w:rsid w:val="4348021F"/>
    <w:rsid w:val="4352109E"/>
    <w:rsid w:val="44DA134B"/>
    <w:rsid w:val="467E6554"/>
    <w:rsid w:val="4B8D7117"/>
    <w:rsid w:val="4D8B4E1A"/>
    <w:rsid w:val="4F22401A"/>
    <w:rsid w:val="4F3BC71C"/>
    <w:rsid w:val="50334005"/>
    <w:rsid w:val="51BC0756"/>
    <w:rsid w:val="527908A5"/>
    <w:rsid w:val="52F23E0A"/>
    <w:rsid w:val="53095C1D"/>
    <w:rsid w:val="5886561A"/>
    <w:rsid w:val="58F46A27"/>
    <w:rsid w:val="59883613"/>
    <w:rsid w:val="5E5D3851"/>
    <w:rsid w:val="606A5821"/>
    <w:rsid w:val="61A60ADB"/>
    <w:rsid w:val="62D13935"/>
    <w:rsid w:val="64F46DC7"/>
    <w:rsid w:val="66A46F3B"/>
    <w:rsid w:val="66F81DD8"/>
    <w:rsid w:val="673BA62A"/>
    <w:rsid w:val="69BE2739"/>
    <w:rsid w:val="6B9145AA"/>
    <w:rsid w:val="6BD7A7ED"/>
    <w:rsid w:val="6C313697"/>
    <w:rsid w:val="6DC11C06"/>
    <w:rsid w:val="72333E41"/>
    <w:rsid w:val="72BA2638"/>
    <w:rsid w:val="74293E44"/>
    <w:rsid w:val="749D3FBF"/>
    <w:rsid w:val="75ECE37B"/>
    <w:rsid w:val="76880357"/>
    <w:rsid w:val="76EE465E"/>
    <w:rsid w:val="77476464"/>
    <w:rsid w:val="78120820"/>
    <w:rsid w:val="79053EE1"/>
    <w:rsid w:val="7B0F1047"/>
    <w:rsid w:val="7C7F423C"/>
    <w:rsid w:val="7D0821F2"/>
    <w:rsid w:val="7D9341B1"/>
    <w:rsid w:val="7FDF548C"/>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qFormat/>
    <w:uiPriority w:val="0"/>
    <w:rPr>
      <w:rFonts w:ascii="仿宋" w:hAnsi="仿宋" w:eastAsia="仿宋" w:cs="仿宋"/>
      <w:sz w:val="36"/>
      <w:szCs w:val="36"/>
    </w:rPr>
  </w:style>
  <w:style w:type="paragraph" w:styleId="3">
    <w:name w:val="toc 5"/>
    <w:basedOn w:val="1"/>
    <w:next w:val="1"/>
    <w:qFormat/>
    <w:uiPriority w:val="0"/>
    <w:pPr>
      <w:ind w:left="1680" w:leftChars="800"/>
    </w:pPr>
    <w:rPr>
      <w:rFonts w:ascii="Times New Roman" w:hAnsi="Times New Roman"/>
    </w:rPr>
  </w:style>
  <w:style w:type="paragraph" w:styleId="4">
    <w:name w:val="footer"/>
    <w:basedOn w:val="1"/>
    <w:next w:val="1"/>
    <w:link w:val="12"/>
    <w:qFormat/>
    <w:uiPriority w:val="99"/>
    <w:pPr>
      <w:tabs>
        <w:tab w:val="center" w:pos="4153"/>
        <w:tab w:val="right" w:pos="8306"/>
      </w:tabs>
    </w:pPr>
    <w:rPr>
      <w:sz w:val="18"/>
      <w:szCs w:val="18"/>
    </w:rPr>
  </w:style>
  <w:style w:type="paragraph" w:styleId="5">
    <w:name w:val="header"/>
    <w:basedOn w:val="1"/>
    <w:link w:val="11"/>
    <w:qFormat/>
    <w:uiPriority w:val="0"/>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style>
  <w:style w:type="character" w:customStyle="1" w:styleId="11">
    <w:name w:val="页眉 Char"/>
    <w:basedOn w:val="8"/>
    <w:link w:val="5"/>
    <w:qFormat/>
    <w:uiPriority w:val="0"/>
    <w:rPr>
      <w:rFonts w:eastAsia="Arial"/>
      <w:snapToGrid w:val="0"/>
      <w:color w:val="000000"/>
      <w:sz w:val="18"/>
      <w:szCs w:val="18"/>
      <w:lang w:eastAsia="en-US"/>
    </w:rPr>
  </w:style>
  <w:style w:type="character" w:customStyle="1" w:styleId="12">
    <w:name w:val="页脚 Char"/>
    <w:basedOn w:val="8"/>
    <w:link w:val="4"/>
    <w:qFormat/>
    <w:uiPriority w:val="99"/>
    <w:rPr>
      <w:rFonts w:eastAsia="Arial"/>
      <w:snapToGrid w:val="0"/>
      <w:color w:val="000000"/>
      <w:sz w:val="18"/>
      <w:szCs w:val="18"/>
      <w:lang w:eastAsia="en-US"/>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5349</Words>
  <Characters>6068</Characters>
  <Lines>38</Lines>
  <Paragraphs>10</Paragraphs>
  <TotalTime>3</TotalTime>
  <ScaleCrop>false</ScaleCrop>
  <LinksUpToDate>false</LinksUpToDate>
  <CharactersWithSpaces>6290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cp:lastModifiedBy>
  <cp:lastPrinted>2024-09-21T01:17:00Z</cp:lastPrinted>
  <dcterms:modified xsi:type="dcterms:W3CDTF">2024-10-29T01:22:05Z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2052-12.1.0.18608</vt:lpwstr>
  </property>
  <property fmtid="{D5CDD505-2E9C-101B-9397-08002B2CF9AE}" pid="6" name="ICV">
    <vt:lpwstr>F8BBAB61D70643589D34BC9FCA491FB2_13</vt:lpwstr>
  </property>
</Properties>
</file>