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F2273E0">
      <w:pPr>
        <w:spacing w:line="600" w:lineRule="exact"/>
        <w:rPr>
          <w:rFonts w:eastAsia="黑体"/>
          <w:sz w:val="32"/>
          <w:szCs w:val="32"/>
        </w:rPr>
      </w:pPr>
    </w:p>
    <w:p w14:paraId="38906913">
      <w:pPr>
        <w:spacing w:line="600" w:lineRule="exact"/>
        <w:rPr>
          <w:rFonts w:eastAsia="黑体"/>
          <w:sz w:val="32"/>
          <w:szCs w:val="32"/>
        </w:rPr>
      </w:pPr>
    </w:p>
    <w:p w14:paraId="11F579C0">
      <w:pPr>
        <w:spacing w:line="600" w:lineRule="exact"/>
        <w:rPr>
          <w:rFonts w:eastAsia="黑体"/>
          <w:sz w:val="32"/>
          <w:szCs w:val="32"/>
        </w:rPr>
      </w:pPr>
    </w:p>
    <w:p w14:paraId="45612937">
      <w:pPr>
        <w:spacing w:line="600" w:lineRule="exact"/>
        <w:rPr>
          <w:rFonts w:eastAsia="黑体"/>
          <w:sz w:val="32"/>
          <w:szCs w:val="32"/>
        </w:rPr>
      </w:pPr>
    </w:p>
    <w:p w14:paraId="7A3B939C">
      <w:pPr>
        <w:jc w:val="center"/>
        <w:rPr>
          <w:rFonts w:eastAsia="方正小标宋_GBK"/>
          <w:sz w:val="52"/>
          <w:szCs w:val="52"/>
        </w:rPr>
      </w:pPr>
    </w:p>
    <w:p w14:paraId="5AC35CAD">
      <w:pPr>
        <w:jc w:val="center"/>
        <w:rPr>
          <w:rFonts w:eastAsia="方正小标宋_GBK"/>
          <w:sz w:val="52"/>
          <w:szCs w:val="52"/>
        </w:rPr>
      </w:pPr>
    </w:p>
    <w:p w14:paraId="53A15543">
      <w:pPr>
        <w:jc w:val="center"/>
        <w:rPr>
          <w:rFonts w:hint="eastAsia" w:eastAsia="方正小标宋_GBK"/>
          <w:sz w:val="52"/>
          <w:szCs w:val="52"/>
        </w:rPr>
      </w:pPr>
      <w:r>
        <w:rPr>
          <w:rFonts w:eastAsia="方正小标宋_GBK"/>
          <w:sz w:val="52"/>
          <w:szCs w:val="52"/>
        </w:rPr>
        <w:t>202</w:t>
      </w:r>
      <w:r>
        <w:rPr>
          <w:rFonts w:hint="eastAsia" w:eastAsia="方正小标宋_GBK"/>
          <w:sz w:val="52"/>
          <w:szCs w:val="52"/>
          <w:lang w:val="en-US" w:eastAsia="zh-CN"/>
        </w:rPr>
        <w:t>3</w:t>
      </w:r>
      <w:r>
        <w:rPr>
          <w:rFonts w:eastAsia="方正小标宋_GBK"/>
          <w:sz w:val="52"/>
          <w:szCs w:val="52"/>
        </w:rPr>
        <w:t>年度</w:t>
      </w:r>
      <w:r>
        <w:rPr>
          <w:rFonts w:hint="eastAsia" w:eastAsia="方正小标宋_GBK"/>
          <w:sz w:val="52"/>
          <w:szCs w:val="52"/>
        </w:rPr>
        <w:t>怀化市</w:t>
      </w:r>
      <w:r>
        <w:rPr>
          <w:rFonts w:hint="eastAsia" w:eastAsia="方正小标宋_GBK"/>
          <w:sz w:val="52"/>
          <w:szCs w:val="52"/>
          <w:lang w:val="en-US" w:eastAsia="zh-CN"/>
        </w:rPr>
        <w:t>东晟</w:t>
      </w:r>
      <w:r>
        <w:rPr>
          <w:rFonts w:hint="eastAsia" w:eastAsia="方正小标宋_GBK"/>
          <w:sz w:val="52"/>
          <w:szCs w:val="52"/>
        </w:rPr>
        <w:t>中学</w:t>
      </w:r>
    </w:p>
    <w:p w14:paraId="686DDAB0">
      <w:pPr>
        <w:jc w:val="center"/>
        <w:rPr>
          <w:rFonts w:eastAsia="方正小标宋_GBK"/>
          <w:sz w:val="52"/>
          <w:szCs w:val="52"/>
        </w:rPr>
      </w:pPr>
      <w:bookmarkStart w:id="0" w:name="_GoBack"/>
      <w:r>
        <w:rPr>
          <w:rFonts w:eastAsia="方正小标宋_GBK"/>
          <w:sz w:val="52"/>
          <w:szCs w:val="52"/>
        </w:rPr>
        <w:t>整体支出</w:t>
      </w:r>
      <w:bookmarkEnd w:id="0"/>
      <w:r>
        <w:rPr>
          <w:rFonts w:eastAsia="方正小标宋_GBK"/>
          <w:sz w:val="52"/>
          <w:szCs w:val="52"/>
        </w:rPr>
        <w:t>绩效自评报告</w:t>
      </w:r>
    </w:p>
    <w:p w14:paraId="7DAC07D3">
      <w:pPr>
        <w:rPr>
          <w:rFonts w:eastAsia="楷体_GB2312"/>
          <w:b/>
          <w:sz w:val="32"/>
          <w:szCs w:val="32"/>
        </w:rPr>
      </w:pPr>
    </w:p>
    <w:p w14:paraId="5FA2F8CC">
      <w:pPr>
        <w:jc w:val="center"/>
        <w:rPr>
          <w:rFonts w:eastAsia="黑体"/>
          <w:sz w:val="32"/>
          <w:szCs w:val="32"/>
        </w:rPr>
      </w:pPr>
    </w:p>
    <w:p w14:paraId="32994402">
      <w:pPr>
        <w:jc w:val="center"/>
        <w:rPr>
          <w:rFonts w:eastAsia="黑体"/>
          <w:sz w:val="32"/>
          <w:szCs w:val="32"/>
        </w:rPr>
      </w:pPr>
    </w:p>
    <w:p w14:paraId="6171140C">
      <w:pPr>
        <w:jc w:val="center"/>
        <w:rPr>
          <w:rFonts w:eastAsia="黑体"/>
          <w:sz w:val="32"/>
          <w:szCs w:val="32"/>
        </w:rPr>
      </w:pPr>
    </w:p>
    <w:p w14:paraId="483EBC95">
      <w:pPr>
        <w:jc w:val="center"/>
        <w:rPr>
          <w:rFonts w:eastAsia="黑体"/>
          <w:sz w:val="32"/>
          <w:szCs w:val="32"/>
        </w:rPr>
      </w:pPr>
    </w:p>
    <w:p w14:paraId="62799A79">
      <w:pPr>
        <w:jc w:val="center"/>
        <w:rPr>
          <w:rFonts w:eastAsia="黑体"/>
          <w:sz w:val="32"/>
          <w:szCs w:val="32"/>
        </w:rPr>
      </w:pPr>
    </w:p>
    <w:p w14:paraId="78D57603">
      <w:pPr>
        <w:jc w:val="center"/>
        <w:rPr>
          <w:rFonts w:eastAsia="黑体"/>
          <w:sz w:val="32"/>
          <w:szCs w:val="32"/>
        </w:rPr>
      </w:pPr>
    </w:p>
    <w:p w14:paraId="687C868F">
      <w:pPr>
        <w:rPr>
          <w:rFonts w:eastAsia="黑体"/>
          <w:sz w:val="32"/>
          <w:szCs w:val="32"/>
        </w:rPr>
      </w:pPr>
    </w:p>
    <w:p w14:paraId="2BB9F428">
      <w:pPr>
        <w:jc w:val="center"/>
        <w:rPr>
          <w:rFonts w:eastAsia="黑体"/>
          <w:sz w:val="32"/>
          <w:szCs w:val="32"/>
        </w:rPr>
      </w:pPr>
    </w:p>
    <w:p w14:paraId="2B0056FD">
      <w:pPr>
        <w:spacing w:line="600" w:lineRule="exact"/>
        <w:ind w:firstLine="1920" w:firstLineChars="600"/>
        <w:rPr>
          <w:rFonts w:eastAsia="仿宋_GB2312"/>
          <w:sz w:val="32"/>
          <w:szCs w:val="32"/>
        </w:rPr>
      </w:pPr>
    </w:p>
    <w:p w14:paraId="02F3CCFA">
      <w:pPr>
        <w:spacing w:line="600" w:lineRule="exact"/>
        <w:ind w:firstLine="1920" w:firstLineChars="600"/>
        <w:rPr>
          <w:rFonts w:eastAsia="仿宋_GB2312"/>
          <w:sz w:val="32"/>
          <w:szCs w:val="32"/>
        </w:rPr>
      </w:pPr>
    </w:p>
    <w:p w14:paraId="63F5D753">
      <w:pPr>
        <w:spacing w:line="600" w:lineRule="exact"/>
        <w:ind w:firstLine="1920" w:firstLineChars="600"/>
        <w:rPr>
          <w:rFonts w:eastAsia="仿宋_GB2312"/>
          <w:sz w:val="32"/>
          <w:szCs w:val="32"/>
        </w:rPr>
      </w:pPr>
    </w:p>
    <w:p w14:paraId="2B9387E8">
      <w:pPr>
        <w:spacing w:line="600" w:lineRule="exact"/>
        <w:ind w:firstLine="2240" w:firstLineChars="700"/>
        <w:rPr>
          <w:rFonts w:eastAsia="仿宋_GB2312"/>
          <w:sz w:val="32"/>
          <w:szCs w:val="32"/>
          <w:u w:val="single"/>
        </w:rPr>
      </w:pPr>
      <w:r>
        <w:rPr>
          <w:rFonts w:eastAsia="仿宋_GB2312"/>
          <w:sz w:val="32"/>
          <w:szCs w:val="32"/>
        </w:rPr>
        <w:t>单位名称：</w:t>
      </w:r>
      <w:r>
        <w:rPr>
          <w:rFonts w:hint="eastAsia" w:eastAsia="仿宋_GB2312"/>
          <w:sz w:val="32"/>
          <w:szCs w:val="32"/>
          <w:u w:val="single"/>
          <w:lang w:val="en-US" w:eastAsia="zh-CN"/>
        </w:rPr>
        <w:t>怀化市东晟中学</w:t>
      </w:r>
      <w:r>
        <w:rPr>
          <w:rFonts w:eastAsia="仿宋_GB2312"/>
          <w:sz w:val="32"/>
          <w:szCs w:val="32"/>
          <w:u w:val="single"/>
        </w:rPr>
        <w:t xml:space="preserve"> </w:t>
      </w:r>
    </w:p>
    <w:p w14:paraId="2A5BC7C1">
      <w:pPr>
        <w:spacing w:line="600" w:lineRule="exact"/>
        <w:ind w:firstLine="3200" w:firstLineChars="1000"/>
        <w:rPr>
          <w:rFonts w:eastAsia="楷体_GB2312"/>
          <w:sz w:val="32"/>
          <w:szCs w:val="32"/>
        </w:rPr>
      </w:pPr>
      <w:r>
        <w:rPr>
          <w:rFonts w:hint="eastAsia" w:eastAsia="楷体_GB2312"/>
          <w:sz w:val="32"/>
          <w:szCs w:val="32"/>
        </w:rPr>
        <w:t>202</w:t>
      </w:r>
      <w:r>
        <w:rPr>
          <w:rFonts w:hint="eastAsia" w:eastAsia="楷体_GB2312"/>
          <w:sz w:val="32"/>
          <w:szCs w:val="32"/>
          <w:lang w:val="en-US" w:eastAsia="zh-CN"/>
        </w:rPr>
        <w:t>4</w:t>
      </w:r>
      <w:r>
        <w:rPr>
          <w:rFonts w:eastAsia="楷体_GB2312"/>
          <w:sz w:val="32"/>
          <w:szCs w:val="32"/>
        </w:rPr>
        <w:t xml:space="preserve">年 </w:t>
      </w:r>
      <w:r>
        <w:rPr>
          <w:rFonts w:hint="eastAsia" w:eastAsia="楷体_GB2312"/>
          <w:sz w:val="32"/>
          <w:szCs w:val="32"/>
          <w:lang w:val="en-US" w:eastAsia="zh-CN"/>
        </w:rPr>
        <w:t>10</w:t>
      </w:r>
      <w:r>
        <w:rPr>
          <w:rFonts w:eastAsia="楷体_GB2312"/>
          <w:sz w:val="32"/>
          <w:szCs w:val="32"/>
        </w:rPr>
        <w:t xml:space="preserve">月 </w:t>
      </w:r>
      <w:r>
        <w:rPr>
          <w:rFonts w:hint="eastAsia" w:eastAsia="楷体_GB2312"/>
          <w:sz w:val="32"/>
          <w:szCs w:val="32"/>
          <w:lang w:val="en-US" w:eastAsia="zh-CN"/>
        </w:rPr>
        <w:t>29</w:t>
      </w:r>
      <w:r>
        <w:rPr>
          <w:rFonts w:eastAsia="楷体_GB2312"/>
          <w:sz w:val="32"/>
          <w:szCs w:val="32"/>
        </w:rPr>
        <w:t xml:space="preserve"> 日</w:t>
      </w:r>
    </w:p>
    <w:p w14:paraId="3BEC188D">
      <w:pPr>
        <w:jc w:val="center"/>
        <w:rPr>
          <w:rFonts w:eastAsia="黑体"/>
          <w:sz w:val="32"/>
          <w:szCs w:val="32"/>
        </w:rPr>
      </w:pPr>
    </w:p>
    <w:p w14:paraId="10795C5B">
      <w:pPr>
        <w:pStyle w:val="2"/>
        <w:widowControl w:val="0"/>
        <w:kinsoku/>
        <w:overflowPunct w:val="0"/>
        <w:spacing w:line="360" w:lineRule="auto"/>
        <w:rPr>
          <w:spacing w:val="17"/>
          <w:sz w:val="32"/>
          <w:szCs w:val="32"/>
          <w:lang w:eastAsia="zh-CN"/>
        </w:rPr>
      </w:pPr>
    </w:p>
    <w:p w14:paraId="17A832D2">
      <w:pPr>
        <w:pStyle w:val="2"/>
        <w:widowControl w:val="0"/>
        <w:kinsoku/>
        <w:overflowPunct w:val="0"/>
        <w:spacing w:line="360" w:lineRule="auto"/>
        <w:rPr>
          <w:spacing w:val="17"/>
          <w:sz w:val="32"/>
          <w:szCs w:val="32"/>
          <w:lang w:eastAsia="zh-CN"/>
        </w:rPr>
      </w:pPr>
    </w:p>
    <w:p w14:paraId="0A015FEA">
      <w:pPr>
        <w:widowControl w:val="0"/>
        <w:kinsoku/>
        <w:overflowPunct w:val="0"/>
        <w:spacing w:line="360" w:lineRule="auto"/>
        <w:ind w:firstLine="855" w:firstLineChars="200"/>
        <w:jc w:val="center"/>
        <w:rPr>
          <w:rFonts w:ascii="宋体" w:hAnsi="宋体" w:eastAsia="宋体" w:cs="宋体"/>
          <w:b/>
          <w:bCs/>
          <w:spacing w:val="-7"/>
          <w:sz w:val="44"/>
          <w:szCs w:val="44"/>
          <w:lang w:eastAsia="zh-CN"/>
        </w:rPr>
      </w:pPr>
    </w:p>
    <w:p w14:paraId="28014D1B">
      <w:pPr>
        <w:widowControl w:val="0"/>
        <w:kinsoku/>
        <w:overflowPunct w:val="0"/>
        <w:spacing w:line="360" w:lineRule="auto"/>
        <w:ind w:firstLine="855" w:firstLineChars="200"/>
        <w:jc w:val="center"/>
        <w:rPr>
          <w:rFonts w:ascii="宋体" w:hAnsi="宋体" w:eastAsia="宋体" w:cs="宋体"/>
          <w:sz w:val="44"/>
          <w:szCs w:val="44"/>
          <w:lang w:eastAsia="zh-CN"/>
        </w:rPr>
      </w:pPr>
      <w:r>
        <w:rPr>
          <w:rFonts w:ascii="宋体" w:hAnsi="宋体" w:eastAsia="宋体" w:cs="宋体"/>
          <w:b/>
          <w:bCs/>
          <w:spacing w:val="-7"/>
          <w:sz w:val="44"/>
          <w:szCs w:val="44"/>
          <w:lang w:eastAsia="zh-CN"/>
        </w:rPr>
        <w:t>部门整体支出绩效自评报告</w:t>
      </w:r>
    </w:p>
    <w:p w14:paraId="4E8FA6F4">
      <w:pPr>
        <w:widowControl w:val="0"/>
        <w:kinsoku/>
        <w:overflowPunct w:val="0"/>
        <w:spacing w:line="360" w:lineRule="auto"/>
        <w:ind w:firstLine="640" w:firstLineChars="200"/>
        <w:rPr>
          <w:sz w:val="32"/>
          <w:szCs w:val="32"/>
          <w:lang w:eastAsia="zh-CN"/>
        </w:rPr>
      </w:pPr>
    </w:p>
    <w:p w14:paraId="456EC683">
      <w:pPr>
        <w:widowControl w:val="0"/>
        <w:kinsoku/>
        <w:overflowPunct w:val="0"/>
        <w:spacing w:line="360" w:lineRule="auto"/>
        <w:ind w:firstLine="603" w:firstLineChars="200"/>
        <w:outlineLvl w:val="6"/>
        <w:rPr>
          <w:rFonts w:ascii="黑体" w:hAnsi="黑体" w:eastAsia="黑体" w:cs="黑体"/>
          <w:sz w:val="32"/>
          <w:szCs w:val="32"/>
          <w:lang w:eastAsia="zh-CN"/>
        </w:rPr>
      </w:pPr>
      <w:r>
        <w:rPr>
          <w:rFonts w:ascii="黑体" w:hAnsi="黑体" w:eastAsia="黑体" w:cs="黑体"/>
          <w:b/>
          <w:bCs/>
          <w:spacing w:val="-10"/>
          <w:sz w:val="32"/>
          <w:szCs w:val="32"/>
          <w:lang w:eastAsia="zh-CN"/>
        </w:rPr>
        <w:t>一、部门、单位基本情况</w:t>
      </w:r>
    </w:p>
    <w:p w14:paraId="0931C80E">
      <w:pPr>
        <w:widowControl w:val="0"/>
        <w:kinsoku/>
        <w:overflowPunct w:val="0"/>
        <w:spacing w:line="360" w:lineRule="auto"/>
        <w:ind w:firstLine="684" w:firstLineChars="200"/>
        <w:rPr>
          <w:rFonts w:ascii="楷体" w:hAnsi="楷体" w:eastAsia="楷体" w:cs="楷体"/>
          <w:spacing w:val="11"/>
          <w:sz w:val="32"/>
          <w:szCs w:val="32"/>
          <w:lang w:eastAsia="zh-CN"/>
        </w:rPr>
      </w:pPr>
      <w:r>
        <w:rPr>
          <w:rFonts w:ascii="楷体" w:hAnsi="楷体" w:eastAsia="楷体" w:cs="楷体"/>
          <w:spacing w:val="11"/>
          <w:sz w:val="32"/>
          <w:szCs w:val="32"/>
          <w:lang w:eastAsia="zh-CN"/>
        </w:rPr>
        <w:t>(一)机构设置情况</w:t>
      </w:r>
    </w:p>
    <w:p w14:paraId="08514E6F">
      <w:pPr>
        <w:pStyle w:val="6"/>
        <w:ind w:firstLine="840" w:firstLineChars="300"/>
        <w:rPr>
          <w:rFonts w:ascii="楷体" w:hAnsi="楷体" w:eastAsia="楷体" w:cs="楷体"/>
          <w:spacing w:val="11"/>
          <w:sz w:val="32"/>
          <w:szCs w:val="32"/>
          <w:lang w:eastAsia="zh-CN"/>
        </w:rPr>
      </w:pPr>
      <w:r>
        <w:rPr>
          <w:rFonts w:hint="eastAsia" w:ascii="Times New Roman" w:hAnsi="Times New Roman" w:eastAsia="宋体" w:cs="Times New Roman"/>
          <w:color w:val="333333"/>
          <w:sz w:val="28"/>
          <w:szCs w:val="28"/>
        </w:rPr>
        <w:t>学校的主要职责是：贯彻落实党的教育方针及有关教育工作的政策、法律、法规、规章，实</w:t>
      </w:r>
      <w:r>
        <w:rPr>
          <w:rFonts w:hint="eastAsia"/>
          <w:color w:val="333333"/>
          <w:sz w:val="28"/>
          <w:szCs w:val="28"/>
        </w:rPr>
        <w:t>施</w:t>
      </w:r>
      <w:r>
        <w:rPr>
          <w:rFonts w:hint="eastAsia"/>
          <w:color w:val="333333"/>
          <w:sz w:val="28"/>
          <w:szCs w:val="28"/>
          <w:lang w:val="en-US" w:eastAsia="zh-CN"/>
        </w:rPr>
        <w:t>中</w:t>
      </w:r>
      <w:r>
        <w:rPr>
          <w:rFonts w:hint="eastAsia"/>
          <w:color w:val="333333"/>
          <w:sz w:val="28"/>
          <w:szCs w:val="28"/>
        </w:rPr>
        <w:t>小学义务教育，促进基础教育发展。</w:t>
      </w:r>
      <w:r>
        <w:rPr>
          <w:rFonts w:hint="eastAsia"/>
          <w:sz w:val="28"/>
          <w:szCs w:val="28"/>
        </w:rPr>
        <w:t>内设机构设置，</w:t>
      </w:r>
      <w:r>
        <w:rPr>
          <w:rFonts w:hint="eastAsia"/>
          <w:sz w:val="28"/>
          <w:szCs w:val="28"/>
          <w:lang w:val="en-US" w:eastAsia="zh-CN"/>
        </w:rPr>
        <w:t>10</w:t>
      </w:r>
      <w:r>
        <w:rPr>
          <w:rFonts w:hint="eastAsia" w:cs="仿宋"/>
          <w:sz w:val="28"/>
          <w:szCs w:val="28"/>
        </w:rPr>
        <w:t>个职能处室：学校办公室、校长室、工会、党支部、总务处、教务处、德育处、教研室、</w:t>
      </w:r>
      <w:r>
        <w:rPr>
          <w:rFonts w:hint="eastAsia" w:cs="仿宋"/>
          <w:sz w:val="28"/>
          <w:szCs w:val="28"/>
          <w:lang w:eastAsia="zh-CN"/>
        </w:rPr>
        <w:t>总务处、安监办</w:t>
      </w:r>
      <w:r>
        <w:rPr>
          <w:rFonts w:hint="eastAsia" w:cs="仿宋"/>
          <w:sz w:val="28"/>
          <w:szCs w:val="28"/>
        </w:rPr>
        <w:t>。</w:t>
      </w:r>
    </w:p>
    <w:p w14:paraId="1917405E">
      <w:pPr>
        <w:widowControl w:val="0"/>
        <w:numPr>
          <w:ilvl w:val="0"/>
          <w:numId w:val="0"/>
        </w:numPr>
        <w:kinsoku/>
        <w:overflowPunct w:val="0"/>
        <w:spacing w:line="360" w:lineRule="auto"/>
        <w:ind w:firstLine="672" w:firstLineChars="200"/>
        <w:rPr>
          <w:rFonts w:ascii="楷体" w:hAnsi="楷体" w:eastAsia="楷体" w:cs="楷体"/>
          <w:spacing w:val="8"/>
          <w:sz w:val="32"/>
          <w:szCs w:val="32"/>
          <w:lang w:eastAsia="zh-CN"/>
        </w:rPr>
      </w:pPr>
      <w:r>
        <w:rPr>
          <w:rFonts w:hint="eastAsia" w:ascii="楷体" w:hAnsi="楷体" w:eastAsia="楷体" w:cs="楷体"/>
          <w:spacing w:val="8"/>
          <w:sz w:val="32"/>
          <w:szCs w:val="32"/>
          <w:lang w:eastAsia="zh-CN"/>
        </w:rPr>
        <w:t>（二）</w:t>
      </w:r>
      <w:r>
        <w:rPr>
          <w:rFonts w:ascii="楷体" w:hAnsi="楷体" w:eastAsia="楷体" w:cs="楷体"/>
          <w:spacing w:val="8"/>
          <w:sz w:val="32"/>
          <w:szCs w:val="32"/>
          <w:lang w:eastAsia="zh-CN"/>
        </w:rPr>
        <w:t>人员编制情况</w:t>
      </w:r>
    </w:p>
    <w:p w14:paraId="14B93AD8">
      <w:pPr>
        <w:widowControl w:val="0"/>
        <w:numPr>
          <w:ilvl w:val="0"/>
          <w:numId w:val="0"/>
        </w:numPr>
        <w:kinsoku/>
        <w:overflowPunct w:val="0"/>
        <w:spacing w:line="360" w:lineRule="auto"/>
        <w:ind w:firstLine="840" w:firstLineChars="300"/>
        <w:rPr>
          <w:rFonts w:hint="default" w:ascii="楷体" w:hAnsi="楷体" w:eastAsia="楷体" w:cs="楷体"/>
          <w:spacing w:val="8"/>
          <w:sz w:val="32"/>
          <w:szCs w:val="32"/>
          <w:lang w:val="en-US" w:eastAsia="zh-CN"/>
        </w:rPr>
      </w:pPr>
      <w:r>
        <w:rPr>
          <w:rFonts w:hint="eastAsia" w:ascii="Times New Roman" w:hAnsi="Times New Roman" w:eastAsia="宋体" w:cs="Times New Roman"/>
          <w:color w:val="333333"/>
          <w:kern w:val="2"/>
          <w:sz w:val="28"/>
          <w:szCs w:val="28"/>
          <w:lang w:val="en-US" w:eastAsia="zh-CN" w:bidi="ar-SA"/>
        </w:rPr>
        <w:t>我校是独立核算的财政全额拨款事业单位，执行事业单位会计制度，2023年末</w:t>
      </w:r>
      <w:r>
        <w:rPr>
          <w:rFonts w:hint="eastAsia" w:ascii="Times New Roman" w:hAnsi="Times New Roman" w:eastAsia="宋体" w:cs="Times New Roman"/>
          <w:color w:val="333333"/>
          <w:kern w:val="0"/>
          <w:sz w:val="28"/>
          <w:szCs w:val="28"/>
          <w:lang w:val="en-US" w:eastAsia="zh-CN" w:bidi="ar"/>
        </w:rPr>
        <w:t>我校有在职教师</w:t>
      </w:r>
      <w:r>
        <w:rPr>
          <w:rFonts w:hint="eastAsia" w:ascii="Times New Roman" w:hAnsi="Times New Roman" w:cs="Times New Roman"/>
          <w:color w:val="333333"/>
          <w:kern w:val="0"/>
          <w:sz w:val="28"/>
          <w:szCs w:val="28"/>
          <w:lang w:val="en-US" w:eastAsia="zh-CN" w:bidi="ar"/>
        </w:rPr>
        <w:t>120</w:t>
      </w:r>
      <w:r>
        <w:rPr>
          <w:rFonts w:hint="eastAsia" w:ascii="Times New Roman" w:hAnsi="Times New Roman" w:eastAsia="宋体" w:cs="Times New Roman"/>
          <w:color w:val="333333"/>
          <w:kern w:val="0"/>
          <w:sz w:val="28"/>
          <w:szCs w:val="28"/>
          <w:lang w:val="en-US" w:eastAsia="zh-CN" w:bidi="ar"/>
        </w:rPr>
        <w:t>人，在编教师98人，</w:t>
      </w:r>
      <w:r>
        <w:rPr>
          <w:rFonts w:hint="eastAsia" w:ascii="Times New Roman" w:hAnsi="Times New Roman" w:eastAsia="宋体" w:cs="Times New Roman"/>
          <w:color w:val="333333"/>
          <w:kern w:val="2"/>
          <w:sz w:val="28"/>
          <w:szCs w:val="28"/>
          <w:lang w:val="en-US" w:eastAsia="zh-CN" w:bidi="ar-SA"/>
        </w:rPr>
        <w:t>聘用代课教师23人，</w:t>
      </w:r>
      <w:r>
        <w:rPr>
          <w:rFonts w:hint="eastAsia" w:ascii="Times New Roman" w:hAnsi="Times New Roman" w:eastAsia="宋体" w:cs="Times New Roman"/>
          <w:color w:val="333333"/>
          <w:kern w:val="0"/>
          <w:sz w:val="28"/>
          <w:szCs w:val="28"/>
          <w:lang w:val="en-US" w:eastAsia="zh-CN" w:bidi="ar"/>
        </w:rPr>
        <w:t>退休教师4</w:t>
      </w:r>
      <w:r>
        <w:rPr>
          <w:rFonts w:hint="eastAsia" w:ascii="Times New Roman" w:hAnsi="Times New Roman" w:cs="Times New Roman"/>
          <w:color w:val="333333"/>
          <w:kern w:val="0"/>
          <w:sz w:val="28"/>
          <w:szCs w:val="28"/>
          <w:lang w:val="en-US" w:eastAsia="zh-CN" w:bidi="ar"/>
        </w:rPr>
        <w:t>8</w:t>
      </w:r>
      <w:r>
        <w:rPr>
          <w:rFonts w:hint="eastAsia" w:ascii="Times New Roman" w:hAnsi="Times New Roman" w:eastAsia="宋体" w:cs="Times New Roman"/>
          <w:color w:val="333333"/>
          <w:kern w:val="0"/>
          <w:sz w:val="28"/>
          <w:szCs w:val="28"/>
          <w:lang w:val="en-US" w:eastAsia="zh-CN" w:bidi="ar"/>
        </w:rPr>
        <w:t>人。</w:t>
      </w:r>
    </w:p>
    <w:p w14:paraId="0C41568A">
      <w:pPr>
        <w:widowControl w:val="0"/>
        <w:numPr>
          <w:ilvl w:val="0"/>
          <w:numId w:val="0"/>
        </w:numPr>
        <w:kinsoku/>
        <w:overflowPunct w:val="0"/>
        <w:spacing w:line="360" w:lineRule="auto"/>
        <w:ind w:leftChars="200" w:firstLine="340" w:firstLineChars="100"/>
        <w:rPr>
          <w:rFonts w:ascii="楷体" w:hAnsi="楷体" w:eastAsia="楷体" w:cs="楷体"/>
          <w:spacing w:val="10"/>
          <w:sz w:val="32"/>
          <w:szCs w:val="32"/>
          <w:lang w:eastAsia="zh-CN"/>
        </w:rPr>
      </w:pPr>
      <w:r>
        <w:rPr>
          <w:rFonts w:hint="eastAsia" w:ascii="楷体" w:hAnsi="楷体" w:eastAsia="楷体" w:cs="楷体"/>
          <w:spacing w:val="10"/>
          <w:sz w:val="32"/>
          <w:szCs w:val="32"/>
          <w:lang w:eastAsia="zh-CN"/>
        </w:rPr>
        <w:t>（三）</w:t>
      </w:r>
      <w:r>
        <w:rPr>
          <w:rFonts w:ascii="楷体" w:hAnsi="楷体" w:eastAsia="楷体" w:cs="楷体"/>
          <w:spacing w:val="10"/>
          <w:sz w:val="32"/>
          <w:szCs w:val="32"/>
          <w:lang w:eastAsia="zh-CN"/>
        </w:rPr>
        <w:t>主要职能职责</w:t>
      </w:r>
    </w:p>
    <w:p w14:paraId="10863C94">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75" w:afterAutospacing="0" w:line="360" w:lineRule="auto"/>
        <w:ind w:left="0" w:right="0" w:firstLine="840" w:firstLineChars="300"/>
        <w:jc w:val="both"/>
        <w:textAlignment w:val="auto"/>
        <w:rPr>
          <w:rFonts w:ascii="楷体" w:hAnsi="楷体" w:eastAsia="楷体" w:cs="楷体"/>
          <w:spacing w:val="10"/>
          <w:sz w:val="32"/>
          <w:szCs w:val="32"/>
          <w:lang w:eastAsia="zh-CN"/>
        </w:rPr>
      </w:pPr>
      <w:r>
        <w:rPr>
          <w:rFonts w:hint="eastAsia" w:ascii="Times New Roman" w:hAnsi="Times New Roman" w:eastAsia="宋体" w:cs="Times New Roman"/>
          <w:snapToGrid w:val="0"/>
          <w:color w:val="333333"/>
          <w:kern w:val="2"/>
          <w:sz w:val="28"/>
          <w:szCs w:val="28"/>
          <w:lang w:val="en-US" w:eastAsia="zh-CN" w:bidi="ar-SA"/>
        </w:rPr>
        <w:t>单位职责主要是实施初中义务教育，促进教育事业发展。初中学历教育教改实验（相关社会服务）。</w:t>
      </w:r>
    </w:p>
    <w:p w14:paraId="524874EF">
      <w:pPr>
        <w:widowControl w:val="0"/>
        <w:kinsoku/>
        <w:overflowPunct w:val="0"/>
        <w:spacing w:line="360" w:lineRule="auto"/>
        <w:ind w:firstLine="676" w:firstLineChars="200"/>
        <w:rPr>
          <w:rFonts w:ascii="楷体" w:hAnsi="楷体" w:eastAsia="楷体" w:cs="楷体"/>
          <w:sz w:val="32"/>
          <w:szCs w:val="32"/>
          <w:lang w:eastAsia="zh-CN"/>
        </w:rPr>
      </w:pPr>
      <w:r>
        <w:rPr>
          <w:rFonts w:ascii="楷体" w:hAnsi="楷体" w:eastAsia="楷体" w:cs="楷体"/>
          <w:spacing w:val="9"/>
          <w:sz w:val="32"/>
          <w:szCs w:val="32"/>
          <w:lang w:eastAsia="zh-CN"/>
        </w:rPr>
        <w:t>(四)绩效目标设定情况</w:t>
      </w:r>
    </w:p>
    <w:p w14:paraId="6F0B6F05">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75" w:afterAutospacing="0" w:line="360" w:lineRule="auto"/>
        <w:ind w:left="0" w:right="0" w:firstLine="840" w:firstLineChars="300"/>
        <w:jc w:val="both"/>
        <w:textAlignment w:val="auto"/>
        <w:rPr>
          <w:rFonts w:hint="eastAsia" w:ascii="Times New Roman" w:hAnsi="Times New Roman" w:eastAsia="宋体" w:cs="Times New Roman"/>
          <w:snapToGrid w:val="0"/>
          <w:color w:val="333333"/>
          <w:kern w:val="2"/>
          <w:sz w:val="28"/>
          <w:szCs w:val="28"/>
          <w:lang w:val="en-US" w:eastAsia="zh-CN" w:bidi="ar-SA"/>
        </w:rPr>
      </w:pPr>
      <w:r>
        <w:rPr>
          <w:rFonts w:hint="eastAsia" w:ascii="Times New Roman" w:hAnsi="Times New Roman" w:eastAsia="宋体" w:cs="Times New Roman"/>
          <w:snapToGrid w:val="0"/>
          <w:color w:val="333333"/>
          <w:kern w:val="2"/>
          <w:sz w:val="28"/>
          <w:szCs w:val="28"/>
          <w:lang w:val="en-US" w:eastAsia="zh-CN" w:bidi="ar-SA"/>
        </w:rPr>
        <w:t>1、以习近平新时代中国特色社会主义思想和党的十九大精神为指导，根据校领导班子确立的“强管理、重实效、提质量、促发展”的办学思想，围绕学校“精、特、新”的办学目标，学校办公室全体成员发扬团结协作、敬业奉献精神，以促进学生发展、教师发展、学校发展为根本，加强信息工作，加强制度建设，提高工作效率，推进学校各项工作顺利开展。</w:t>
      </w:r>
    </w:p>
    <w:p w14:paraId="237CABF9">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75" w:afterAutospacing="0" w:line="360" w:lineRule="auto"/>
        <w:ind w:left="0" w:right="0" w:firstLine="840" w:firstLineChars="300"/>
        <w:jc w:val="both"/>
        <w:textAlignment w:val="auto"/>
        <w:rPr>
          <w:rFonts w:hint="eastAsia" w:ascii="Times New Roman" w:hAnsi="Times New Roman" w:eastAsia="宋体" w:cs="Times New Roman"/>
          <w:snapToGrid w:val="0"/>
          <w:color w:val="333333"/>
          <w:kern w:val="2"/>
          <w:sz w:val="28"/>
          <w:szCs w:val="28"/>
          <w:lang w:val="en-US" w:eastAsia="zh-CN" w:bidi="ar-SA"/>
        </w:rPr>
      </w:pPr>
      <w:r>
        <w:rPr>
          <w:rFonts w:hint="eastAsia" w:ascii="Times New Roman" w:hAnsi="Times New Roman" w:eastAsia="宋体" w:cs="Times New Roman"/>
          <w:snapToGrid w:val="0"/>
          <w:color w:val="333333"/>
          <w:kern w:val="2"/>
          <w:sz w:val="28"/>
          <w:szCs w:val="28"/>
          <w:lang w:val="en-US" w:eastAsia="zh-CN" w:bidi="ar-SA"/>
        </w:rPr>
        <w:t>2、充分发挥办公室的参谋、协调和服务职能，努力改进工作方法，克服瓶颈思维的束缚，提高工作效率，使办公室工作达到制度化、规范化、科学化，努力提高办公室成员的整体素质和服务意识，创设良好的服务育人新环境。</w:t>
      </w:r>
    </w:p>
    <w:p w14:paraId="07F42876">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75" w:afterAutospacing="0" w:line="360" w:lineRule="auto"/>
        <w:ind w:left="0" w:right="0" w:firstLine="840" w:firstLineChars="300"/>
        <w:jc w:val="both"/>
        <w:textAlignment w:val="auto"/>
        <w:rPr>
          <w:rFonts w:hint="eastAsia" w:ascii="Times New Roman" w:hAnsi="Times New Roman" w:eastAsia="宋体" w:cs="Times New Roman"/>
          <w:snapToGrid w:val="0"/>
          <w:color w:val="333333"/>
          <w:kern w:val="2"/>
          <w:sz w:val="28"/>
          <w:szCs w:val="28"/>
          <w:lang w:val="en-US" w:eastAsia="zh-CN" w:bidi="ar-SA"/>
        </w:rPr>
      </w:pPr>
      <w:r>
        <w:rPr>
          <w:rFonts w:hint="eastAsia" w:ascii="Times New Roman" w:hAnsi="Times New Roman" w:eastAsia="宋体" w:cs="Times New Roman"/>
          <w:snapToGrid w:val="0"/>
          <w:color w:val="333333"/>
          <w:kern w:val="2"/>
          <w:sz w:val="28"/>
          <w:szCs w:val="28"/>
          <w:lang w:val="en-US" w:eastAsia="zh-CN" w:bidi="ar-SA"/>
        </w:rPr>
        <w:t>3、注重校园生态环境的建设，美丽的校园，始终展示愉悦宜人的感染力。开展富有特色的社会实践活动。让校园体艺节成为我校传统、特色活动。推进校园文化建设，让生命教育成为我校德育亮点，并再次完成市文明校园的申报工作。</w:t>
      </w:r>
    </w:p>
    <w:p w14:paraId="4A5AFC5F">
      <w:pPr>
        <w:widowControl w:val="0"/>
        <w:kinsoku/>
        <w:overflowPunct w:val="0"/>
        <w:spacing w:line="360" w:lineRule="auto"/>
        <w:ind w:firstLine="583" w:firstLineChars="200"/>
        <w:outlineLvl w:val="6"/>
        <w:rPr>
          <w:rFonts w:ascii="黑体" w:hAnsi="黑体" w:eastAsia="黑体" w:cs="黑体"/>
          <w:b/>
          <w:bCs/>
          <w:spacing w:val="-15"/>
          <w:sz w:val="32"/>
          <w:szCs w:val="32"/>
          <w:lang w:eastAsia="zh-CN"/>
        </w:rPr>
      </w:pPr>
    </w:p>
    <w:p w14:paraId="55EE8868">
      <w:pPr>
        <w:widowControl w:val="0"/>
        <w:kinsoku/>
        <w:overflowPunct w:val="0"/>
        <w:spacing w:line="360" w:lineRule="auto"/>
        <w:ind w:firstLine="583" w:firstLineChars="200"/>
        <w:outlineLvl w:val="6"/>
        <w:rPr>
          <w:rFonts w:ascii="黑体" w:hAnsi="黑体" w:eastAsia="黑体" w:cs="黑体"/>
          <w:sz w:val="32"/>
          <w:szCs w:val="32"/>
          <w:lang w:eastAsia="zh-CN"/>
        </w:rPr>
      </w:pPr>
      <w:r>
        <w:rPr>
          <w:rFonts w:ascii="黑体" w:hAnsi="黑体" w:eastAsia="黑体" w:cs="黑体"/>
          <w:b/>
          <w:bCs/>
          <w:spacing w:val="-15"/>
          <w:sz w:val="32"/>
          <w:szCs w:val="32"/>
          <w:lang w:eastAsia="zh-CN"/>
        </w:rPr>
        <w:t>二、部门整体支出管理及使用情况</w:t>
      </w:r>
    </w:p>
    <w:p w14:paraId="588AB30E">
      <w:pPr>
        <w:widowControl w:val="0"/>
        <w:kinsoku/>
        <w:overflowPunct w:val="0"/>
        <w:spacing w:line="360" w:lineRule="auto"/>
        <w:ind w:firstLine="644" w:firstLineChars="200"/>
        <w:rPr>
          <w:rFonts w:ascii="楷体" w:hAnsi="楷体" w:eastAsia="楷体" w:cs="楷体"/>
          <w:sz w:val="32"/>
          <w:szCs w:val="32"/>
          <w:lang w:eastAsia="zh-CN"/>
        </w:rPr>
      </w:pPr>
      <w:r>
        <w:rPr>
          <w:rFonts w:ascii="楷体" w:hAnsi="楷体" w:eastAsia="楷体" w:cs="楷体"/>
          <w:spacing w:val="1"/>
          <w:sz w:val="32"/>
          <w:szCs w:val="32"/>
          <w:lang w:eastAsia="zh-CN"/>
        </w:rPr>
        <w:t>(一)预算执行、使用、管理总体情况。</w:t>
      </w:r>
    </w:p>
    <w:p w14:paraId="5DB0617E">
      <w:pPr>
        <w:widowControl w:val="0"/>
        <w:kinsoku/>
        <w:overflowPunct w:val="0"/>
        <w:spacing w:line="360" w:lineRule="auto"/>
        <w:ind w:firstLine="840" w:firstLineChars="300"/>
        <w:rPr>
          <w:rFonts w:hint="eastAsia" w:ascii="Times New Roman" w:hAnsi="Times New Roman" w:eastAsia="宋体" w:cs="Times New Roman"/>
          <w:snapToGrid w:val="0"/>
          <w:color w:val="333333"/>
          <w:kern w:val="2"/>
          <w:sz w:val="28"/>
          <w:szCs w:val="28"/>
          <w:lang w:val="en-US" w:eastAsia="zh-CN" w:bidi="ar-SA"/>
        </w:rPr>
      </w:pPr>
      <w:r>
        <w:rPr>
          <w:rFonts w:hint="eastAsia" w:ascii="Times New Roman" w:hAnsi="Times New Roman" w:eastAsia="宋体" w:cs="Times New Roman"/>
          <w:snapToGrid w:val="0"/>
          <w:color w:val="333333"/>
          <w:kern w:val="2"/>
          <w:sz w:val="28"/>
          <w:szCs w:val="28"/>
          <w:lang w:val="en-US" w:eastAsia="zh-CN" w:bidi="ar-SA"/>
        </w:rPr>
        <w:t>我单位2023年预算执行率为100%，严格使用预算一体化系统，按照预算一体化的规范要求使用资金。</w:t>
      </w:r>
    </w:p>
    <w:p w14:paraId="530AF9E7">
      <w:pPr>
        <w:widowControl w:val="0"/>
        <w:kinsoku/>
        <w:overflowPunct w:val="0"/>
        <w:spacing w:line="360" w:lineRule="auto"/>
        <w:ind w:firstLine="676" w:firstLineChars="200"/>
        <w:rPr>
          <w:spacing w:val="-5"/>
          <w:sz w:val="32"/>
          <w:szCs w:val="32"/>
          <w:lang w:eastAsia="zh-CN"/>
        </w:rPr>
      </w:pPr>
      <w:r>
        <w:rPr>
          <w:rFonts w:ascii="楷体" w:hAnsi="楷体" w:eastAsia="楷体" w:cs="楷体"/>
          <w:spacing w:val="9"/>
          <w:sz w:val="32"/>
          <w:szCs w:val="32"/>
          <w:lang w:eastAsia="zh-CN"/>
        </w:rPr>
        <w:t>(二)部门预算执行情况</w:t>
      </w:r>
    </w:p>
    <w:p w14:paraId="2DF0AC99">
      <w:pPr>
        <w:pStyle w:val="2"/>
        <w:widowControl w:val="0"/>
        <w:kinsoku/>
        <w:overflowPunct w:val="0"/>
        <w:spacing w:line="360" w:lineRule="auto"/>
        <w:ind w:firstLine="620" w:firstLineChars="200"/>
        <w:rPr>
          <w:spacing w:val="-5"/>
          <w:sz w:val="32"/>
          <w:szCs w:val="32"/>
          <w:lang w:eastAsia="zh-CN"/>
        </w:rPr>
      </w:pPr>
      <w:r>
        <w:rPr>
          <w:spacing w:val="-5"/>
          <w:sz w:val="32"/>
          <w:szCs w:val="32"/>
          <w:lang w:eastAsia="zh-CN"/>
        </w:rPr>
        <w:t>1.基本支出情况</w:t>
      </w:r>
    </w:p>
    <w:p w14:paraId="6A7ECD48">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75" w:afterAutospacing="0" w:line="360" w:lineRule="auto"/>
        <w:ind w:right="0" w:firstLine="840" w:firstLineChars="300"/>
        <w:jc w:val="both"/>
        <w:textAlignment w:val="auto"/>
        <w:rPr>
          <w:rFonts w:hint="eastAsia" w:ascii="Times New Roman" w:hAnsi="Times New Roman" w:eastAsia="宋体" w:cs="Times New Roman"/>
          <w:snapToGrid w:val="0"/>
          <w:color w:val="333333"/>
          <w:kern w:val="2"/>
          <w:sz w:val="28"/>
          <w:szCs w:val="28"/>
          <w:lang w:val="en-US" w:eastAsia="zh-CN" w:bidi="ar-SA"/>
        </w:rPr>
      </w:pPr>
      <w:r>
        <w:rPr>
          <w:rFonts w:hint="eastAsia" w:ascii="Times New Roman" w:hAnsi="Times New Roman" w:eastAsia="宋体" w:cs="Times New Roman"/>
          <w:snapToGrid w:val="0"/>
          <w:color w:val="333333"/>
          <w:kern w:val="2"/>
          <w:sz w:val="28"/>
          <w:szCs w:val="28"/>
          <w:lang w:val="en-US" w:eastAsia="zh-CN" w:bidi="ar-SA"/>
        </w:rPr>
        <w:t>本部门基本支出主要用于维持学校正常运转发生的基本支出和完成各项教育教学任务而发生的各项支出。</w:t>
      </w:r>
    </w:p>
    <w:p w14:paraId="16D4CFBB">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75" w:afterAutospacing="0" w:line="360" w:lineRule="auto"/>
        <w:ind w:left="0" w:right="0" w:firstLine="840" w:firstLineChars="300"/>
        <w:jc w:val="both"/>
        <w:textAlignment w:val="auto"/>
        <w:rPr>
          <w:rFonts w:hint="eastAsia" w:ascii="Times New Roman" w:hAnsi="Times New Roman" w:eastAsia="宋体" w:cs="Times New Roman"/>
          <w:snapToGrid w:val="0"/>
          <w:color w:val="333333"/>
          <w:kern w:val="2"/>
          <w:sz w:val="28"/>
          <w:szCs w:val="28"/>
          <w:lang w:val="en-US" w:eastAsia="zh-CN" w:bidi="ar-SA"/>
        </w:rPr>
      </w:pPr>
      <w:r>
        <w:rPr>
          <w:rFonts w:hint="eastAsia" w:ascii="Times New Roman" w:hAnsi="Times New Roman" w:eastAsia="宋体" w:cs="Times New Roman"/>
          <w:snapToGrid w:val="0"/>
          <w:color w:val="333333"/>
          <w:kern w:val="2"/>
          <w:sz w:val="28"/>
          <w:szCs w:val="28"/>
          <w:lang w:val="en-US" w:eastAsia="zh-CN" w:bidi="ar-SA"/>
        </w:rPr>
        <w:t>本年基本支出1761.28万元，其中：</w:t>
      </w:r>
    </w:p>
    <w:p w14:paraId="03E98F42">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75" w:afterAutospacing="0" w:line="360" w:lineRule="auto"/>
        <w:ind w:left="0" w:right="0" w:firstLine="840" w:firstLineChars="300"/>
        <w:jc w:val="both"/>
        <w:textAlignment w:val="auto"/>
        <w:rPr>
          <w:rFonts w:hint="eastAsia" w:ascii="Times New Roman" w:hAnsi="Times New Roman" w:eastAsia="宋体" w:cs="Times New Roman"/>
          <w:snapToGrid w:val="0"/>
          <w:color w:val="333333"/>
          <w:kern w:val="2"/>
          <w:sz w:val="28"/>
          <w:szCs w:val="28"/>
          <w:lang w:val="en-US" w:eastAsia="zh-CN" w:bidi="ar-SA"/>
        </w:rPr>
      </w:pPr>
      <w:r>
        <w:rPr>
          <w:rFonts w:hint="eastAsia" w:ascii="Times New Roman" w:hAnsi="Times New Roman" w:eastAsia="宋体" w:cs="Times New Roman"/>
          <w:snapToGrid w:val="0"/>
          <w:color w:val="333333"/>
          <w:kern w:val="2"/>
          <w:sz w:val="28"/>
          <w:szCs w:val="28"/>
          <w:lang w:val="en-US" w:eastAsia="zh-CN" w:bidi="ar-SA"/>
        </w:rPr>
        <w:t>（1）人员经费支出：1438.54万元，占基本支出82%，其中：工资福利支出1423.7万元，对个人和家庭补助支出14.85万元。</w:t>
      </w:r>
    </w:p>
    <w:p w14:paraId="6CFB8434">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75" w:afterAutospacing="0" w:line="360" w:lineRule="auto"/>
        <w:ind w:left="0" w:right="0" w:firstLine="840" w:firstLineChars="300"/>
        <w:jc w:val="both"/>
        <w:textAlignment w:val="auto"/>
        <w:rPr>
          <w:spacing w:val="-2"/>
          <w:sz w:val="32"/>
          <w:szCs w:val="32"/>
          <w:lang w:eastAsia="zh-CN"/>
        </w:rPr>
      </w:pPr>
      <w:r>
        <w:rPr>
          <w:rFonts w:hint="eastAsia" w:ascii="Times New Roman" w:hAnsi="Times New Roman" w:eastAsia="宋体" w:cs="Times New Roman"/>
          <w:snapToGrid w:val="0"/>
          <w:color w:val="333333"/>
          <w:kern w:val="2"/>
          <w:sz w:val="28"/>
          <w:szCs w:val="28"/>
          <w:lang w:val="en-US" w:eastAsia="zh-CN" w:bidi="ar-SA"/>
        </w:rPr>
        <w:t>（2）日常公用支出322.74万元，占基本支出18.3%，用于我校正常基本运行而发生的费用，包括办公费、水电费、邮电费、物业管理费、差旅费、培训费、维修费、专用材料费、三公经费、租赁费、劳务费、计提的福利费、其他交通费、保安费、其他商品和服务支出（用于学生的经费）。</w:t>
      </w:r>
    </w:p>
    <w:p w14:paraId="1FF04F3E">
      <w:pPr>
        <w:pStyle w:val="2"/>
        <w:widowControl w:val="0"/>
        <w:kinsoku/>
        <w:overflowPunct w:val="0"/>
        <w:spacing w:line="360" w:lineRule="auto"/>
        <w:ind w:firstLine="632" w:firstLineChars="200"/>
        <w:rPr>
          <w:sz w:val="32"/>
          <w:szCs w:val="32"/>
          <w:lang w:eastAsia="zh-CN"/>
        </w:rPr>
      </w:pPr>
      <w:r>
        <w:rPr>
          <w:spacing w:val="-2"/>
          <w:sz w:val="32"/>
          <w:szCs w:val="32"/>
          <w:lang w:eastAsia="zh-CN"/>
        </w:rPr>
        <w:t>2.项目支出情况</w:t>
      </w:r>
    </w:p>
    <w:p w14:paraId="50628666">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75" w:afterAutospacing="0" w:line="360" w:lineRule="auto"/>
        <w:ind w:left="0" w:right="0" w:firstLine="840" w:firstLineChars="300"/>
        <w:jc w:val="both"/>
        <w:textAlignment w:val="auto"/>
        <w:rPr>
          <w:rFonts w:hint="eastAsia" w:ascii="Times New Roman" w:hAnsi="Times New Roman" w:eastAsia="宋体" w:cs="Times New Roman"/>
          <w:snapToGrid w:val="0"/>
          <w:color w:val="333333"/>
          <w:kern w:val="2"/>
          <w:sz w:val="28"/>
          <w:szCs w:val="28"/>
          <w:lang w:val="en-US" w:eastAsia="zh-CN" w:bidi="ar-SA"/>
        </w:rPr>
      </w:pPr>
      <w:r>
        <w:rPr>
          <w:rFonts w:hint="eastAsia" w:ascii="Times New Roman" w:hAnsi="Times New Roman" w:eastAsia="宋体" w:cs="Times New Roman"/>
          <w:snapToGrid w:val="0"/>
          <w:color w:val="333333"/>
          <w:kern w:val="2"/>
          <w:sz w:val="28"/>
          <w:szCs w:val="28"/>
          <w:lang w:val="en-US" w:eastAsia="zh-CN" w:bidi="ar-SA"/>
        </w:rPr>
        <w:t>2023年我单位收到项目资金共290.56万元。具体支出情况如下：</w:t>
      </w:r>
    </w:p>
    <w:p w14:paraId="4AF5D2A4">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75" w:afterAutospacing="0" w:line="360" w:lineRule="auto"/>
        <w:ind w:left="0" w:right="0" w:firstLine="840" w:firstLineChars="300"/>
        <w:jc w:val="both"/>
        <w:textAlignment w:val="auto"/>
        <w:rPr>
          <w:rFonts w:hint="eastAsia" w:ascii="Times New Roman" w:hAnsi="Times New Roman" w:eastAsia="宋体" w:cs="Times New Roman"/>
          <w:snapToGrid w:val="0"/>
          <w:color w:val="333333"/>
          <w:kern w:val="2"/>
          <w:sz w:val="28"/>
          <w:szCs w:val="28"/>
          <w:lang w:val="en-US" w:eastAsia="zh-CN" w:bidi="ar-SA"/>
        </w:rPr>
      </w:pPr>
      <w:r>
        <w:rPr>
          <w:rFonts w:hint="eastAsia" w:ascii="Times New Roman" w:hAnsi="Times New Roman" w:eastAsia="宋体" w:cs="Times New Roman"/>
          <w:snapToGrid w:val="0"/>
          <w:color w:val="333333"/>
          <w:kern w:val="2"/>
          <w:sz w:val="28"/>
          <w:szCs w:val="28"/>
          <w:lang w:val="en-US" w:eastAsia="zh-CN" w:bidi="ar-SA"/>
        </w:rPr>
        <w:t>（1）业务工作经费69万元，主要用于临聘教师工资</w:t>
      </w:r>
    </w:p>
    <w:p w14:paraId="53F0F372">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75" w:afterAutospacing="0" w:line="360" w:lineRule="auto"/>
        <w:ind w:left="0" w:right="0" w:firstLine="840" w:firstLineChars="300"/>
        <w:jc w:val="both"/>
        <w:textAlignment w:val="auto"/>
        <w:rPr>
          <w:rFonts w:hint="default" w:ascii="Times New Roman" w:hAnsi="Times New Roman" w:eastAsia="宋体" w:cs="Times New Roman"/>
          <w:snapToGrid w:val="0"/>
          <w:color w:val="333333"/>
          <w:kern w:val="2"/>
          <w:sz w:val="28"/>
          <w:szCs w:val="28"/>
          <w:lang w:val="en-US" w:eastAsia="zh-CN" w:bidi="ar-SA"/>
        </w:rPr>
      </w:pPr>
      <w:r>
        <w:rPr>
          <w:rFonts w:hint="eastAsia" w:ascii="Times New Roman" w:hAnsi="Times New Roman" w:eastAsia="宋体" w:cs="Times New Roman"/>
          <w:snapToGrid w:val="0"/>
          <w:color w:val="333333"/>
          <w:kern w:val="2"/>
          <w:sz w:val="28"/>
          <w:szCs w:val="28"/>
          <w:lang w:val="en-US" w:eastAsia="zh-CN" w:bidi="ar-SA"/>
        </w:rPr>
        <w:t>（2）农村营养餐改善计划151.15万元，主要用于支付营养餐食材。</w:t>
      </w:r>
    </w:p>
    <w:p w14:paraId="15F7001B">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75" w:afterAutospacing="0" w:line="360" w:lineRule="auto"/>
        <w:ind w:left="0" w:right="0" w:firstLine="840" w:firstLineChars="300"/>
        <w:jc w:val="both"/>
        <w:textAlignment w:val="auto"/>
        <w:rPr>
          <w:rFonts w:hint="eastAsia" w:ascii="Times New Roman" w:hAnsi="Times New Roman" w:eastAsia="宋体" w:cs="Times New Roman"/>
          <w:snapToGrid w:val="0"/>
          <w:color w:val="333333"/>
          <w:kern w:val="2"/>
          <w:sz w:val="28"/>
          <w:szCs w:val="28"/>
          <w:lang w:val="en-US" w:eastAsia="zh-CN" w:bidi="ar-SA"/>
        </w:rPr>
      </w:pPr>
      <w:r>
        <w:rPr>
          <w:rFonts w:hint="eastAsia" w:ascii="Times New Roman" w:hAnsi="Times New Roman" w:eastAsia="宋体" w:cs="Times New Roman"/>
          <w:snapToGrid w:val="0"/>
          <w:color w:val="333333"/>
          <w:kern w:val="2"/>
          <w:sz w:val="28"/>
          <w:szCs w:val="28"/>
          <w:lang w:val="en-US" w:eastAsia="zh-CN" w:bidi="ar-SA"/>
        </w:rPr>
        <w:t>（3）学生生均公用经费70.41万元，主要用义务教育学校基本运转保持。</w:t>
      </w:r>
    </w:p>
    <w:p w14:paraId="2FCFFE58">
      <w:pPr>
        <w:widowControl w:val="0"/>
        <w:kinsoku/>
        <w:overflowPunct w:val="0"/>
        <w:spacing w:line="360" w:lineRule="auto"/>
        <w:ind w:firstLine="660" w:firstLineChars="200"/>
        <w:rPr>
          <w:rFonts w:ascii="楷体" w:hAnsi="楷体" w:eastAsia="楷体" w:cs="楷体"/>
          <w:sz w:val="32"/>
          <w:szCs w:val="32"/>
          <w:lang w:eastAsia="zh-CN"/>
        </w:rPr>
      </w:pPr>
      <w:r>
        <w:rPr>
          <w:rFonts w:ascii="楷体" w:hAnsi="楷体" w:eastAsia="楷体" w:cs="楷体"/>
          <w:spacing w:val="5"/>
          <w:sz w:val="32"/>
          <w:szCs w:val="32"/>
          <w:lang w:eastAsia="zh-CN"/>
        </w:rPr>
        <w:t>(三)"三公"经费使用和管理情况</w:t>
      </w:r>
    </w:p>
    <w:p w14:paraId="2C0B4EF3">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75" w:afterAutospacing="0" w:line="360" w:lineRule="auto"/>
        <w:ind w:left="0" w:right="0" w:firstLine="840" w:firstLineChars="300"/>
        <w:jc w:val="both"/>
        <w:textAlignment w:val="auto"/>
        <w:rPr>
          <w:rFonts w:hint="eastAsia" w:ascii="Times New Roman" w:hAnsi="Times New Roman" w:eastAsia="宋体" w:cs="Times New Roman"/>
          <w:snapToGrid w:val="0"/>
          <w:color w:val="333333"/>
          <w:kern w:val="2"/>
          <w:sz w:val="28"/>
          <w:szCs w:val="28"/>
          <w:lang w:val="en-US" w:eastAsia="zh-CN" w:bidi="ar-SA"/>
        </w:rPr>
      </w:pPr>
      <w:r>
        <w:rPr>
          <w:rFonts w:hint="eastAsia" w:ascii="Times New Roman" w:hAnsi="Times New Roman" w:eastAsia="宋体" w:cs="Times New Roman"/>
          <w:snapToGrid w:val="0"/>
          <w:color w:val="333333"/>
          <w:kern w:val="2"/>
          <w:sz w:val="28"/>
          <w:szCs w:val="28"/>
          <w:lang w:val="en-US" w:eastAsia="zh-CN" w:bidi="ar-SA"/>
        </w:rPr>
        <w:t>贯彻落实中央“中央八项规定”，学校多次对“三公经费”使用情况进行，严控，自查，完善了“三公”经费各项使用制度，有效控制了“三公”经费开支。</w:t>
      </w:r>
    </w:p>
    <w:p w14:paraId="17168DB3">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75" w:afterAutospacing="0" w:line="360" w:lineRule="auto"/>
        <w:ind w:left="0" w:right="0" w:firstLine="840" w:firstLineChars="300"/>
        <w:jc w:val="both"/>
        <w:textAlignment w:val="auto"/>
        <w:rPr>
          <w:rFonts w:ascii="黑体" w:hAnsi="黑体" w:eastAsia="黑体" w:cs="黑体"/>
          <w:b/>
          <w:bCs/>
          <w:spacing w:val="-11"/>
          <w:sz w:val="32"/>
          <w:szCs w:val="32"/>
          <w:lang w:eastAsia="zh-CN"/>
        </w:rPr>
      </w:pPr>
      <w:r>
        <w:rPr>
          <w:rFonts w:hint="eastAsia" w:ascii="Times New Roman" w:hAnsi="Times New Roman" w:eastAsia="宋体" w:cs="Times New Roman"/>
          <w:snapToGrid w:val="0"/>
          <w:color w:val="333333"/>
          <w:kern w:val="2"/>
          <w:sz w:val="28"/>
          <w:szCs w:val="28"/>
          <w:lang w:val="en-US" w:eastAsia="zh-CN" w:bidi="ar-SA"/>
        </w:rPr>
        <w:t>2023年“三公”经费预算总额为0万元，与上年持平，决算支出总额为0万元，与上年持平。</w:t>
      </w:r>
    </w:p>
    <w:p w14:paraId="61C84E72">
      <w:pPr>
        <w:widowControl w:val="0"/>
        <w:kinsoku/>
        <w:overflowPunct w:val="0"/>
        <w:spacing w:line="360" w:lineRule="auto"/>
        <w:ind w:firstLine="599" w:firstLineChars="200"/>
        <w:rPr>
          <w:rFonts w:ascii="黑体" w:hAnsi="黑体" w:eastAsia="黑体" w:cs="黑体"/>
          <w:sz w:val="32"/>
          <w:szCs w:val="32"/>
          <w:lang w:eastAsia="zh-CN"/>
        </w:rPr>
      </w:pPr>
      <w:r>
        <w:rPr>
          <w:rFonts w:ascii="黑体" w:hAnsi="黑体" w:eastAsia="黑体" w:cs="黑体"/>
          <w:b/>
          <w:bCs/>
          <w:spacing w:val="-11"/>
          <w:sz w:val="32"/>
          <w:szCs w:val="32"/>
          <w:lang w:eastAsia="zh-CN"/>
        </w:rPr>
        <w:t>三、政府性基金预算支出情况</w:t>
      </w:r>
    </w:p>
    <w:p w14:paraId="0EFF899B">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75" w:afterAutospacing="0" w:line="360" w:lineRule="auto"/>
        <w:ind w:left="0" w:right="0" w:firstLine="840" w:firstLineChars="300"/>
        <w:jc w:val="both"/>
        <w:textAlignment w:val="auto"/>
        <w:rPr>
          <w:rFonts w:hint="eastAsia" w:ascii="Times New Roman" w:hAnsi="Times New Roman" w:eastAsia="宋体" w:cs="Times New Roman"/>
          <w:snapToGrid w:val="0"/>
          <w:color w:val="333333"/>
          <w:kern w:val="2"/>
          <w:sz w:val="28"/>
          <w:szCs w:val="28"/>
          <w:lang w:val="en-US" w:eastAsia="zh-CN" w:bidi="ar-SA"/>
        </w:rPr>
      </w:pPr>
      <w:r>
        <w:rPr>
          <w:rFonts w:hint="eastAsia" w:ascii="Times New Roman" w:hAnsi="Times New Roman" w:eastAsia="宋体" w:cs="Times New Roman"/>
          <w:snapToGrid w:val="0"/>
          <w:color w:val="333333"/>
          <w:kern w:val="2"/>
          <w:sz w:val="28"/>
          <w:szCs w:val="28"/>
          <w:lang w:val="en-US" w:eastAsia="zh-CN" w:bidi="ar-SA"/>
        </w:rPr>
        <w:t>本单位无政府性基金预算支出。</w:t>
      </w:r>
    </w:p>
    <w:p w14:paraId="198D2A60">
      <w:pPr>
        <w:widowControl w:val="0"/>
        <w:kinsoku/>
        <w:overflowPunct w:val="0"/>
        <w:spacing w:line="360" w:lineRule="auto"/>
        <w:ind w:firstLine="607" w:firstLineChars="200"/>
        <w:rPr>
          <w:rFonts w:ascii="黑体" w:hAnsi="黑体" w:eastAsia="黑体" w:cs="黑体"/>
          <w:b/>
          <w:bCs/>
          <w:spacing w:val="-9"/>
          <w:sz w:val="32"/>
          <w:szCs w:val="32"/>
          <w:lang w:eastAsia="zh-CN"/>
        </w:rPr>
      </w:pPr>
      <w:r>
        <w:rPr>
          <w:rFonts w:ascii="黑体" w:hAnsi="黑体" w:eastAsia="黑体" w:cs="黑体"/>
          <w:b/>
          <w:bCs/>
          <w:spacing w:val="-9"/>
          <w:sz w:val="32"/>
          <w:szCs w:val="32"/>
          <w:lang w:eastAsia="zh-CN"/>
        </w:rPr>
        <w:t>四、国有资本经营预算支出情况</w:t>
      </w:r>
    </w:p>
    <w:p w14:paraId="01EF4A2F">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75" w:afterAutospacing="0" w:line="360" w:lineRule="auto"/>
        <w:ind w:left="0" w:right="0" w:firstLine="840" w:firstLineChars="300"/>
        <w:jc w:val="both"/>
        <w:textAlignment w:val="auto"/>
        <w:rPr>
          <w:rFonts w:ascii="黑体" w:hAnsi="黑体" w:eastAsia="黑体" w:cs="黑体"/>
          <w:b/>
          <w:bCs/>
          <w:spacing w:val="-19"/>
          <w:sz w:val="32"/>
          <w:szCs w:val="32"/>
          <w:lang w:eastAsia="zh-CN"/>
        </w:rPr>
      </w:pPr>
      <w:r>
        <w:rPr>
          <w:rFonts w:hint="eastAsia" w:ascii="Times New Roman" w:hAnsi="Times New Roman" w:eastAsia="宋体" w:cs="Times New Roman"/>
          <w:snapToGrid w:val="0"/>
          <w:color w:val="333333"/>
          <w:kern w:val="2"/>
          <w:sz w:val="28"/>
          <w:szCs w:val="28"/>
          <w:lang w:val="en-US" w:eastAsia="zh-CN" w:bidi="ar-SA"/>
        </w:rPr>
        <w:t>本单位无国有资本经营预算支出。</w:t>
      </w:r>
    </w:p>
    <w:p w14:paraId="239BC417">
      <w:pPr>
        <w:widowControl w:val="0"/>
        <w:kinsoku/>
        <w:overflowPunct w:val="0"/>
        <w:spacing w:line="360" w:lineRule="auto"/>
        <w:ind w:firstLine="567" w:firstLineChars="200"/>
        <w:rPr>
          <w:rFonts w:ascii="黑体" w:hAnsi="黑体" w:eastAsia="黑体" w:cs="黑体"/>
          <w:b/>
          <w:bCs/>
          <w:spacing w:val="-19"/>
          <w:sz w:val="32"/>
          <w:szCs w:val="32"/>
          <w:lang w:eastAsia="zh-CN"/>
        </w:rPr>
      </w:pPr>
      <w:r>
        <w:rPr>
          <w:rFonts w:ascii="黑体" w:hAnsi="黑体" w:eastAsia="黑体" w:cs="黑体"/>
          <w:b/>
          <w:bCs/>
          <w:spacing w:val="-19"/>
          <w:sz w:val="32"/>
          <w:szCs w:val="32"/>
          <w:lang w:eastAsia="zh-CN"/>
        </w:rPr>
        <w:t>五、社会保险基金预算支出情况</w:t>
      </w:r>
    </w:p>
    <w:p w14:paraId="33B81221">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75" w:afterAutospacing="0" w:line="360" w:lineRule="auto"/>
        <w:ind w:left="0" w:right="0" w:firstLine="840" w:firstLineChars="300"/>
        <w:jc w:val="both"/>
        <w:textAlignment w:val="auto"/>
        <w:rPr>
          <w:rFonts w:ascii="黑体" w:hAnsi="黑体" w:eastAsia="黑体" w:cs="黑体"/>
          <w:b/>
          <w:bCs/>
          <w:spacing w:val="-10"/>
          <w:sz w:val="32"/>
          <w:szCs w:val="32"/>
          <w:lang w:eastAsia="zh-CN"/>
        </w:rPr>
      </w:pPr>
      <w:r>
        <w:rPr>
          <w:rFonts w:hint="eastAsia" w:ascii="Times New Roman" w:hAnsi="Times New Roman" w:eastAsia="宋体" w:cs="Times New Roman"/>
          <w:snapToGrid w:val="0"/>
          <w:color w:val="333333"/>
          <w:kern w:val="2"/>
          <w:sz w:val="28"/>
          <w:szCs w:val="28"/>
          <w:lang w:val="en-US" w:eastAsia="zh-CN" w:bidi="ar-SA"/>
        </w:rPr>
        <w:t>本单位无社会保险基金预算支出。</w:t>
      </w:r>
    </w:p>
    <w:p w14:paraId="171E2773">
      <w:pPr>
        <w:widowControl w:val="0"/>
        <w:kinsoku/>
        <w:overflowPunct w:val="0"/>
        <w:spacing w:line="360" w:lineRule="auto"/>
        <w:ind w:firstLine="603" w:firstLineChars="200"/>
        <w:rPr>
          <w:rFonts w:ascii="黑体" w:hAnsi="黑体" w:eastAsia="黑体" w:cs="黑体"/>
          <w:sz w:val="32"/>
          <w:szCs w:val="32"/>
          <w:lang w:eastAsia="zh-CN"/>
        </w:rPr>
      </w:pPr>
      <w:r>
        <w:rPr>
          <w:rFonts w:ascii="黑体" w:hAnsi="黑体" w:eastAsia="黑体" w:cs="黑体"/>
          <w:b/>
          <w:bCs/>
          <w:spacing w:val="-10"/>
          <w:sz w:val="32"/>
          <w:szCs w:val="32"/>
          <w:lang w:eastAsia="zh-CN"/>
        </w:rPr>
        <w:t>六、部门整体支出绩效情况</w:t>
      </w:r>
    </w:p>
    <w:p w14:paraId="1EF41522">
      <w:pPr>
        <w:pStyle w:val="2"/>
        <w:widowControl w:val="0"/>
        <w:kinsoku/>
        <w:overflowPunct w:val="0"/>
        <w:spacing w:line="360" w:lineRule="auto"/>
        <w:ind w:firstLine="620" w:firstLineChars="200"/>
        <w:rPr>
          <w:sz w:val="32"/>
          <w:szCs w:val="32"/>
          <w:lang w:eastAsia="zh-CN"/>
        </w:rPr>
      </w:pPr>
      <w:r>
        <w:rPr>
          <w:rFonts w:ascii="楷体" w:hAnsi="楷体" w:eastAsia="楷体" w:cs="楷体"/>
          <w:spacing w:val="-5"/>
          <w:sz w:val="32"/>
          <w:szCs w:val="32"/>
          <w:lang w:eastAsia="zh-CN"/>
        </w:rPr>
        <w:t>(一)综合评价结论。</w:t>
      </w:r>
      <w:r>
        <w:rPr>
          <w:spacing w:val="-5"/>
          <w:sz w:val="32"/>
          <w:szCs w:val="32"/>
          <w:lang w:eastAsia="zh-CN"/>
        </w:rPr>
        <w:t>反映自评得分及评价等级。</w:t>
      </w:r>
    </w:p>
    <w:p w14:paraId="6EC0C83A">
      <w:pPr>
        <w:pStyle w:val="2"/>
        <w:widowControl w:val="0"/>
        <w:kinsoku/>
        <w:overflowPunct w:val="0"/>
        <w:spacing w:line="360" w:lineRule="auto"/>
        <w:ind w:firstLine="560" w:firstLineChars="200"/>
        <w:jc w:val="both"/>
        <w:rPr>
          <w:rFonts w:hint="eastAsia" w:ascii="Times New Roman" w:hAnsi="Times New Roman" w:eastAsia="宋体" w:cs="Times New Roman"/>
          <w:snapToGrid w:val="0"/>
          <w:color w:val="333333"/>
          <w:kern w:val="2"/>
          <w:sz w:val="28"/>
          <w:szCs w:val="28"/>
          <w:lang w:val="en-US" w:eastAsia="zh-CN" w:bidi="ar-SA"/>
        </w:rPr>
      </w:pPr>
      <w:r>
        <w:rPr>
          <w:rFonts w:hint="eastAsia" w:ascii="Times New Roman" w:hAnsi="Times New Roman" w:eastAsia="宋体" w:cs="Times New Roman"/>
          <w:snapToGrid w:val="0"/>
          <w:color w:val="333333"/>
          <w:kern w:val="2"/>
          <w:sz w:val="28"/>
          <w:szCs w:val="28"/>
          <w:lang w:val="en-US" w:eastAsia="zh-CN" w:bidi="ar-SA"/>
        </w:rPr>
        <w:t>根据《怀化市财政局关于开展2023年度部门整体支出与专项资金绩效自评工作的通知》（怀财绩〔2024〕46号）要求，我单位开展绩效自评工作，综合评分98分，评价结果优秀。</w:t>
      </w:r>
    </w:p>
    <w:p w14:paraId="659A19C2">
      <w:pPr>
        <w:pStyle w:val="2"/>
        <w:widowControl w:val="0"/>
        <w:kinsoku/>
        <w:overflowPunct w:val="0"/>
        <w:spacing w:line="360" w:lineRule="auto"/>
        <w:ind w:firstLine="676" w:firstLineChars="200"/>
        <w:jc w:val="both"/>
        <w:rPr>
          <w:sz w:val="32"/>
          <w:szCs w:val="32"/>
          <w:lang w:eastAsia="zh-CN"/>
        </w:rPr>
      </w:pPr>
      <w:r>
        <w:rPr>
          <w:rFonts w:ascii="楷体" w:hAnsi="楷体" w:eastAsia="楷体" w:cs="楷体"/>
          <w:spacing w:val="9"/>
          <w:sz w:val="32"/>
          <w:szCs w:val="32"/>
          <w:lang w:eastAsia="zh-CN"/>
        </w:rPr>
        <w:t>(二)评价指标分析(或综合评价情况)</w:t>
      </w:r>
      <w:r>
        <w:rPr>
          <w:spacing w:val="9"/>
          <w:sz w:val="32"/>
          <w:szCs w:val="32"/>
          <w:lang w:eastAsia="zh-CN"/>
        </w:rPr>
        <w:t>。</w:t>
      </w:r>
    </w:p>
    <w:p w14:paraId="5A7D0B3E">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75" w:afterAutospacing="0" w:line="500" w:lineRule="exact"/>
        <w:ind w:left="0" w:right="0" w:firstLine="420"/>
        <w:jc w:val="both"/>
        <w:textAlignment w:val="auto"/>
        <w:rPr>
          <w:rFonts w:hint="eastAsia" w:ascii="Times New Roman" w:hAnsi="Times New Roman" w:eastAsia="宋体" w:cs="Times New Roman"/>
          <w:snapToGrid w:val="0"/>
          <w:color w:val="333333"/>
          <w:kern w:val="2"/>
          <w:sz w:val="28"/>
          <w:szCs w:val="28"/>
          <w:lang w:val="en-US" w:eastAsia="zh-CN" w:bidi="ar-SA"/>
        </w:rPr>
      </w:pPr>
      <w:r>
        <w:rPr>
          <w:rFonts w:hint="eastAsia" w:ascii="Times New Roman" w:hAnsi="Times New Roman" w:eastAsia="宋体" w:cs="Times New Roman"/>
          <w:snapToGrid w:val="0"/>
          <w:color w:val="333333"/>
          <w:kern w:val="2"/>
          <w:sz w:val="28"/>
          <w:szCs w:val="28"/>
          <w:lang w:val="en-US" w:eastAsia="zh-CN" w:bidi="ar-SA"/>
        </w:rPr>
        <w:t>1、整体绩效目标设定</w:t>
      </w:r>
    </w:p>
    <w:p w14:paraId="3C329A95">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75" w:afterAutospacing="0" w:line="500" w:lineRule="exact"/>
        <w:ind w:left="0" w:right="0" w:firstLine="420"/>
        <w:jc w:val="both"/>
        <w:textAlignment w:val="auto"/>
        <w:rPr>
          <w:rFonts w:hint="eastAsia" w:ascii="Times New Roman" w:hAnsi="Times New Roman" w:eastAsia="宋体" w:cs="Times New Roman"/>
          <w:snapToGrid w:val="0"/>
          <w:color w:val="333333"/>
          <w:kern w:val="2"/>
          <w:sz w:val="28"/>
          <w:szCs w:val="28"/>
          <w:lang w:val="en-US" w:eastAsia="zh-CN" w:bidi="ar-SA"/>
        </w:rPr>
      </w:pPr>
      <w:r>
        <w:rPr>
          <w:rFonts w:hint="eastAsia" w:ascii="Times New Roman" w:hAnsi="Times New Roman" w:eastAsia="宋体" w:cs="Times New Roman"/>
          <w:snapToGrid w:val="0"/>
          <w:color w:val="333333"/>
          <w:kern w:val="2"/>
          <w:sz w:val="28"/>
          <w:szCs w:val="28"/>
          <w:lang w:val="en-US" w:eastAsia="zh-CN" w:bidi="ar-SA"/>
        </w:rPr>
        <w:t>（1）绩效目标合理性。绩效目标符合国家法律法规、社会发展规划；符合部门“三定”方案确定的职责及中长期实施规划。</w:t>
      </w:r>
    </w:p>
    <w:p w14:paraId="04B56566">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75" w:afterAutospacing="0" w:line="500" w:lineRule="exact"/>
        <w:ind w:left="0" w:right="0" w:firstLine="420"/>
        <w:jc w:val="both"/>
        <w:textAlignment w:val="auto"/>
        <w:rPr>
          <w:rFonts w:hint="eastAsia" w:ascii="Times New Roman" w:hAnsi="Times New Roman" w:eastAsia="宋体" w:cs="Times New Roman"/>
          <w:snapToGrid w:val="0"/>
          <w:color w:val="333333"/>
          <w:kern w:val="2"/>
          <w:sz w:val="28"/>
          <w:szCs w:val="28"/>
          <w:lang w:val="en-US" w:eastAsia="zh-CN" w:bidi="ar-SA"/>
        </w:rPr>
      </w:pPr>
      <w:r>
        <w:rPr>
          <w:rFonts w:hint="eastAsia" w:ascii="Times New Roman" w:hAnsi="Times New Roman" w:eastAsia="宋体" w:cs="Times New Roman"/>
          <w:snapToGrid w:val="0"/>
          <w:color w:val="333333"/>
          <w:kern w:val="2"/>
          <w:sz w:val="28"/>
          <w:szCs w:val="28"/>
          <w:lang w:val="en-US" w:eastAsia="zh-CN" w:bidi="ar-SA"/>
        </w:rPr>
        <w:t>（2）绩效指标明确性。设定的绩效指标与部门年度的任务数或计划数相对应；与本年度部门预算资金相匹配，细化到三级指标。</w:t>
      </w:r>
    </w:p>
    <w:p w14:paraId="566D69AE">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75" w:afterAutospacing="0" w:line="500" w:lineRule="exact"/>
        <w:ind w:left="0" w:right="0" w:firstLine="420"/>
        <w:jc w:val="both"/>
        <w:textAlignment w:val="auto"/>
        <w:rPr>
          <w:rFonts w:hint="eastAsia" w:ascii="Times New Roman" w:hAnsi="Times New Roman" w:eastAsia="宋体" w:cs="Times New Roman"/>
          <w:snapToGrid w:val="0"/>
          <w:color w:val="333333"/>
          <w:kern w:val="2"/>
          <w:sz w:val="28"/>
          <w:szCs w:val="28"/>
          <w:lang w:val="en-US" w:eastAsia="zh-CN" w:bidi="ar-SA"/>
        </w:rPr>
      </w:pPr>
      <w:r>
        <w:rPr>
          <w:rFonts w:hint="eastAsia" w:ascii="Times New Roman" w:hAnsi="Times New Roman" w:eastAsia="宋体" w:cs="Times New Roman"/>
          <w:snapToGrid w:val="0"/>
          <w:color w:val="333333"/>
          <w:kern w:val="2"/>
          <w:sz w:val="28"/>
          <w:szCs w:val="28"/>
          <w:lang w:val="en-US" w:eastAsia="zh-CN" w:bidi="ar-SA"/>
        </w:rPr>
        <w:t>2、预算配置</w:t>
      </w:r>
    </w:p>
    <w:p w14:paraId="7124B722">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75" w:afterAutospacing="0" w:line="500" w:lineRule="exact"/>
        <w:ind w:left="0" w:right="0" w:firstLine="420"/>
        <w:jc w:val="both"/>
        <w:textAlignment w:val="auto"/>
        <w:rPr>
          <w:rFonts w:hint="eastAsia" w:ascii="Times New Roman" w:hAnsi="Times New Roman" w:eastAsia="宋体" w:cs="Times New Roman"/>
          <w:snapToGrid w:val="0"/>
          <w:color w:val="333333"/>
          <w:kern w:val="2"/>
          <w:sz w:val="28"/>
          <w:szCs w:val="28"/>
          <w:lang w:val="en-US" w:eastAsia="zh-CN" w:bidi="ar-SA"/>
        </w:rPr>
      </w:pPr>
      <w:r>
        <w:rPr>
          <w:rFonts w:hint="eastAsia" w:ascii="Times New Roman" w:hAnsi="Times New Roman" w:eastAsia="宋体" w:cs="Times New Roman"/>
          <w:snapToGrid w:val="0"/>
          <w:color w:val="333333"/>
          <w:kern w:val="2"/>
          <w:sz w:val="28"/>
          <w:szCs w:val="28"/>
          <w:lang w:val="en-US" w:eastAsia="zh-CN" w:bidi="ar-SA"/>
        </w:rPr>
        <w:t>（1）在职人员控制率</w:t>
      </w:r>
    </w:p>
    <w:p w14:paraId="6BF4EA40">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75" w:afterAutospacing="0" w:line="500" w:lineRule="exact"/>
        <w:ind w:left="0" w:right="0" w:firstLine="420"/>
        <w:jc w:val="both"/>
        <w:textAlignment w:val="auto"/>
        <w:rPr>
          <w:rFonts w:hint="eastAsia" w:ascii="Times New Roman" w:hAnsi="Times New Roman" w:eastAsia="宋体" w:cs="Times New Roman"/>
          <w:snapToGrid w:val="0"/>
          <w:color w:val="333333"/>
          <w:kern w:val="2"/>
          <w:sz w:val="28"/>
          <w:szCs w:val="28"/>
          <w:lang w:val="en-US" w:eastAsia="zh-CN" w:bidi="ar-SA"/>
        </w:rPr>
      </w:pPr>
      <w:r>
        <w:rPr>
          <w:rFonts w:hint="eastAsia" w:ascii="Times New Roman" w:hAnsi="Times New Roman" w:eastAsia="宋体" w:cs="Times New Roman"/>
          <w:snapToGrid w:val="0"/>
          <w:color w:val="333333"/>
          <w:kern w:val="2"/>
          <w:sz w:val="28"/>
          <w:szCs w:val="28"/>
          <w:lang w:val="en-US" w:eastAsia="zh-CN" w:bidi="ar-SA"/>
        </w:rPr>
        <w:t>2023年我单位编制数126人，实际在职人员数98人，在职人员控制率为77.78%。严格执行了相关文件精神，无超编人员。</w:t>
      </w:r>
    </w:p>
    <w:p w14:paraId="1A4AD903">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75" w:afterAutospacing="0" w:line="500" w:lineRule="exact"/>
        <w:ind w:left="0" w:right="0" w:firstLine="420"/>
        <w:jc w:val="both"/>
        <w:textAlignment w:val="auto"/>
        <w:rPr>
          <w:rFonts w:hint="eastAsia" w:ascii="Times New Roman" w:hAnsi="Times New Roman" w:eastAsia="宋体" w:cs="Times New Roman"/>
          <w:snapToGrid w:val="0"/>
          <w:color w:val="333333"/>
          <w:kern w:val="2"/>
          <w:sz w:val="28"/>
          <w:szCs w:val="28"/>
          <w:lang w:val="en-US" w:eastAsia="zh-CN" w:bidi="ar-SA"/>
        </w:rPr>
      </w:pPr>
      <w:r>
        <w:rPr>
          <w:rFonts w:hint="eastAsia" w:ascii="Times New Roman" w:hAnsi="Times New Roman" w:eastAsia="宋体" w:cs="Times New Roman"/>
          <w:snapToGrid w:val="0"/>
          <w:color w:val="333333"/>
          <w:kern w:val="2"/>
          <w:sz w:val="28"/>
          <w:szCs w:val="28"/>
          <w:lang w:val="en-US" w:eastAsia="zh-CN" w:bidi="ar-SA"/>
        </w:rPr>
        <w:t>（2）“三公经费”预算变动率</w:t>
      </w:r>
    </w:p>
    <w:p w14:paraId="20E6E4B3">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75" w:afterAutospacing="0" w:line="500" w:lineRule="exact"/>
        <w:ind w:left="0" w:right="0" w:firstLine="420"/>
        <w:jc w:val="both"/>
        <w:textAlignment w:val="auto"/>
        <w:rPr>
          <w:rFonts w:hint="eastAsia" w:ascii="Times New Roman" w:hAnsi="Times New Roman" w:eastAsia="宋体" w:cs="Times New Roman"/>
          <w:snapToGrid w:val="0"/>
          <w:color w:val="333333"/>
          <w:kern w:val="2"/>
          <w:sz w:val="28"/>
          <w:szCs w:val="28"/>
          <w:lang w:val="en-US" w:eastAsia="zh-CN" w:bidi="ar-SA"/>
        </w:rPr>
      </w:pPr>
      <w:r>
        <w:rPr>
          <w:rFonts w:hint="eastAsia" w:ascii="Times New Roman" w:hAnsi="Times New Roman" w:eastAsia="宋体" w:cs="Times New Roman"/>
          <w:snapToGrid w:val="0"/>
          <w:color w:val="333333"/>
          <w:kern w:val="2"/>
          <w:sz w:val="28"/>
          <w:szCs w:val="28"/>
          <w:lang w:val="en-US" w:eastAsia="zh-CN" w:bidi="ar-SA"/>
        </w:rPr>
        <w:t>2023年“三公经费”预算数0万元，上年度“三公经费”预算数0万元，未发生变动。</w:t>
      </w:r>
    </w:p>
    <w:p w14:paraId="08D040C3">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75" w:afterAutospacing="0" w:line="500" w:lineRule="exact"/>
        <w:ind w:left="0" w:right="0" w:firstLine="420"/>
        <w:jc w:val="both"/>
        <w:textAlignment w:val="auto"/>
        <w:rPr>
          <w:rFonts w:hint="eastAsia" w:ascii="Times New Roman" w:hAnsi="Times New Roman" w:eastAsia="宋体" w:cs="Times New Roman"/>
          <w:snapToGrid w:val="0"/>
          <w:color w:val="333333"/>
          <w:kern w:val="2"/>
          <w:sz w:val="28"/>
          <w:szCs w:val="28"/>
          <w:lang w:val="en-US" w:eastAsia="zh-CN" w:bidi="ar-SA"/>
        </w:rPr>
      </w:pPr>
      <w:r>
        <w:rPr>
          <w:rFonts w:hint="eastAsia" w:ascii="Times New Roman" w:hAnsi="Times New Roman" w:eastAsia="宋体" w:cs="Times New Roman"/>
          <w:snapToGrid w:val="0"/>
          <w:color w:val="333333"/>
          <w:kern w:val="2"/>
          <w:sz w:val="28"/>
          <w:szCs w:val="28"/>
          <w:lang w:val="en-US" w:eastAsia="zh-CN" w:bidi="ar-SA"/>
        </w:rPr>
        <w:t>3、预算执行</w:t>
      </w:r>
    </w:p>
    <w:p w14:paraId="7648B414">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75" w:afterAutospacing="0" w:line="500" w:lineRule="exact"/>
        <w:ind w:left="0" w:right="0" w:firstLine="420"/>
        <w:jc w:val="both"/>
        <w:textAlignment w:val="auto"/>
        <w:rPr>
          <w:rFonts w:hint="eastAsia" w:ascii="Times New Roman" w:hAnsi="Times New Roman" w:eastAsia="宋体" w:cs="Times New Roman"/>
          <w:snapToGrid w:val="0"/>
          <w:color w:val="333333"/>
          <w:kern w:val="2"/>
          <w:sz w:val="28"/>
          <w:szCs w:val="28"/>
          <w:lang w:val="en-US" w:eastAsia="zh-CN" w:bidi="ar-SA"/>
        </w:rPr>
      </w:pPr>
      <w:r>
        <w:rPr>
          <w:rFonts w:hint="eastAsia" w:ascii="Times New Roman" w:hAnsi="Times New Roman" w:eastAsia="宋体" w:cs="Times New Roman"/>
          <w:snapToGrid w:val="0"/>
          <w:color w:val="333333"/>
          <w:kern w:val="2"/>
          <w:sz w:val="28"/>
          <w:szCs w:val="28"/>
          <w:lang w:val="en-US" w:eastAsia="zh-CN" w:bidi="ar-SA"/>
        </w:rPr>
        <w:t>  预算执行率。2023年全年预算数2051.84万元，执行数2051.84万元，预算执行率100%。</w:t>
      </w:r>
    </w:p>
    <w:p w14:paraId="60B8C0CF">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75" w:afterAutospacing="0" w:line="500" w:lineRule="exact"/>
        <w:ind w:left="0" w:right="0" w:firstLine="420"/>
        <w:jc w:val="both"/>
        <w:textAlignment w:val="auto"/>
        <w:rPr>
          <w:rFonts w:hint="eastAsia" w:ascii="Times New Roman" w:hAnsi="Times New Roman" w:eastAsia="宋体" w:cs="Times New Roman"/>
          <w:snapToGrid w:val="0"/>
          <w:color w:val="333333"/>
          <w:kern w:val="2"/>
          <w:sz w:val="28"/>
          <w:szCs w:val="28"/>
          <w:lang w:val="en-US" w:eastAsia="zh-CN" w:bidi="ar-SA"/>
        </w:rPr>
      </w:pPr>
      <w:r>
        <w:rPr>
          <w:rFonts w:hint="eastAsia" w:ascii="Times New Roman" w:hAnsi="Times New Roman" w:eastAsia="宋体" w:cs="Times New Roman"/>
          <w:snapToGrid w:val="0"/>
          <w:color w:val="333333"/>
          <w:kern w:val="2"/>
          <w:sz w:val="28"/>
          <w:szCs w:val="28"/>
          <w:lang w:val="en-US" w:eastAsia="zh-CN" w:bidi="ar-SA"/>
        </w:rPr>
        <w:t>4、预算管理</w:t>
      </w:r>
    </w:p>
    <w:p w14:paraId="52E21C94">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75" w:afterAutospacing="0" w:line="500" w:lineRule="exact"/>
        <w:ind w:left="0" w:right="0" w:firstLine="420"/>
        <w:jc w:val="both"/>
        <w:textAlignment w:val="auto"/>
        <w:rPr>
          <w:rFonts w:hint="eastAsia" w:ascii="Times New Roman" w:hAnsi="Times New Roman" w:eastAsia="宋体" w:cs="Times New Roman"/>
          <w:snapToGrid w:val="0"/>
          <w:color w:val="333333"/>
          <w:kern w:val="2"/>
          <w:sz w:val="28"/>
          <w:szCs w:val="28"/>
          <w:lang w:val="en-US" w:eastAsia="zh-CN" w:bidi="ar-SA"/>
        </w:rPr>
      </w:pPr>
      <w:r>
        <w:rPr>
          <w:rFonts w:hint="eastAsia" w:ascii="Times New Roman" w:hAnsi="Times New Roman" w:eastAsia="宋体" w:cs="Times New Roman"/>
          <w:snapToGrid w:val="0"/>
          <w:color w:val="333333"/>
          <w:kern w:val="2"/>
          <w:sz w:val="28"/>
          <w:szCs w:val="28"/>
          <w:lang w:val="en-US" w:eastAsia="zh-CN" w:bidi="ar-SA"/>
        </w:rPr>
        <w:t>（1）管理制度健全性。我单位严格按照财务管理的相关要求，制定了《预决算管理办法》，并严格按管理办法执行。</w:t>
      </w:r>
    </w:p>
    <w:p w14:paraId="07969515">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75" w:afterAutospacing="0" w:line="500" w:lineRule="exact"/>
        <w:ind w:left="0" w:right="0" w:firstLine="420"/>
        <w:jc w:val="both"/>
        <w:textAlignment w:val="auto"/>
        <w:rPr>
          <w:rFonts w:hint="eastAsia" w:ascii="Times New Roman" w:hAnsi="Times New Roman" w:eastAsia="宋体" w:cs="Times New Roman"/>
          <w:snapToGrid w:val="0"/>
          <w:color w:val="333333"/>
          <w:kern w:val="2"/>
          <w:sz w:val="28"/>
          <w:szCs w:val="28"/>
          <w:lang w:val="en-US" w:eastAsia="zh-CN" w:bidi="ar-SA"/>
        </w:rPr>
      </w:pPr>
      <w:r>
        <w:rPr>
          <w:rFonts w:hint="eastAsia" w:ascii="Times New Roman" w:hAnsi="Times New Roman" w:eastAsia="宋体" w:cs="Times New Roman"/>
          <w:snapToGrid w:val="0"/>
          <w:color w:val="333333"/>
          <w:kern w:val="2"/>
          <w:sz w:val="28"/>
          <w:szCs w:val="28"/>
          <w:lang w:val="en-US" w:eastAsia="zh-CN" w:bidi="ar-SA"/>
        </w:rPr>
        <w:t>（2）资金使用合规性。资金的拨付有完整的审批程序和手续，预算支出的重大开支经集体决策；不存在截留、挤占、挪用、虚列支出等情况。</w:t>
      </w:r>
    </w:p>
    <w:p w14:paraId="216B4E85">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75" w:afterAutospacing="0" w:line="500" w:lineRule="exact"/>
        <w:ind w:left="0" w:right="0" w:firstLine="420"/>
        <w:jc w:val="both"/>
        <w:textAlignment w:val="auto"/>
        <w:rPr>
          <w:rFonts w:hint="eastAsia" w:ascii="Times New Roman" w:hAnsi="Times New Roman" w:eastAsia="宋体" w:cs="Times New Roman"/>
          <w:snapToGrid w:val="0"/>
          <w:color w:val="333333"/>
          <w:kern w:val="2"/>
          <w:sz w:val="28"/>
          <w:szCs w:val="28"/>
          <w:lang w:val="en-US" w:eastAsia="zh-CN" w:bidi="ar-SA"/>
        </w:rPr>
      </w:pPr>
      <w:r>
        <w:rPr>
          <w:rFonts w:hint="eastAsia" w:ascii="Times New Roman" w:hAnsi="Times New Roman" w:eastAsia="宋体" w:cs="Times New Roman"/>
          <w:snapToGrid w:val="0"/>
          <w:color w:val="333333"/>
          <w:kern w:val="2"/>
          <w:sz w:val="28"/>
          <w:szCs w:val="28"/>
          <w:lang w:val="en-US" w:eastAsia="zh-CN" w:bidi="ar-SA"/>
        </w:rPr>
        <w:t>（3）预决算信息公开。按财政要求按时公开预决算信息。</w:t>
      </w:r>
    </w:p>
    <w:p w14:paraId="64D01AB8">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75" w:afterAutospacing="0" w:line="500" w:lineRule="exact"/>
        <w:ind w:left="0" w:right="0" w:firstLine="420"/>
        <w:jc w:val="both"/>
        <w:textAlignment w:val="auto"/>
        <w:rPr>
          <w:rFonts w:hint="eastAsia" w:ascii="Times New Roman" w:hAnsi="Times New Roman" w:eastAsia="宋体" w:cs="Times New Roman"/>
          <w:snapToGrid w:val="0"/>
          <w:color w:val="333333"/>
          <w:kern w:val="2"/>
          <w:sz w:val="28"/>
          <w:szCs w:val="28"/>
          <w:lang w:val="en-US" w:eastAsia="zh-CN" w:bidi="ar-SA"/>
        </w:rPr>
      </w:pPr>
      <w:r>
        <w:rPr>
          <w:rFonts w:hint="eastAsia" w:ascii="Times New Roman" w:hAnsi="Times New Roman" w:eastAsia="宋体" w:cs="Times New Roman"/>
          <w:snapToGrid w:val="0"/>
          <w:color w:val="333333"/>
          <w:kern w:val="2"/>
          <w:sz w:val="28"/>
          <w:szCs w:val="28"/>
          <w:lang w:val="en-US" w:eastAsia="zh-CN" w:bidi="ar-SA"/>
        </w:rPr>
        <w:t>5、资产管理</w:t>
      </w:r>
    </w:p>
    <w:p w14:paraId="381F8BDB">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75" w:afterAutospacing="0" w:line="500" w:lineRule="exact"/>
        <w:ind w:left="0" w:right="0" w:firstLine="420"/>
        <w:jc w:val="both"/>
        <w:textAlignment w:val="auto"/>
        <w:rPr>
          <w:rFonts w:hint="eastAsia" w:ascii="Times New Roman" w:hAnsi="Times New Roman" w:eastAsia="宋体" w:cs="Times New Roman"/>
          <w:snapToGrid w:val="0"/>
          <w:color w:val="333333"/>
          <w:kern w:val="2"/>
          <w:sz w:val="28"/>
          <w:szCs w:val="28"/>
          <w:lang w:val="en-US" w:eastAsia="zh-CN" w:bidi="ar-SA"/>
        </w:rPr>
      </w:pPr>
      <w:r>
        <w:rPr>
          <w:rFonts w:hint="eastAsia" w:ascii="Times New Roman" w:hAnsi="Times New Roman" w:eastAsia="宋体" w:cs="Times New Roman"/>
          <w:snapToGrid w:val="0"/>
          <w:color w:val="333333"/>
          <w:kern w:val="2"/>
          <w:sz w:val="28"/>
          <w:szCs w:val="28"/>
          <w:lang w:val="en-US" w:eastAsia="zh-CN" w:bidi="ar-SA"/>
        </w:rPr>
        <w:t>（1）管理制度健全性。</w:t>
      </w:r>
    </w:p>
    <w:p w14:paraId="5611D91C">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75" w:afterAutospacing="0" w:line="500" w:lineRule="exact"/>
        <w:ind w:left="0" w:right="0" w:firstLine="420"/>
        <w:jc w:val="both"/>
        <w:textAlignment w:val="auto"/>
        <w:rPr>
          <w:rFonts w:hint="eastAsia" w:ascii="Times New Roman" w:hAnsi="Times New Roman" w:eastAsia="宋体" w:cs="Times New Roman"/>
          <w:snapToGrid w:val="0"/>
          <w:color w:val="333333"/>
          <w:kern w:val="2"/>
          <w:sz w:val="28"/>
          <w:szCs w:val="28"/>
          <w:lang w:val="en-US" w:eastAsia="zh-CN" w:bidi="ar-SA"/>
        </w:rPr>
      </w:pPr>
      <w:r>
        <w:rPr>
          <w:rFonts w:hint="eastAsia" w:ascii="Times New Roman" w:hAnsi="Times New Roman" w:eastAsia="宋体" w:cs="Times New Roman"/>
          <w:snapToGrid w:val="0"/>
          <w:color w:val="333333"/>
          <w:kern w:val="2"/>
          <w:sz w:val="28"/>
          <w:szCs w:val="28"/>
          <w:lang w:val="en-US" w:eastAsia="zh-CN" w:bidi="ar-SA"/>
        </w:rPr>
        <w:t>根据《行政单位国有资产管理暂行办法》(财政部令第35号）的规定，我单位严格按照财务管理的相关要求，建立了《固定资产一般管理制度》等资产内部管理规范。</w:t>
      </w:r>
    </w:p>
    <w:p w14:paraId="1B96568C">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75" w:afterAutospacing="0" w:line="500" w:lineRule="exact"/>
        <w:ind w:left="0" w:right="0" w:firstLine="420"/>
        <w:jc w:val="both"/>
        <w:textAlignment w:val="auto"/>
        <w:rPr>
          <w:rFonts w:hint="eastAsia" w:ascii="Times New Roman" w:hAnsi="Times New Roman" w:eastAsia="宋体" w:cs="Times New Roman"/>
          <w:snapToGrid w:val="0"/>
          <w:color w:val="333333"/>
          <w:kern w:val="2"/>
          <w:sz w:val="28"/>
          <w:szCs w:val="28"/>
          <w:lang w:val="en-US" w:eastAsia="zh-CN" w:bidi="ar-SA"/>
        </w:rPr>
      </w:pPr>
      <w:r>
        <w:rPr>
          <w:rFonts w:hint="eastAsia" w:ascii="Times New Roman" w:hAnsi="Times New Roman" w:eastAsia="宋体" w:cs="Times New Roman"/>
          <w:snapToGrid w:val="0"/>
          <w:color w:val="333333"/>
          <w:kern w:val="2"/>
          <w:sz w:val="28"/>
          <w:szCs w:val="28"/>
          <w:lang w:val="en-US" w:eastAsia="zh-CN" w:bidi="ar-SA"/>
        </w:rPr>
        <w:t>（2）资产管理安全性。</w:t>
      </w:r>
    </w:p>
    <w:p w14:paraId="2BA0093D">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75" w:afterAutospacing="0" w:line="500" w:lineRule="exact"/>
        <w:ind w:left="0" w:right="0" w:firstLine="420"/>
        <w:jc w:val="both"/>
        <w:textAlignment w:val="auto"/>
        <w:rPr>
          <w:rFonts w:hint="eastAsia" w:ascii="Times New Roman" w:hAnsi="Times New Roman" w:eastAsia="宋体" w:cs="Times New Roman"/>
          <w:snapToGrid w:val="0"/>
          <w:color w:val="333333"/>
          <w:kern w:val="2"/>
          <w:sz w:val="28"/>
          <w:szCs w:val="28"/>
          <w:lang w:val="en-US" w:eastAsia="zh-CN" w:bidi="ar-SA"/>
        </w:rPr>
      </w:pPr>
      <w:r>
        <w:rPr>
          <w:rFonts w:hint="eastAsia" w:ascii="Times New Roman" w:hAnsi="Times New Roman" w:eastAsia="宋体" w:cs="Times New Roman"/>
          <w:snapToGrid w:val="0"/>
          <w:color w:val="333333"/>
          <w:kern w:val="2"/>
          <w:sz w:val="28"/>
          <w:szCs w:val="28"/>
          <w:lang w:val="en-US" w:eastAsia="zh-CN" w:bidi="ar-SA"/>
        </w:rPr>
        <w:t>学校严格按照财政部门制定的资产配置合理编制资产配置预算，对没有规定资产配置标准的，坚持厉行节约、从严控制的原则，对于预算配置内的资产，按照规定进行资产登记。对于报损资产严格执行国有资产处置制度，履行审批手续，规范处置行为，防止国有资产流失。为防止国有资产流失，学校制定了详细的资产管理办法，对各类不同资产，均配有资产专管员，资产购置、管理和处置均由资产专管员按照规定进行申报，定期盘点，集中处置，确保资产，账账相符、账实相符。</w:t>
      </w:r>
    </w:p>
    <w:p w14:paraId="1992830F">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75" w:afterAutospacing="0" w:line="500" w:lineRule="exact"/>
        <w:ind w:left="0" w:right="0" w:firstLine="420"/>
        <w:jc w:val="both"/>
        <w:textAlignment w:val="auto"/>
        <w:rPr>
          <w:rFonts w:hint="eastAsia" w:ascii="Times New Roman" w:hAnsi="Times New Roman" w:eastAsia="宋体" w:cs="Times New Roman"/>
          <w:snapToGrid w:val="0"/>
          <w:color w:val="333333"/>
          <w:kern w:val="2"/>
          <w:sz w:val="28"/>
          <w:szCs w:val="28"/>
          <w:lang w:val="en-US" w:eastAsia="zh-CN" w:bidi="ar-SA"/>
        </w:rPr>
      </w:pPr>
      <w:r>
        <w:rPr>
          <w:rFonts w:hint="eastAsia" w:ascii="Times New Roman" w:hAnsi="Times New Roman" w:eastAsia="宋体" w:cs="Times New Roman"/>
          <w:snapToGrid w:val="0"/>
          <w:color w:val="333333"/>
          <w:kern w:val="2"/>
          <w:sz w:val="28"/>
          <w:szCs w:val="28"/>
          <w:lang w:val="en-US" w:eastAsia="zh-CN" w:bidi="ar-SA"/>
        </w:rPr>
        <w:t>6、职责履行</w:t>
      </w:r>
    </w:p>
    <w:p w14:paraId="38E66A2D">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75" w:afterAutospacing="0" w:line="500" w:lineRule="exact"/>
        <w:ind w:left="0" w:right="0" w:firstLine="420"/>
        <w:jc w:val="both"/>
        <w:textAlignment w:val="auto"/>
        <w:rPr>
          <w:rFonts w:hint="eastAsia" w:ascii="Times New Roman" w:hAnsi="Times New Roman" w:eastAsia="宋体" w:cs="Times New Roman"/>
          <w:snapToGrid w:val="0"/>
          <w:color w:val="333333"/>
          <w:kern w:val="2"/>
          <w:sz w:val="28"/>
          <w:szCs w:val="28"/>
          <w:lang w:val="en-US" w:eastAsia="zh-CN" w:bidi="ar-SA"/>
        </w:rPr>
      </w:pPr>
      <w:r>
        <w:rPr>
          <w:rFonts w:hint="eastAsia" w:ascii="Times New Roman" w:hAnsi="Times New Roman" w:eastAsia="宋体" w:cs="Times New Roman"/>
          <w:snapToGrid w:val="0"/>
          <w:color w:val="333333"/>
          <w:kern w:val="2"/>
          <w:sz w:val="28"/>
          <w:szCs w:val="28"/>
          <w:lang w:val="en-US" w:eastAsia="zh-CN" w:bidi="ar-SA"/>
        </w:rPr>
        <w:t>1.实际完成情况</w:t>
      </w:r>
    </w:p>
    <w:p w14:paraId="79D9087A">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75" w:afterAutospacing="0" w:line="500" w:lineRule="exact"/>
        <w:ind w:left="0" w:right="0" w:firstLine="420"/>
        <w:jc w:val="both"/>
        <w:textAlignment w:val="auto"/>
        <w:rPr>
          <w:rFonts w:hint="eastAsia" w:ascii="Times New Roman" w:hAnsi="Times New Roman" w:eastAsia="宋体" w:cs="Times New Roman"/>
          <w:snapToGrid w:val="0"/>
          <w:color w:val="333333"/>
          <w:kern w:val="2"/>
          <w:sz w:val="28"/>
          <w:szCs w:val="28"/>
          <w:lang w:val="en-US" w:eastAsia="zh-CN" w:bidi="ar-SA"/>
        </w:rPr>
      </w:pPr>
      <w:r>
        <w:rPr>
          <w:rFonts w:hint="eastAsia" w:ascii="Times New Roman" w:hAnsi="Times New Roman" w:eastAsia="宋体" w:cs="Times New Roman"/>
          <w:snapToGrid w:val="0"/>
          <w:color w:val="333333"/>
          <w:kern w:val="2"/>
          <w:sz w:val="28"/>
          <w:szCs w:val="28"/>
          <w:lang w:val="en-US" w:eastAsia="zh-CN" w:bidi="ar-SA"/>
        </w:rPr>
        <w:t>全年完成教研会召开8次、扩班一个、临聘教师招聘上报23人，完成计划目标。</w:t>
      </w:r>
    </w:p>
    <w:p w14:paraId="181A3148">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75" w:afterAutospacing="0" w:line="500" w:lineRule="exact"/>
        <w:ind w:left="0" w:right="0" w:firstLine="420"/>
        <w:jc w:val="both"/>
        <w:textAlignment w:val="auto"/>
        <w:rPr>
          <w:rFonts w:hint="eastAsia" w:ascii="Times New Roman" w:hAnsi="Times New Roman" w:eastAsia="宋体" w:cs="Times New Roman"/>
          <w:snapToGrid w:val="0"/>
          <w:color w:val="333333"/>
          <w:kern w:val="2"/>
          <w:sz w:val="28"/>
          <w:szCs w:val="28"/>
          <w:lang w:val="en-US" w:eastAsia="zh-CN" w:bidi="ar-SA"/>
        </w:rPr>
      </w:pPr>
      <w:r>
        <w:rPr>
          <w:rFonts w:hint="eastAsia" w:ascii="Times New Roman" w:hAnsi="Times New Roman" w:eastAsia="宋体" w:cs="Times New Roman"/>
          <w:snapToGrid w:val="0"/>
          <w:color w:val="333333"/>
          <w:kern w:val="2"/>
          <w:sz w:val="28"/>
          <w:szCs w:val="28"/>
          <w:lang w:val="en-US" w:eastAsia="zh-CN" w:bidi="ar-SA"/>
        </w:rPr>
        <w:t>2.质量达标情况</w:t>
      </w:r>
    </w:p>
    <w:p w14:paraId="017BA435">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75" w:afterAutospacing="0" w:line="500" w:lineRule="exact"/>
        <w:ind w:left="0" w:right="0" w:firstLine="420"/>
        <w:jc w:val="both"/>
        <w:textAlignment w:val="auto"/>
        <w:rPr>
          <w:rFonts w:hint="eastAsia" w:ascii="Times New Roman" w:hAnsi="Times New Roman" w:eastAsia="宋体" w:cs="Times New Roman"/>
          <w:snapToGrid w:val="0"/>
          <w:color w:val="333333"/>
          <w:kern w:val="2"/>
          <w:sz w:val="28"/>
          <w:szCs w:val="28"/>
          <w:lang w:val="en-US" w:eastAsia="zh-CN" w:bidi="ar-SA"/>
        </w:rPr>
      </w:pPr>
      <w:r>
        <w:rPr>
          <w:rFonts w:hint="eastAsia" w:ascii="Times New Roman" w:hAnsi="Times New Roman" w:eastAsia="宋体" w:cs="Times New Roman"/>
          <w:snapToGrid w:val="0"/>
          <w:color w:val="333333"/>
          <w:kern w:val="2"/>
          <w:sz w:val="28"/>
          <w:szCs w:val="28"/>
          <w:lang w:val="en-US" w:eastAsia="zh-CN" w:bidi="ar-SA"/>
        </w:rPr>
        <w:t>达标完成率100%，完成计划目标。</w:t>
      </w:r>
    </w:p>
    <w:p w14:paraId="485167C6">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75" w:afterAutospacing="0" w:line="500" w:lineRule="exact"/>
        <w:ind w:left="0" w:right="0" w:firstLine="420"/>
        <w:jc w:val="both"/>
        <w:textAlignment w:val="auto"/>
        <w:rPr>
          <w:rFonts w:hint="eastAsia" w:ascii="Times New Roman" w:hAnsi="Times New Roman" w:eastAsia="宋体" w:cs="Times New Roman"/>
          <w:snapToGrid w:val="0"/>
          <w:color w:val="333333"/>
          <w:kern w:val="2"/>
          <w:sz w:val="28"/>
          <w:szCs w:val="28"/>
          <w:lang w:val="en-US" w:eastAsia="zh-CN" w:bidi="ar-SA"/>
        </w:rPr>
      </w:pPr>
      <w:r>
        <w:rPr>
          <w:rFonts w:hint="eastAsia" w:ascii="Times New Roman" w:hAnsi="Times New Roman" w:eastAsia="宋体" w:cs="Times New Roman"/>
          <w:snapToGrid w:val="0"/>
          <w:color w:val="333333"/>
          <w:kern w:val="2"/>
          <w:sz w:val="28"/>
          <w:szCs w:val="28"/>
          <w:lang w:val="en-US" w:eastAsia="zh-CN" w:bidi="ar-SA"/>
        </w:rPr>
        <w:t>3.完成及时情况</w:t>
      </w:r>
    </w:p>
    <w:p w14:paraId="164C3944">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75" w:afterAutospacing="0" w:line="500" w:lineRule="exact"/>
        <w:ind w:left="0" w:right="0" w:firstLine="420"/>
        <w:jc w:val="both"/>
        <w:textAlignment w:val="auto"/>
        <w:rPr>
          <w:rFonts w:hint="eastAsia" w:ascii="Times New Roman" w:hAnsi="Times New Roman" w:eastAsia="宋体" w:cs="Times New Roman"/>
          <w:snapToGrid w:val="0"/>
          <w:color w:val="333333"/>
          <w:kern w:val="2"/>
          <w:sz w:val="28"/>
          <w:szCs w:val="28"/>
          <w:lang w:val="en-US" w:eastAsia="zh-CN" w:bidi="ar-SA"/>
        </w:rPr>
      </w:pPr>
      <w:r>
        <w:rPr>
          <w:rFonts w:hint="eastAsia" w:ascii="Times New Roman" w:hAnsi="Times New Roman" w:eastAsia="宋体" w:cs="Times New Roman"/>
          <w:snapToGrid w:val="0"/>
          <w:color w:val="333333"/>
          <w:kern w:val="2"/>
          <w:sz w:val="28"/>
          <w:szCs w:val="28"/>
          <w:lang w:val="en-US" w:eastAsia="zh-CN" w:bidi="ar-SA"/>
        </w:rPr>
        <w:t>2023年11月之前完成全年培训计划，完成计划目标。</w:t>
      </w:r>
    </w:p>
    <w:p w14:paraId="316721D3">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75" w:afterAutospacing="0" w:line="500" w:lineRule="exact"/>
        <w:ind w:left="0" w:right="0" w:firstLine="420"/>
        <w:jc w:val="both"/>
        <w:textAlignment w:val="auto"/>
        <w:rPr>
          <w:rFonts w:hint="eastAsia" w:ascii="Times New Roman" w:hAnsi="Times New Roman" w:eastAsia="宋体" w:cs="Times New Roman"/>
          <w:snapToGrid w:val="0"/>
          <w:color w:val="333333"/>
          <w:kern w:val="2"/>
          <w:sz w:val="28"/>
          <w:szCs w:val="28"/>
          <w:lang w:val="en-US" w:eastAsia="zh-CN" w:bidi="ar-SA"/>
        </w:rPr>
      </w:pPr>
      <w:r>
        <w:rPr>
          <w:rFonts w:hint="eastAsia" w:ascii="Times New Roman" w:hAnsi="Times New Roman" w:eastAsia="宋体" w:cs="Times New Roman"/>
          <w:snapToGrid w:val="0"/>
          <w:color w:val="333333"/>
          <w:kern w:val="2"/>
          <w:sz w:val="28"/>
          <w:szCs w:val="28"/>
          <w:lang w:val="en-US" w:eastAsia="zh-CN" w:bidi="ar-SA"/>
        </w:rPr>
        <w:t>7、履职效益情况</w:t>
      </w:r>
    </w:p>
    <w:p w14:paraId="2B5B48E6">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75" w:afterAutospacing="0" w:line="500" w:lineRule="exact"/>
        <w:ind w:left="0" w:right="0" w:firstLine="420"/>
        <w:jc w:val="both"/>
        <w:textAlignment w:val="auto"/>
        <w:rPr>
          <w:rFonts w:hint="eastAsia" w:ascii="Times New Roman" w:hAnsi="Times New Roman" w:eastAsia="宋体" w:cs="Times New Roman"/>
          <w:snapToGrid w:val="0"/>
          <w:color w:val="333333"/>
          <w:kern w:val="2"/>
          <w:sz w:val="28"/>
          <w:szCs w:val="28"/>
          <w:lang w:val="en-US" w:eastAsia="zh-CN" w:bidi="ar-SA"/>
        </w:rPr>
      </w:pPr>
      <w:r>
        <w:rPr>
          <w:rFonts w:hint="eastAsia" w:ascii="Times New Roman" w:hAnsi="Times New Roman" w:eastAsia="宋体" w:cs="Times New Roman"/>
          <w:snapToGrid w:val="0"/>
          <w:color w:val="333333"/>
          <w:kern w:val="2"/>
          <w:sz w:val="28"/>
          <w:szCs w:val="28"/>
          <w:lang w:val="en-US" w:eastAsia="zh-CN" w:bidi="ar-SA"/>
        </w:rPr>
        <w:t>（1）社会效益</w:t>
      </w:r>
    </w:p>
    <w:p w14:paraId="255E1544">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75" w:afterAutospacing="0" w:line="500" w:lineRule="exact"/>
        <w:ind w:left="0" w:right="0" w:firstLine="420"/>
        <w:jc w:val="both"/>
        <w:textAlignment w:val="auto"/>
        <w:rPr>
          <w:rFonts w:hint="eastAsia" w:ascii="Times New Roman" w:hAnsi="Times New Roman" w:eastAsia="宋体" w:cs="Times New Roman"/>
          <w:snapToGrid w:val="0"/>
          <w:color w:val="333333"/>
          <w:kern w:val="2"/>
          <w:sz w:val="28"/>
          <w:szCs w:val="28"/>
          <w:lang w:val="en-US" w:eastAsia="zh-CN" w:bidi="ar-SA"/>
        </w:rPr>
      </w:pPr>
      <w:r>
        <w:rPr>
          <w:rFonts w:hint="eastAsia" w:ascii="Times New Roman" w:hAnsi="Times New Roman" w:eastAsia="宋体" w:cs="Times New Roman"/>
          <w:snapToGrid w:val="0"/>
          <w:color w:val="333333"/>
          <w:kern w:val="2"/>
          <w:sz w:val="28"/>
          <w:szCs w:val="28"/>
          <w:lang w:val="en-US" w:eastAsia="zh-CN" w:bidi="ar-SA"/>
        </w:rPr>
        <w:t>提升了教学硬件条件，提高了教师职业素养、业务能力，完成计划目标。</w:t>
      </w:r>
    </w:p>
    <w:p w14:paraId="157C2075">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75" w:afterAutospacing="0" w:line="500" w:lineRule="exact"/>
        <w:ind w:left="0" w:right="0" w:firstLine="420"/>
        <w:jc w:val="both"/>
        <w:textAlignment w:val="auto"/>
        <w:rPr>
          <w:rFonts w:hint="eastAsia" w:ascii="Times New Roman" w:hAnsi="Times New Roman" w:eastAsia="宋体" w:cs="Times New Roman"/>
          <w:snapToGrid w:val="0"/>
          <w:color w:val="333333"/>
          <w:kern w:val="2"/>
          <w:sz w:val="28"/>
          <w:szCs w:val="28"/>
          <w:lang w:val="en-US" w:eastAsia="zh-CN" w:bidi="ar-SA"/>
        </w:rPr>
      </w:pPr>
      <w:r>
        <w:rPr>
          <w:rFonts w:hint="eastAsia" w:ascii="Times New Roman" w:hAnsi="Times New Roman" w:eastAsia="宋体" w:cs="Times New Roman"/>
          <w:snapToGrid w:val="0"/>
          <w:color w:val="333333"/>
          <w:kern w:val="2"/>
          <w:sz w:val="28"/>
          <w:szCs w:val="28"/>
          <w:lang w:val="en-US" w:eastAsia="zh-CN" w:bidi="ar-SA"/>
        </w:rPr>
        <w:t>（2）可持续影响效益</w:t>
      </w:r>
    </w:p>
    <w:p w14:paraId="4D888641">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75" w:afterAutospacing="0" w:line="500" w:lineRule="exact"/>
        <w:ind w:left="0" w:right="0" w:firstLine="420"/>
        <w:jc w:val="both"/>
        <w:textAlignment w:val="auto"/>
        <w:rPr>
          <w:rFonts w:hint="eastAsia" w:ascii="Times New Roman" w:hAnsi="Times New Roman" w:eastAsia="宋体" w:cs="Times New Roman"/>
          <w:snapToGrid w:val="0"/>
          <w:color w:val="333333"/>
          <w:kern w:val="2"/>
          <w:sz w:val="28"/>
          <w:szCs w:val="28"/>
          <w:lang w:val="en-US" w:eastAsia="zh-CN" w:bidi="ar-SA"/>
        </w:rPr>
      </w:pPr>
      <w:r>
        <w:rPr>
          <w:rFonts w:hint="eastAsia" w:ascii="Times New Roman" w:hAnsi="Times New Roman" w:eastAsia="宋体" w:cs="Times New Roman"/>
          <w:snapToGrid w:val="0"/>
          <w:color w:val="333333"/>
          <w:kern w:val="2"/>
          <w:sz w:val="28"/>
          <w:szCs w:val="28"/>
          <w:lang w:val="en-US" w:eastAsia="zh-CN" w:bidi="ar-SA"/>
        </w:rPr>
        <w:t>学校校园环境提升，完成计划目标。</w:t>
      </w:r>
    </w:p>
    <w:p w14:paraId="5455210F">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75" w:afterAutospacing="0" w:line="500" w:lineRule="exact"/>
        <w:ind w:left="0" w:right="0" w:firstLine="420"/>
        <w:jc w:val="both"/>
        <w:textAlignment w:val="auto"/>
        <w:rPr>
          <w:rFonts w:hint="eastAsia" w:ascii="Times New Roman" w:hAnsi="Times New Roman" w:eastAsia="宋体" w:cs="Times New Roman"/>
          <w:snapToGrid w:val="0"/>
          <w:color w:val="333333"/>
          <w:kern w:val="2"/>
          <w:sz w:val="28"/>
          <w:szCs w:val="28"/>
          <w:lang w:val="en-US" w:eastAsia="zh-CN" w:bidi="ar-SA"/>
        </w:rPr>
      </w:pPr>
      <w:r>
        <w:rPr>
          <w:rFonts w:hint="eastAsia" w:ascii="Times New Roman" w:hAnsi="Times New Roman" w:eastAsia="宋体" w:cs="Times New Roman"/>
          <w:snapToGrid w:val="0"/>
          <w:color w:val="333333"/>
          <w:kern w:val="2"/>
          <w:sz w:val="28"/>
          <w:szCs w:val="28"/>
          <w:lang w:val="en-US" w:eastAsia="zh-CN" w:bidi="ar-SA"/>
        </w:rPr>
        <w:t>（3）满意度</w:t>
      </w:r>
    </w:p>
    <w:p w14:paraId="391FDA06">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75" w:afterAutospacing="0" w:line="500" w:lineRule="exact"/>
        <w:ind w:left="0" w:right="0" w:firstLine="420"/>
        <w:jc w:val="both"/>
        <w:textAlignment w:val="auto"/>
        <w:rPr>
          <w:rFonts w:hint="eastAsia" w:ascii="Times New Roman" w:hAnsi="Times New Roman" w:eastAsia="宋体" w:cs="Times New Roman"/>
          <w:snapToGrid w:val="0"/>
          <w:color w:val="333333"/>
          <w:kern w:val="2"/>
          <w:sz w:val="28"/>
          <w:szCs w:val="28"/>
          <w:lang w:val="en-US" w:eastAsia="zh-CN" w:bidi="ar-SA"/>
        </w:rPr>
      </w:pPr>
      <w:r>
        <w:rPr>
          <w:rFonts w:hint="eastAsia" w:ascii="Times New Roman" w:hAnsi="Times New Roman" w:eastAsia="宋体" w:cs="Times New Roman"/>
          <w:snapToGrid w:val="0"/>
          <w:color w:val="333333"/>
          <w:kern w:val="2"/>
          <w:sz w:val="28"/>
          <w:szCs w:val="28"/>
          <w:lang w:val="en-US" w:eastAsia="zh-CN" w:bidi="ar-SA"/>
        </w:rPr>
        <w:t>师生满意度达100%，完成计划目标。</w:t>
      </w:r>
    </w:p>
    <w:p w14:paraId="0D124086">
      <w:pPr>
        <w:widowControl w:val="0"/>
        <w:kinsoku/>
        <w:overflowPunct w:val="0"/>
        <w:spacing w:line="360" w:lineRule="auto"/>
        <w:ind w:firstLine="615" w:firstLineChars="200"/>
        <w:outlineLvl w:val="6"/>
        <w:rPr>
          <w:rFonts w:ascii="黑体" w:hAnsi="黑体" w:eastAsia="黑体" w:cs="黑体"/>
          <w:b/>
          <w:bCs/>
          <w:spacing w:val="-7"/>
          <w:sz w:val="32"/>
          <w:szCs w:val="32"/>
          <w:lang w:eastAsia="zh-CN"/>
        </w:rPr>
      </w:pPr>
    </w:p>
    <w:p w14:paraId="6D6CC091">
      <w:pPr>
        <w:widowControl w:val="0"/>
        <w:kinsoku/>
        <w:overflowPunct w:val="0"/>
        <w:spacing w:line="360" w:lineRule="auto"/>
        <w:ind w:firstLine="615" w:firstLineChars="200"/>
        <w:outlineLvl w:val="6"/>
        <w:rPr>
          <w:rFonts w:ascii="黑体" w:hAnsi="黑体" w:eastAsia="黑体" w:cs="黑体"/>
          <w:sz w:val="32"/>
          <w:szCs w:val="32"/>
          <w:lang w:eastAsia="zh-CN"/>
        </w:rPr>
      </w:pPr>
      <w:r>
        <w:rPr>
          <w:rFonts w:ascii="黑体" w:hAnsi="黑体" w:eastAsia="黑体" w:cs="黑体"/>
          <w:b/>
          <w:bCs/>
          <w:spacing w:val="-7"/>
          <w:sz w:val="32"/>
          <w:szCs w:val="32"/>
          <w:lang w:eastAsia="zh-CN"/>
        </w:rPr>
        <w:t>七、存在的问题及原因分析</w:t>
      </w:r>
    </w:p>
    <w:p w14:paraId="29D02558">
      <w:pPr>
        <w:pStyle w:val="3"/>
        <w:spacing w:before="0" w:beforeAutospacing="0" w:after="0" w:afterAutospacing="0" w:line="570" w:lineRule="atLeast"/>
        <w:ind w:firstLine="640"/>
        <w:rPr>
          <w:rFonts w:hint="eastAsia"/>
          <w:color w:val="333333"/>
          <w:sz w:val="28"/>
          <w:szCs w:val="28"/>
          <w:lang w:val="en-US" w:eastAsia="zh-CN"/>
        </w:rPr>
      </w:pPr>
      <w:r>
        <w:rPr>
          <w:rFonts w:hint="eastAsia"/>
          <w:color w:val="333333"/>
          <w:sz w:val="28"/>
          <w:szCs w:val="28"/>
          <w:lang w:val="en-US" w:eastAsia="zh-CN"/>
        </w:rPr>
        <w:t>公用经费控制不到位，执行偏离绩效目标，主要是预算资金实际支出具有不可预见性，公用经费控制率的实际情况与预算存在一定的差距。</w:t>
      </w:r>
    </w:p>
    <w:p w14:paraId="21E761CB">
      <w:pPr>
        <w:widowControl w:val="0"/>
        <w:kinsoku/>
        <w:overflowPunct w:val="0"/>
        <w:spacing w:line="360" w:lineRule="auto"/>
        <w:ind w:firstLine="588" w:firstLineChars="200"/>
        <w:rPr>
          <w:rFonts w:ascii="黑体" w:hAnsi="黑体" w:eastAsia="黑体" w:cs="黑体"/>
          <w:sz w:val="32"/>
          <w:szCs w:val="32"/>
          <w:lang w:eastAsia="zh-CN"/>
        </w:rPr>
      </w:pPr>
      <w:r>
        <w:rPr>
          <w:rFonts w:ascii="黑体" w:hAnsi="黑体" w:eastAsia="黑体" w:cs="黑体"/>
          <w:spacing w:val="-13"/>
          <w:sz w:val="32"/>
          <w:szCs w:val="32"/>
          <w:lang w:eastAsia="zh-CN"/>
        </w:rPr>
        <w:t>八、下一步改进措施</w:t>
      </w:r>
    </w:p>
    <w:p w14:paraId="6AF4493E">
      <w:pPr>
        <w:pStyle w:val="3"/>
        <w:spacing w:before="0" w:beforeAutospacing="0" w:after="0" w:afterAutospacing="0" w:line="570" w:lineRule="atLeast"/>
        <w:ind w:firstLine="640"/>
        <w:rPr>
          <w:rFonts w:ascii="黑体" w:hAnsi="黑体" w:eastAsia="黑体" w:cs="黑体"/>
          <w:spacing w:val="-13"/>
          <w:sz w:val="32"/>
          <w:szCs w:val="32"/>
          <w:lang w:eastAsia="zh-CN"/>
        </w:rPr>
      </w:pPr>
      <w:r>
        <w:rPr>
          <w:rFonts w:hint="eastAsia"/>
          <w:color w:val="333333"/>
          <w:sz w:val="28"/>
          <w:szCs w:val="28"/>
        </w:rPr>
        <w:t>切实做好预算编制工作，做好本单位情况调查，仔细测算部门资金需求，努力使预算资金合理。进一步建立健全财务制度，规范财务管理，加强绩效评价管理评价的可操作性，对相关业务人员进行相关培训，以提高业务知识水平。</w:t>
      </w:r>
    </w:p>
    <w:p w14:paraId="61B2CABA">
      <w:pPr>
        <w:widowControl w:val="0"/>
        <w:numPr>
          <w:ilvl w:val="0"/>
          <w:numId w:val="1"/>
        </w:numPr>
        <w:kinsoku/>
        <w:overflowPunct w:val="0"/>
        <w:spacing w:line="360" w:lineRule="auto"/>
        <w:ind w:firstLine="588" w:firstLineChars="200"/>
        <w:rPr>
          <w:rFonts w:ascii="黑体" w:hAnsi="黑体" w:eastAsia="黑体" w:cs="黑体"/>
          <w:spacing w:val="-13"/>
          <w:sz w:val="32"/>
          <w:szCs w:val="32"/>
          <w:lang w:eastAsia="zh-CN"/>
        </w:rPr>
      </w:pPr>
      <w:r>
        <w:rPr>
          <w:rFonts w:ascii="黑体" w:hAnsi="黑体" w:eastAsia="黑体" w:cs="黑体"/>
          <w:spacing w:val="-13"/>
          <w:sz w:val="32"/>
          <w:szCs w:val="32"/>
          <w:lang w:eastAsia="zh-CN"/>
        </w:rPr>
        <w:t>其他需要说明的情况</w:t>
      </w:r>
    </w:p>
    <w:p w14:paraId="7FEF4BAC">
      <w:pPr>
        <w:widowControl w:val="0"/>
        <w:numPr>
          <w:numId w:val="0"/>
        </w:numPr>
        <w:kinsoku/>
        <w:overflowPunct w:val="0"/>
        <w:spacing w:line="360" w:lineRule="auto"/>
        <w:ind w:firstLine="1120" w:firstLineChars="400"/>
        <w:rPr>
          <w:rFonts w:hint="eastAsia"/>
          <w:color w:val="333333"/>
          <w:sz w:val="28"/>
          <w:szCs w:val="28"/>
          <w:lang w:val="en-US" w:eastAsia="zh-CN"/>
        </w:rPr>
      </w:pPr>
      <w:r>
        <w:rPr>
          <w:rFonts w:hint="eastAsia"/>
          <w:color w:val="333333"/>
          <w:sz w:val="28"/>
          <w:szCs w:val="28"/>
          <w:lang w:val="en-US" w:eastAsia="zh-CN"/>
        </w:rPr>
        <w:t>无其他需要说明的情况。</w:t>
      </w:r>
    </w:p>
    <w:p w14:paraId="4FBA63C4">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75" w:afterAutospacing="0" w:line="500" w:lineRule="exact"/>
        <w:ind w:right="0" w:firstLine="5880" w:firstLineChars="2100"/>
        <w:jc w:val="both"/>
        <w:textAlignment w:val="auto"/>
        <w:rPr>
          <w:rFonts w:hint="eastAsia" w:ascii="Times New Roman" w:hAnsi="Times New Roman" w:eastAsia="宋体" w:cs="Times New Roman"/>
          <w:color w:val="333333"/>
          <w:kern w:val="2"/>
          <w:sz w:val="28"/>
          <w:szCs w:val="28"/>
          <w:lang w:val="en-US" w:eastAsia="zh-CN" w:bidi="ar-SA"/>
        </w:rPr>
      </w:pPr>
      <w:r>
        <w:rPr>
          <w:rFonts w:hint="eastAsia" w:ascii="Times New Roman" w:hAnsi="Times New Roman" w:eastAsia="宋体" w:cs="Times New Roman"/>
          <w:color w:val="333333"/>
          <w:kern w:val="2"/>
          <w:sz w:val="28"/>
          <w:szCs w:val="28"/>
          <w:lang w:val="en-US" w:eastAsia="zh-CN" w:bidi="ar-SA"/>
        </w:rPr>
        <w:t>怀化市东晟中学</w:t>
      </w:r>
    </w:p>
    <w:p w14:paraId="6D84C020">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75" w:afterAutospacing="0" w:line="500" w:lineRule="exact"/>
        <w:ind w:right="0" w:firstLine="5880" w:firstLineChars="2100"/>
        <w:jc w:val="both"/>
        <w:textAlignment w:val="auto"/>
        <w:rPr>
          <w:rFonts w:hint="eastAsia" w:ascii="Times New Roman" w:hAnsi="Times New Roman" w:eastAsia="宋体" w:cs="Times New Roman"/>
          <w:color w:val="333333"/>
          <w:kern w:val="2"/>
          <w:sz w:val="28"/>
          <w:szCs w:val="28"/>
          <w:lang w:val="en-US" w:eastAsia="zh-CN" w:bidi="ar-SA"/>
        </w:rPr>
      </w:pPr>
      <w:r>
        <w:rPr>
          <w:rFonts w:hint="eastAsia" w:ascii="Times New Roman" w:hAnsi="Times New Roman" w:eastAsia="宋体" w:cs="Times New Roman"/>
          <w:color w:val="333333"/>
          <w:kern w:val="2"/>
          <w:sz w:val="28"/>
          <w:szCs w:val="28"/>
          <w:lang w:val="en-US" w:eastAsia="zh-CN" w:bidi="ar-SA"/>
        </w:rPr>
        <w:t>2024年10月29日</w:t>
      </w:r>
    </w:p>
    <w:p w14:paraId="537767C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方正小标宋_GBK">
    <w:altName w:val="微软雅黑"/>
    <w:panose1 w:val="03000509000000000000"/>
    <w:charset w:val="86"/>
    <w:family w:val="script"/>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221CD78"/>
    <w:multiLevelType w:val="singleLevel"/>
    <w:tmpl w:val="1221CD78"/>
    <w:lvl w:ilvl="0" w:tentative="0">
      <w:start w:val="9"/>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RiZDhlZWViYzY1NDBkYmMwYWUyMTAyZTY5MWQ4ZTYifQ=="/>
  </w:docVars>
  <w:rsids>
    <w:rsidRoot w:val="66785ED3"/>
    <w:rsid w:val="006E7193"/>
    <w:rsid w:val="105D08E7"/>
    <w:rsid w:val="1BAE6984"/>
    <w:rsid w:val="21B43662"/>
    <w:rsid w:val="26480583"/>
    <w:rsid w:val="28F811E9"/>
    <w:rsid w:val="2A313301"/>
    <w:rsid w:val="2C2979A7"/>
    <w:rsid w:val="42531BC1"/>
    <w:rsid w:val="44DF45D3"/>
    <w:rsid w:val="48FC53FB"/>
    <w:rsid w:val="4EF120B3"/>
    <w:rsid w:val="523F0C3F"/>
    <w:rsid w:val="54AF6350"/>
    <w:rsid w:val="55A94624"/>
    <w:rsid w:val="582E113A"/>
    <w:rsid w:val="630F2E28"/>
    <w:rsid w:val="652427D0"/>
    <w:rsid w:val="66785ED3"/>
    <w:rsid w:val="6BDB3A77"/>
    <w:rsid w:val="6C1C72EC"/>
    <w:rsid w:val="713235A4"/>
    <w:rsid w:val="77DC456C"/>
    <w:rsid w:val="7CF90BE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semiHidden/>
    <w:qFormat/>
    <w:uiPriority w:val="0"/>
    <w:rPr>
      <w:rFonts w:ascii="仿宋" w:hAnsi="仿宋" w:eastAsia="仿宋" w:cs="仿宋"/>
      <w:sz w:val="36"/>
      <w:szCs w:val="36"/>
    </w:r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 w:type="paragraph" w:styleId="6">
    <w:name w:val="No Spacing"/>
    <w:qFormat/>
    <w:uiPriority w:val="0"/>
    <w:pPr>
      <w:widowControl w:val="0"/>
      <w:jc w:val="both"/>
    </w:pPr>
    <w:rPr>
      <w:rFonts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2610</Words>
  <Characters>2748</Characters>
  <Lines>0</Lines>
  <Paragraphs>0</Paragraphs>
  <TotalTime>108</TotalTime>
  <ScaleCrop>false</ScaleCrop>
  <LinksUpToDate>false</LinksUpToDate>
  <CharactersWithSpaces>2755</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2024-10-29T02:44:00Z</dcterms:created>
  <dc:creator>镜中花水中月</dc:creator>
  <cp:lastModifiedBy>镜中花水中月</cp:lastModifiedBy>
  <cp:lastPrinted>2024-11-08T01:01:42Z</cp:lastPrinted>
  <dcterms:modified xsi:type="dcterms:W3CDTF">2024-11-08T01:13:09Z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19E0925F5E7D4A11ADFB05686492B064_13</vt:lpwstr>
  </property>
</Properties>
</file>