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9B7DAF">
      <w:pPr>
        <w:pStyle w:val="2"/>
        <w:widowControl w:val="0"/>
        <w:kinsoku/>
        <w:overflowPunct w:val="0"/>
        <w:spacing w:line="360" w:lineRule="auto"/>
        <w:rPr>
          <w:spacing w:val="17"/>
          <w:sz w:val="32"/>
          <w:szCs w:val="32"/>
          <w:lang w:eastAsia="zh-CN"/>
        </w:rPr>
      </w:pPr>
    </w:p>
    <w:p w14:paraId="37BE4056">
      <w:pPr>
        <w:pStyle w:val="2"/>
        <w:widowControl w:val="0"/>
        <w:kinsoku/>
        <w:overflowPunct w:val="0"/>
        <w:spacing w:line="360" w:lineRule="auto"/>
        <w:rPr>
          <w:sz w:val="32"/>
          <w:szCs w:val="32"/>
          <w:lang w:eastAsia="zh-CN"/>
        </w:rPr>
      </w:pPr>
      <w:r>
        <w:rPr>
          <w:spacing w:val="17"/>
          <w:sz w:val="32"/>
          <w:szCs w:val="32"/>
          <w:lang w:eastAsia="zh-CN"/>
        </w:rPr>
        <w:t>附件1</w:t>
      </w:r>
    </w:p>
    <w:p w14:paraId="309AABE9">
      <w:pPr>
        <w:widowControl w:val="0"/>
        <w:kinsoku/>
        <w:overflowPunct w:val="0"/>
        <w:spacing w:line="360" w:lineRule="auto"/>
        <w:ind w:firstLine="855" w:firstLineChars="200"/>
        <w:jc w:val="center"/>
        <w:rPr>
          <w:rFonts w:ascii="宋体" w:hAnsi="宋体" w:eastAsia="宋体" w:cs="宋体"/>
          <w:sz w:val="44"/>
          <w:szCs w:val="44"/>
          <w:lang w:eastAsia="zh-CN"/>
        </w:rPr>
      </w:pPr>
      <w:r>
        <w:rPr>
          <w:rFonts w:hint="eastAsia" w:ascii="宋体" w:hAnsi="宋体" w:eastAsia="宋体" w:cs="宋体"/>
          <w:b/>
          <w:bCs/>
          <w:spacing w:val="-7"/>
          <w:sz w:val="44"/>
          <w:szCs w:val="44"/>
          <w:lang w:eastAsia="zh-CN"/>
        </w:rPr>
        <w:t>2023年度黄岩旅游度假区管理处部门（单位）</w:t>
      </w:r>
      <w:r>
        <w:rPr>
          <w:rFonts w:ascii="宋体" w:hAnsi="宋体" w:eastAsia="宋体" w:cs="宋体"/>
          <w:b/>
          <w:bCs/>
          <w:spacing w:val="-7"/>
          <w:sz w:val="44"/>
          <w:szCs w:val="44"/>
          <w:lang w:eastAsia="zh-CN"/>
        </w:rPr>
        <w:t>部门整体支出绩效自评报告</w:t>
      </w:r>
    </w:p>
    <w:p w14:paraId="05B889D9">
      <w:pPr>
        <w:widowControl w:val="0"/>
        <w:kinsoku/>
        <w:overflowPunct w:val="0"/>
        <w:spacing w:line="360" w:lineRule="auto"/>
        <w:rPr>
          <w:sz w:val="32"/>
          <w:szCs w:val="32"/>
          <w:lang w:eastAsia="zh-CN"/>
        </w:rPr>
      </w:pPr>
    </w:p>
    <w:p w14:paraId="3DECC108">
      <w:pPr>
        <w:widowControl w:val="0"/>
        <w:kinsoku/>
        <w:overflowPunct w:val="0"/>
        <w:spacing w:line="360" w:lineRule="auto"/>
        <w:ind w:firstLine="603" w:firstLineChars="200"/>
        <w:outlineLvl w:val="6"/>
        <w:rPr>
          <w:rFonts w:ascii="黑体" w:hAnsi="黑体" w:eastAsia="黑体" w:cs="黑体"/>
          <w:sz w:val="32"/>
          <w:szCs w:val="32"/>
          <w:lang w:eastAsia="zh-CN"/>
        </w:rPr>
      </w:pPr>
      <w:r>
        <w:rPr>
          <w:rFonts w:ascii="黑体" w:hAnsi="黑体" w:eastAsia="黑体" w:cs="黑体"/>
          <w:b/>
          <w:bCs/>
          <w:spacing w:val="-10"/>
          <w:sz w:val="32"/>
          <w:szCs w:val="32"/>
          <w:lang w:eastAsia="zh-CN"/>
        </w:rPr>
        <w:t>一、部门、单位基本情况</w:t>
      </w:r>
    </w:p>
    <w:p w14:paraId="2A8232E0">
      <w:pPr>
        <w:widowControl w:val="0"/>
        <w:kinsoku/>
        <w:overflowPunct w:val="0"/>
        <w:spacing w:line="360" w:lineRule="auto"/>
        <w:ind w:firstLine="620" w:firstLineChars="200"/>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(一)机构设置情况</w:t>
      </w:r>
    </w:p>
    <w:p w14:paraId="0CC0E4B6">
      <w:pPr>
        <w:widowControl w:val="0"/>
        <w:kinsoku/>
        <w:overflowPunct w:val="0"/>
        <w:spacing w:line="360" w:lineRule="auto"/>
        <w:ind w:firstLine="620" w:firstLineChars="200"/>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黄岩管理处下设党政办公</w:t>
      </w:r>
      <w:bookmarkStart w:id="0" w:name="_GoBack"/>
      <w:bookmarkEnd w:id="0"/>
      <w:r>
        <w:rPr>
          <w:rFonts w:hint="eastAsia" w:ascii="仿宋" w:hAnsi="仿宋" w:eastAsia="仿宋" w:cs="仿宋"/>
          <w:snapToGrid w:val="0"/>
          <w:color w:val="000000"/>
          <w:spacing w:val="-5"/>
          <w:sz w:val="32"/>
          <w:szCs w:val="32"/>
          <w:lang w:val="en-US" w:eastAsia="zh-CN" w:bidi="ar-SA"/>
        </w:rPr>
        <w:t>室、党建办公室（监察室）、经济发展办公室、社会事务办公室、自然资源和生态环境办公室、应急能力建设管理办公室，同时有外派机构财政所、综合行政执法中队、黄岩司法所、市场监管所。</w:t>
      </w:r>
    </w:p>
    <w:p w14:paraId="2BEA9A30">
      <w:pPr>
        <w:widowControl w:val="0"/>
        <w:kinsoku/>
        <w:overflowPunct w:val="0"/>
        <w:spacing w:line="360" w:lineRule="auto"/>
        <w:ind w:firstLine="620" w:firstLineChars="200"/>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(二)人员编制情况</w:t>
      </w:r>
    </w:p>
    <w:p w14:paraId="6473C9A9">
      <w:pPr>
        <w:widowControl w:val="0"/>
        <w:kinsoku/>
        <w:overflowPunct w:val="0"/>
        <w:spacing w:line="360" w:lineRule="auto"/>
        <w:ind w:firstLine="620" w:firstLineChars="200"/>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黄岩管理处属于鹤城区财政全额拨款事业单位，人员编制35人，其中：事业编制35人。2023年末实有在职干部职工35人，其中：事业人员35人。另有退休人员2人，差额事业编制3人。</w:t>
      </w:r>
    </w:p>
    <w:p w14:paraId="13A62025">
      <w:pPr>
        <w:widowControl w:val="0"/>
        <w:kinsoku/>
        <w:overflowPunct w:val="0"/>
        <w:spacing w:line="360" w:lineRule="auto"/>
        <w:ind w:firstLine="620" w:firstLineChars="200"/>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(三)主要职能职责</w:t>
      </w:r>
    </w:p>
    <w:p w14:paraId="3BDB7254">
      <w:pPr>
        <w:widowControl w:val="0"/>
        <w:kinsoku/>
        <w:overflowPunct w:val="0"/>
        <w:spacing w:line="360" w:lineRule="auto"/>
        <w:ind w:firstLine="620" w:firstLineChars="200"/>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在区委、区政府的正确领导和指导下，负责承办区政府职能部门在全处开展的行政性事务工作以及其他由政府确定进入乡村的行政管理工作事项。负责全处的社会经济发展工作，负责落实党中央国务院一系列的惠农政策工作，负责做好与全处人民群众利益有关的社会保障、劳务输出、社会稳定、计划生育、优抚救济、村民自治，办理乡村的公共、公益事业等工作。</w:t>
      </w:r>
    </w:p>
    <w:p w14:paraId="5131F5CF">
      <w:pPr>
        <w:widowControl w:val="0"/>
        <w:kinsoku/>
        <w:overflowPunct w:val="0"/>
        <w:spacing w:line="360" w:lineRule="auto"/>
        <w:ind w:firstLine="620" w:firstLineChars="200"/>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(四)绩效目标设定情况</w:t>
      </w:r>
    </w:p>
    <w:p w14:paraId="2D878957">
      <w:pPr>
        <w:keepNext w:val="0"/>
        <w:keepLines w:val="0"/>
        <w:pageBreakBefore w:val="0"/>
        <w:widowControl w:val="0"/>
        <w:kinsoku/>
        <w:wordWrap/>
        <w:overflowPunct w:val="0"/>
        <w:topLinePunct w:val="0"/>
        <w:autoSpaceDE w:val="0"/>
        <w:autoSpaceDN w:val="0"/>
        <w:bidi w:val="0"/>
        <w:adjustRightInd w:val="0"/>
        <w:snapToGrid w:val="0"/>
        <w:spacing w:line="360" w:lineRule="auto"/>
        <w:ind w:firstLine="620" w:firstLineChars="200"/>
        <w:textAlignment w:val="baseline"/>
        <w:rPr>
          <w:rFonts w:ascii="楷体" w:hAnsi="楷体" w:eastAsia="楷体" w:cs="楷体"/>
          <w:spacing w:val="9"/>
          <w:sz w:val="32"/>
          <w:szCs w:val="32"/>
          <w:lang w:eastAsia="zh-CN"/>
        </w:rPr>
      </w:pPr>
      <w:r>
        <w:rPr>
          <w:rFonts w:hint="eastAsia" w:ascii="仿宋" w:hAnsi="仿宋" w:eastAsia="仿宋" w:cs="仿宋"/>
          <w:snapToGrid w:val="0"/>
          <w:color w:val="000000"/>
          <w:spacing w:val="-5"/>
          <w:sz w:val="32"/>
          <w:szCs w:val="32"/>
          <w:lang w:val="en-US" w:eastAsia="zh-CN" w:bidi="ar-SA"/>
        </w:rPr>
        <w:t>设定绩效目标为合理使用资金，确保黄岩管理处全年重点工作任务完成，履职目标实现，履职效益明显，服务群众满意度良好。</w:t>
      </w:r>
    </w:p>
    <w:p w14:paraId="178E8C64">
      <w:pPr>
        <w:widowControl w:val="0"/>
        <w:kinsoku/>
        <w:overflowPunct w:val="0"/>
        <w:spacing w:line="360" w:lineRule="auto"/>
        <w:ind w:firstLine="583" w:firstLineChars="200"/>
        <w:outlineLvl w:val="6"/>
        <w:rPr>
          <w:rFonts w:ascii="黑体" w:hAnsi="黑体" w:eastAsia="黑体" w:cs="黑体"/>
          <w:sz w:val="32"/>
          <w:szCs w:val="32"/>
          <w:lang w:eastAsia="zh-CN"/>
        </w:rPr>
      </w:pPr>
      <w:r>
        <w:rPr>
          <w:rFonts w:ascii="黑体" w:hAnsi="黑体" w:eastAsia="黑体" w:cs="黑体"/>
          <w:b/>
          <w:bCs/>
          <w:spacing w:val="-15"/>
          <w:sz w:val="32"/>
          <w:szCs w:val="32"/>
          <w:lang w:eastAsia="zh-CN"/>
        </w:rPr>
        <w:t>二、部门整体支出管理及使用情况</w:t>
      </w:r>
    </w:p>
    <w:p w14:paraId="47B9EF80">
      <w:pPr>
        <w:widowControl w:val="0"/>
        <w:kinsoku/>
        <w:overflowPunct w:val="0"/>
        <w:spacing w:line="360" w:lineRule="auto"/>
        <w:ind w:firstLine="620" w:firstLineChars="200"/>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(一)预算执行、使用、管理总体情况。</w:t>
      </w:r>
    </w:p>
    <w:p w14:paraId="1010EC08">
      <w:pPr>
        <w:widowControl w:val="0"/>
        <w:kinsoku/>
        <w:overflowPunct w:val="0"/>
        <w:spacing w:line="360" w:lineRule="auto"/>
        <w:ind w:firstLine="620" w:firstLineChars="200"/>
        <w:rPr>
          <w:rFonts w:hint="default"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部门整体支出1310.04万元，主要使用方向为在职人员工资和福利发放、日常工作经费支出、各级安排的项目支出，涉及范围为黄岩全部辖区。资金使用管理按照严格的资金管理制度进行。</w:t>
      </w:r>
    </w:p>
    <w:p w14:paraId="69F27033">
      <w:pPr>
        <w:widowControl w:val="0"/>
        <w:kinsoku/>
        <w:overflowPunct w:val="0"/>
        <w:spacing w:line="360" w:lineRule="auto"/>
        <w:ind w:firstLine="620" w:firstLineChars="200"/>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(二)部门预算执行情况</w:t>
      </w:r>
    </w:p>
    <w:p w14:paraId="3E25B9AF">
      <w:pPr>
        <w:pStyle w:val="2"/>
        <w:widowControl w:val="0"/>
        <w:kinsoku/>
        <w:overflowPunct w:val="0"/>
        <w:spacing w:line="360" w:lineRule="auto"/>
        <w:ind w:firstLine="620" w:firstLineChars="200"/>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1.基本支出情况</w:t>
      </w:r>
    </w:p>
    <w:p w14:paraId="0F4B13DD">
      <w:pPr>
        <w:pStyle w:val="2"/>
        <w:widowControl w:val="0"/>
        <w:kinsoku/>
        <w:overflowPunct w:val="0"/>
        <w:spacing w:line="360" w:lineRule="auto"/>
        <w:ind w:firstLine="620" w:firstLineChars="200"/>
        <w:rPr>
          <w:rFonts w:hint="default"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2023年部门整体支出中基本支出957.04万元，其中一般公共服务支出471.51万元，文化旅游体育与传媒支出44.77万元，社会保障和就业支出63.97万元，卫生和健康支出17.65万元，节能环保支出3.83万元，城乡社区支出28.33万元，灾害防治及应急管理支出15.90万元，农林水支出206.55万元，交通运输支出4.79万元，其他支出99.74万元。</w:t>
      </w:r>
    </w:p>
    <w:p w14:paraId="052DCECA">
      <w:pPr>
        <w:pStyle w:val="2"/>
        <w:widowControl w:val="0"/>
        <w:kinsoku/>
        <w:overflowPunct w:val="0"/>
        <w:spacing w:line="360" w:lineRule="auto"/>
        <w:ind w:firstLine="620" w:firstLineChars="200"/>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2.项目支出情况</w:t>
      </w:r>
    </w:p>
    <w:p w14:paraId="706E8CB6">
      <w:pPr>
        <w:pStyle w:val="2"/>
        <w:widowControl w:val="0"/>
        <w:kinsoku/>
        <w:overflowPunct w:val="0"/>
        <w:spacing w:line="360" w:lineRule="auto"/>
        <w:ind w:firstLine="620" w:firstLineChars="200"/>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2023年部门整体支出中项目支出353.00万元，均为其他支出。</w:t>
      </w:r>
    </w:p>
    <w:p w14:paraId="492B0D9E">
      <w:pPr>
        <w:widowControl w:val="0"/>
        <w:kinsoku/>
        <w:overflowPunct w:val="0"/>
        <w:spacing w:line="360" w:lineRule="auto"/>
        <w:ind w:firstLine="620" w:firstLineChars="200"/>
        <w:rPr>
          <w:rFonts w:hint="eastAsia"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(三)"三公"经费使用和管理情况</w:t>
      </w:r>
    </w:p>
    <w:p w14:paraId="7C61264B">
      <w:pPr>
        <w:keepNext w:val="0"/>
        <w:keepLines w:val="0"/>
        <w:pageBreakBefore w:val="0"/>
        <w:widowControl w:val="0"/>
        <w:numPr>
          <w:ilvl w:val="0"/>
          <w:numId w:val="0"/>
        </w:numPr>
        <w:kinsoku/>
        <w:wordWrap/>
        <w:overflowPunct w:val="0"/>
        <w:topLinePunct w:val="0"/>
        <w:autoSpaceDE w:val="0"/>
        <w:autoSpaceDN w:val="0"/>
        <w:bidi w:val="0"/>
        <w:adjustRightInd w:val="0"/>
        <w:snapToGrid w:val="0"/>
        <w:spacing w:line="360" w:lineRule="auto"/>
        <w:ind w:firstLine="620" w:firstLineChars="200"/>
        <w:textAlignment w:val="baseline"/>
        <w:rPr>
          <w:rFonts w:hint="default"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2023年度黄岩管理处未安排“三公”经费预算，无“三公”经费支出。</w:t>
      </w:r>
    </w:p>
    <w:p w14:paraId="766E6FBB">
      <w:pPr>
        <w:widowControl w:val="0"/>
        <w:numPr>
          <w:ilvl w:val="0"/>
          <w:numId w:val="1"/>
        </w:numPr>
        <w:kinsoku/>
        <w:overflowPunct w:val="0"/>
        <w:spacing w:line="360" w:lineRule="auto"/>
        <w:ind w:firstLine="599" w:firstLineChars="200"/>
        <w:rPr>
          <w:rFonts w:ascii="黑体" w:hAnsi="黑体" w:eastAsia="黑体" w:cs="黑体"/>
          <w:b/>
          <w:bCs/>
          <w:spacing w:val="-11"/>
          <w:sz w:val="32"/>
          <w:szCs w:val="32"/>
          <w:lang w:eastAsia="zh-CN"/>
        </w:rPr>
      </w:pPr>
      <w:r>
        <w:rPr>
          <w:rFonts w:ascii="黑体" w:hAnsi="黑体" w:eastAsia="黑体" w:cs="黑体"/>
          <w:b/>
          <w:bCs/>
          <w:spacing w:val="-11"/>
          <w:sz w:val="32"/>
          <w:szCs w:val="32"/>
          <w:lang w:eastAsia="zh-CN"/>
        </w:rPr>
        <w:t>政府性基金预算支出情况</w:t>
      </w:r>
    </w:p>
    <w:p w14:paraId="1DAFA429">
      <w:pPr>
        <w:keepNext w:val="0"/>
        <w:keepLines w:val="0"/>
        <w:pageBreakBefore w:val="0"/>
        <w:widowControl w:val="0"/>
        <w:numPr>
          <w:ilvl w:val="0"/>
          <w:numId w:val="0"/>
        </w:numPr>
        <w:kinsoku/>
        <w:wordWrap/>
        <w:overflowPunct w:val="0"/>
        <w:topLinePunct w:val="0"/>
        <w:autoSpaceDE w:val="0"/>
        <w:autoSpaceDN w:val="0"/>
        <w:bidi w:val="0"/>
        <w:adjustRightInd w:val="0"/>
        <w:snapToGrid w:val="0"/>
        <w:spacing w:line="360" w:lineRule="auto"/>
        <w:ind w:firstLine="620" w:firstLineChars="200"/>
        <w:textAlignment w:val="baseline"/>
        <w:rPr>
          <w:rFonts w:hint="default" w:ascii="仿宋" w:hAnsi="仿宋" w:eastAsia="仿宋" w:cs="仿宋"/>
          <w:snapToGrid w:val="0"/>
          <w:color w:val="000000"/>
          <w:spacing w:val="-5"/>
          <w:sz w:val="32"/>
          <w:szCs w:val="32"/>
          <w:lang w:val="en-US" w:eastAsia="zh-CN" w:bidi="ar-SA"/>
        </w:rPr>
      </w:pPr>
      <w:r>
        <w:rPr>
          <w:rFonts w:hint="eastAsia" w:ascii="仿宋" w:hAnsi="仿宋" w:eastAsia="仿宋" w:cs="仿宋"/>
          <w:snapToGrid w:val="0"/>
          <w:color w:val="000000"/>
          <w:spacing w:val="-5"/>
          <w:sz w:val="32"/>
          <w:szCs w:val="32"/>
          <w:lang w:val="en-US" w:eastAsia="zh-CN" w:bidi="ar-SA"/>
        </w:rPr>
        <w:t>2023年度黄岩管理处未安排政府性基金预算，无政府性基金预算支出。</w:t>
      </w:r>
    </w:p>
    <w:p w14:paraId="3A2B41DA">
      <w:pPr>
        <w:widowControl w:val="0"/>
        <w:numPr>
          <w:ilvl w:val="0"/>
          <w:numId w:val="1"/>
        </w:numPr>
        <w:kinsoku/>
        <w:overflowPunct w:val="0"/>
        <w:spacing w:line="360" w:lineRule="auto"/>
        <w:ind w:left="0" w:leftChars="0" w:firstLine="607" w:firstLineChars="200"/>
        <w:rPr>
          <w:rFonts w:ascii="黑体" w:hAnsi="黑体" w:eastAsia="黑体" w:cs="黑体"/>
          <w:b/>
          <w:bCs/>
          <w:spacing w:val="-9"/>
          <w:sz w:val="32"/>
          <w:szCs w:val="32"/>
          <w:lang w:eastAsia="zh-CN"/>
        </w:rPr>
      </w:pPr>
      <w:r>
        <w:rPr>
          <w:rFonts w:ascii="黑体" w:hAnsi="黑体" w:eastAsia="黑体" w:cs="黑体"/>
          <w:b/>
          <w:bCs/>
          <w:spacing w:val="-9"/>
          <w:sz w:val="32"/>
          <w:szCs w:val="32"/>
          <w:lang w:eastAsia="zh-CN"/>
        </w:rPr>
        <w:t>国有资本经营预算支出情况</w:t>
      </w:r>
    </w:p>
    <w:p w14:paraId="349F6356">
      <w:pPr>
        <w:keepNext w:val="0"/>
        <w:keepLines w:val="0"/>
        <w:pageBreakBefore w:val="0"/>
        <w:widowControl w:val="0"/>
        <w:numPr>
          <w:ilvl w:val="0"/>
          <w:numId w:val="0"/>
        </w:numPr>
        <w:kinsoku/>
        <w:wordWrap/>
        <w:overflowPunct w:val="0"/>
        <w:topLinePunct w:val="0"/>
        <w:autoSpaceDE w:val="0"/>
        <w:autoSpaceDN w:val="0"/>
        <w:bidi w:val="0"/>
        <w:adjustRightInd w:val="0"/>
        <w:snapToGrid w:val="0"/>
        <w:spacing w:line="360" w:lineRule="auto"/>
        <w:ind w:firstLine="640" w:firstLineChars="200"/>
        <w:textAlignment w:val="baseline"/>
        <w:rPr>
          <w:rFonts w:hint="eastAsia" w:ascii="仿宋" w:hAnsi="仿宋" w:eastAsia="仿宋" w:cs="仿宋"/>
          <w:snapToGrid w:val="0"/>
          <w:color w:val="000000"/>
          <w:spacing w:val="-5"/>
          <w:sz w:val="32"/>
          <w:szCs w:val="32"/>
          <w:lang w:val="en-US" w:eastAsia="zh-CN" w:bidi="ar-SA"/>
        </w:rPr>
      </w:pPr>
      <w:r>
        <w:rPr>
          <w:rFonts w:hint="eastAsia" w:ascii="仿宋" w:hAnsi="Calibri" w:eastAsia="仿宋" w:cs="Times New Roman"/>
          <w:snapToGrid/>
          <w:color w:val="auto"/>
          <w:kern w:val="2"/>
          <w:sz w:val="32"/>
          <w:szCs w:val="32"/>
          <w:lang w:val="en-US" w:eastAsia="zh-CN" w:bidi="ar-SA"/>
        </w:rPr>
        <w:t>2023年度</w:t>
      </w:r>
      <w:r>
        <w:rPr>
          <w:rFonts w:hint="eastAsia" w:ascii="仿宋" w:hAnsi="仿宋" w:eastAsia="仿宋" w:cs="仿宋"/>
          <w:snapToGrid w:val="0"/>
          <w:color w:val="000000"/>
          <w:spacing w:val="-5"/>
          <w:sz w:val="32"/>
          <w:szCs w:val="32"/>
          <w:lang w:val="en-US" w:eastAsia="zh-CN" w:bidi="ar-SA"/>
        </w:rPr>
        <w:t>黄岩管理处</w:t>
      </w:r>
      <w:r>
        <w:rPr>
          <w:rFonts w:hint="eastAsia" w:ascii="仿宋" w:hAnsi="Calibri" w:eastAsia="仿宋" w:cs="Times New Roman"/>
          <w:snapToGrid/>
          <w:color w:val="auto"/>
          <w:kern w:val="2"/>
          <w:sz w:val="32"/>
          <w:szCs w:val="32"/>
          <w:lang w:val="en-US" w:eastAsia="zh-CN" w:bidi="ar-SA"/>
        </w:rPr>
        <w:t>未安排国有资本经营预算，无国有资本经营预算支出。</w:t>
      </w:r>
    </w:p>
    <w:p w14:paraId="0CEE4916">
      <w:pPr>
        <w:widowControl w:val="0"/>
        <w:numPr>
          <w:ilvl w:val="0"/>
          <w:numId w:val="1"/>
        </w:numPr>
        <w:kinsoku/>
        <w:overflowPunct w:val="0"/>
        <w:spacing w:line="360" w:lineRule="auto"/>
        <w:ind w:left="0" w:leftChars="0" w:firstLine="567" w:firstLineChars="200"/>
        <w:rPr>
          <w:rFonts w:ascii="黑体" w:hAnsi="黑体" w:eastAsia="黑体" w:cs="黑体"/>
          <w:b/>
          <w:bCs/>
          <w:spacing w:val="-19"/>
          <w:sz w:val="32"/>
          <w:szCs w:val="32"/>
          <w:lang w:eastAsia="zh-CN"/>
        </w:rPr>
      </w:pPr>
      <w:r>
        <w:rPr>
          <w:rFonts w:ascii="黑体" w:hAnsi="黑体" w:eastAsia="黑体" w:cs="黑体"/>
          <w:b/>
          <w:bCs/>
          <w:spacing w:val="-19"/>
          <w:sz w:val="32"/>
          <w:szCs w:val="32"/>
          <w:lang w:eastAsia="zh-CN"/>
        </w:rPr>
        <w:t>社会保险基金预算支出情况</w:t>
      </w:r>
    </w:p>
    <w:p w14:paraId="2BA2E0F6">
      <w:pPr>
        <w:widowControl w:val="0"/>
        <w:kinsoku/>
        <w:overflowPunct w:val="0"/>
        <w:spacing w:line="360" w:lineRule="auto"/>
        <w:ind w:firstLine="640" w:firstLineChars="200"/>
        <w:rPr>
          <w:rFonts w:hint="eastAsia" w:ascii="仿宋" w:hAnsi="仿宋" w:eastAsia="仿宋" w:cs="仿宋"/>
          <w:snapToGrid w:val="0"/>
          <w:color w:val="000000"/>
          <w:spacing w:val="-5"/>
          <w:sz w:val="32"/>
          <w:szCs w:val="32"/>
          <w:lang w:val="en-US" w:eastAsia="zh-CN" w:bidi="ar-SA"/>
        </w:rPr>
      </w:pPr>
      <w:r>
        <w:rPr>
          <w:rFonts w:hint="eastAsia" w:ascii="仿宋" w:hAnsi="Calibri" w:eastAsia="仿宋" w:cs="Times New Roman"/>
          <w:snapToGrid/>
          <w:color w:val="auto"/>
          <w:kern w:val="2"/>
          <w:sz w:val="32"/>
          <w:szCs w:val="32"/>
          <w:lang w:val="en-US" w:eastAsia="zh-CN" w:bidi="ar-SA"/>
        </w:rPr>
        <w:t>2023年度</w:t>
      </w:r>
      <w:r>
        <w:rPr>
          <w:rFonts w:hint="eastAsia" w:ascii="仿宋" w:hAnsi="仿宋" w:eastAsia="仿宋" w:cs="仿宋"/>
          <w:snapToGrid w:val="0"/>
          <w:color w:val="000000"/>
          <w:spacing w:val="-5"/>
          <w:sz w:val="32"/>
          <w:szCs w:val="32"/>
          <w:lang w:val="en-US" w:eastAsia="zh-CN" w:bidi="ar-SA"/>
        </w:rPr>
        <w:t>黄岩管理处</w:t>
      </w:r>
      <w:r>
        <w:rPr>
          <w:rFonts w:hint="eastAsia" w:ascii="仿宋" w:hAnsi="Calibri" w:eastAsia="仿宋" w:cs="Times New Roman"/>
          <w:snapToGrid/>
          <w:color w:val="auto"/>
          <w:kern w:val="2"/>
          <w:sz w:val="32"/>
          <w:szCs w:val="32"/>
          <w:lang w:val="en-US" w:eastAsia="zh-CN" w:bidi="ar-SA"/>
        </w:rPr>
        <w:t>未安排社会保险基金预算，无社会保险基金预算支出。</w:t>
      </w:r>
    </w:p>
    <w:p w14:paraId="3DA0D125">
      <w:pPr>
        <w:widowControl w:val="0"/>
        <w:numPr>
          <w:ilvl w:val="0"/>
          <w:numId w:val="1"/>
        </w:numPr>
        <w:kinsoku/>
        <w:overflowPunct w:val="0"/>
        <w:spacing w:line="360" w:lineRule="auto"/>
        <w:ind w:left="0" w:leftChars="0" w:firstLine="603" w:firstLineChars="200"/>
        <w:rPr>
          <w:rFonts w:ascii="黑体" w:hAnsi="黑体" w:eastAsia="黑体" w:cs="黑体"/>
          <w:b/>
          <w:bCs/>
          <w:spacing w:val="-10"/>
          <w:sz w:val="32"/>
          <w:szCs w:val="32"/>
          <w:lang w:eastAsia="zh-CN"/>
        </w:rPr>
      </w:pPr>
      <w:r>
        <w:rPr>
          <w:rFonts w:ascii="黑体" w:hAnsi="黑体" w:eastAsia="黑体" w:cs="黑体"/>
          <w:b/>
          <w:bCs/>
          <w:spacing w:val="-10"/>
          <w:sz w:val="32"/>
          <w:szCs w:val="32"/>
          <w:lang w:eastAsia="zh-CN"/>
        </w:rPr>
        <w:t>部门整体支出绩效情况</w:t>
      </w:r>
    </w:p>
    <w:p w14:paraId="0D2C3320">
      <w:pPr>
        <w:pStyle w:val="2"/>
        <w:widowControl w:val="0"/>
        <w:kinsoku/>
        <w:overflowPunct w:val="0"/>
        <w:spacing w:line="360" w:lineRule="auto"/>
        <w:ind w:firstLine="620" w:firstLineChars="200"/>
        <w:rPr>
          <w:rFonts w:hint="eastAsia"/>
          <w:spacing w:val="-5"/>
          <w:sz w:val="32"/>
          <w:szCs w:val="32"/>
          <w:lang w:val="en-US" w:eastAsia="zh-CN"/>
        </w:rPr>
      </w:pPr>
      <w:r>
        <w:rPr>
          <w:rFonts w:hint="eastAsia"/>
          <w:spacing w:val="-5"/>
          <w:sz w:val="32"/>
          <w:szCs w:val="32"/>
          <w:lang w:val="en-US" w:eastAsia="zh-CN"/>
        </w:rPr>
        <w:t>(一)黄岩管理处2023年部门整体支出绩效情况如下：</w:t>
      </w:r>
    </w:p>
    <w:p w14:paraId="5704E83F">
      <w:pPr>
        <w:pStyle w:val="2"/>
        <w:widowControl w:val="0"/>
        <w:kinsoku/>
        <w:overflowPunct w:val="0"/>
        <w:spacing w:line="360" w:lineRule="auto"/>
        <w:ind w:firstLine="620" w:firstLineChars="200"/>
        <w:rPr>
          <w:rFonts w:hint="eastAsia"/>
          <w:spacing w:val="-5"/>
          <w:sz w:val="32"/>
          <w:szCs w:val="32"/>
          <w:lang w:val="en-US" w:eastAsia="zh-CN"/>
        </w:rPr>
      </w:pPr>
      <w:r>
        <w:rPr>
          <w:rFonts w:hint="eastAsia"/>
          <w:spacing w:val="-5"/>
          <w:sz w:val="32"/>
          <w:szCs w:val="32"/>
          <w:lang w:val="en-US" w:eastAsia="zh-CN"/>
        </w:rPr>
        <w:t xml:space="preserve">2023年，黄岩管理处在区委、区政府的正确领导下，全面落实“三高四新”战略定位和使命任务，奋力在“抢抓历史机遇，奋起二次创业”中走前列、干出精彩，各项工作向上向好，发展质量稳步提高。 </w:t>
      </w:r>
    </w:p>
    <w:p w14:paraId="083EBE09">
      <w:pPr>
        <w:pStyle w:val="2"/>
        <w:widowControl w:val="0"/>
        <w:kinsoku/>
        <w:overflowPunct w:val="0"/>
        <w:spacing w:line="360" w:lineRule="auto"/>
        <w:ind w:firstLine="620" w:firstLineChars="200"/>
        <w:rPr>
          <w:rFonts w:hint="eastAsia"/>
          <w:spacing w:val="-5"/>
          <w:sz w:val="32"/>
          <w:szCs w:val="32"/>
          <w:lang w:val="en-US" w:eastAsia="zh-CN"/>
        </w:rPr>
      </w:pPr>
      <w:r>
        <w:rPr>
          <w:rFonts w:hint="eastAsia"/>
          <w:spacing w:val="-5"/>
          <w:sz w:val="32"/>
          <w:szCs w:val="32"/>
          <w:lang w:val="en-US" w:eastAsia="zh-CN"/>
        </w:rPr>
        <w:t xml:space="preserve">1.今年以来工作开展情况。 </w:t>
      </w:r>
    </w:p>
    <w:p w14:paraId="2DBBF659">
      <w:pPr>
        <w:pStyle w:val="2"/>
        <w:widowControl w:val="0"/>
        <w:kinsoku/>
        <w:overflowPunct w:val="0"/>
        <w:spacing w:line="360" w:lineRule="auto"/>
        <w:ind w:firstLine="620" w:firstLineChars="200"/>
        <w:rPr>
          <w:rFonts w:hint="eastAsia"/>
          <w:spacing w:val="-5"/>
          <w:sz w:val="32"/>
          <w:szCs w:val="32"/>
          <w:lang w:val="en-US" w:eastAsia="zh-CN"/>
        </w:rPr>
      </w:pPr>
      <w:r>
        <w:rPr>
          <w:rFonts w:hint="eastAsia"/>
          <w:spacing w:val="-5"/>
          <w:sz w:val="32"/>
          <w:szCs w:val="32"/>
          <w:lang w:val="en-US" w:eastAsia="zh-CN"/>
        </w:rPr>
        <w:t xml:space="preserve">（1）党建工作。一是强化理论武装，深入推进党的政治建设。认真学习贯彻习近平新时代中国特色社会主义思想，增强“四个意识”，坚定“四个自信”，做到“两个维护”，严守政治纪律和政治规矩。坚持理论学习中心组第一议题学习制度，制定学习计划。开展集中学习15次、交流研讨5次，人均撰写心得体会3篇以上。二是坚持民主集中，凡“三重一大”事项均提交党委（扩大）会议研究审定，构建了决策科学、执行坚决、监督有力的权力运行体系；坚持依法行政，将法治教育常态化纳入理论中心组集中学习；严格落实“四个服从”、请示报告、外出报告、婚丧喜庆事宜报告、个人事项报告制度，确保令行禁止、政令畅通。三是认真履行意识形态责任制，召开党委会专题研究意识形态工作3次，及时向宣传部报告意识形态工作落实情况，主要负责人履行主体责任，班子成员自觉履行“一岗双责”，旗帜鲜明讲政治，坚决反对和抵制各种错误观点。加强网络意识形态管理，严格微信、微博、网站等网络媒体工作纪律，严格落实“三审”制度，对推送的工作内容严格把关，教育引导干部职工用好管好自媒体。四是周密安排部署，扎实推进主题教育，精心谋划准备，迅速启动开展。主题教育开展以来，党委高度重视，及时召开党委（扩大）会议，传达学习中央、省市主题教育安排部署和工作要求，成立领导小组，组建专班人员，制定实施方案、工作计划和“一月一课一片一实践”为主题教育的扎实开展提供了思想和行动指南。聚焦学以增智，丰富学习形式。根据必学书目，结合工作所需，精心筛选集体学习篇章，逐字逐句原文领学了党章、党的二十大报告和《习近平著作选读》《专题摘编》相关篇章。党组理论学习中心组成员结合所思所悟撰写发言材料，结合工作实际开展了高质量的交流研讨。 </w:t>
      </w:r>
    </w:p>
    <w:p w14:paraId="791D4816">
      <w:pPr>
        <w:pStyle w:val="2"/>
        <w:widowControl w:val="0"/>
        <w:kinsoku/>
        <w:overflowPunct w:val="0"/>
        <w:spacing w:line="360" w:lineRule="auto"/>
        <w:ind w:firstLine="620" w:firstLineChars="200"/>
        <w:rPr>
          <w:rFonts w:hint="eastAsia"/>
          <w:spacing w:val="-5"/>
          <w:sz w:val="32"/>
          <w:szCs w:val="32"/>
          <w:lang w:val="en-US" w:eastAsia="zh-CN"/>
        </w:rPr>
      </w:pPr>
      <w:r>
        <w:rPr>
          <w:rFonts w:hint="eastAsia"/>
          <w:spacing w:val="-5"/>
          <w:sz w:val="32"/>
          <w:szCs w:val="32"/>
          <w:lang w:val="en-US" w:eastAsia="zh-CN"/>
        </w:rPr>
        <w:t xml:space="preserve">（2）乡村振兴工作。一是以产业兴旺为重点，提升特色现代农业发展水平。大力培植壮大龙头企业。把培育和做强做大旅游、农业龙头企业作为引领产业的重要抓手，大力培植辉皇旅游、龙谷中药等龙头企业，带动700余户农户发展，年产值1.55亿元以上，农民参与度达67%，其中龙谷中药为市级农业产业化龙头企业。白马、大坪均有合作社，农民参加合作社率达60％以上，志高、德新等企业加工、冷链物流体系健全，形成了以龙头企业为引领的生态旅游业农业发展格局。二是大力推进产业帮扶。按照自主发展、委托扶贫、入股专业合作社等多种形式，落实扶贫产业项目5个，惠及辖区内脱贫人口人均增收1100元以上。采取涉农资金帮扶和景区等企业，让脱贫户从资金分红中受益。建档立卡脱贫户219户978人采取委托分红、入股分红等方式获得收益。三是以生态宜居为出发点，促进人与自然和谐共处。持续改善农村人居环境。每年区财政安排资金45万元，配齐了村级保洁员，定期开展“大清扫、大清运”行动，生活垃圾收运处置体系健全，村容村貌焕然一新。规范村民建房行为，水、电、路、通讯、宽带、亮化便捷到户，无违规乱搭乱建现象。扎实推进“厕所革命”。2023年新建无害化厕所52座，整改问题厕所264户。四是全面建立河长负责制。扎实开展巡河、清理河道工作，农村生活污水处理设施全覆盖，水环境质量不断提升。四是以乡风文明为保障，凝聚乡村振兴正能量。突出抓好农村思想道德建设。坚持教育引导、实践养成、制度保障三管齐下，积极引导村民注重村规民约、家教传承和家风培育，开展“和美乡村”“清廉乡村”“最美庭院”“党员模范户”等文明评比活动，积极创建“最美潇湘文化阵地建设”形成了健康向上的精神风貌。深入实施各类文化科技惠民工程。通过开展“崇尚科学、破除迷信、拒绝邪教”等宣传活动，大力宣传社会主义核心价值观，实现了农村精神文明和脱贫攻坚相互支撑、相互促进的良好态势，白马、大坪2个村级综合性文化服务中心达100%，适龄儿童义务教育入学率达100%。深入开展移风易俗行动。发挥村规民约、红白理事会等作用，坚决遏制大操大办、天价彩礼、人情攀比等陈规陋习。深化农村殡葬改革，引导群众大力弘扬时代新风，自觉抵制封建迷信等腐朽文化的侵蚀，白马、大坪2个村均无大操大办、高价彩礼、厚葬薄养等陈规陋习。 </w:t>
      </w:r>
    </w:p>
    <w:p w14:paraId="4E341430">
      <w:pPr>
        <w:pStyle w:val="2"/>
        <w:widowControl w:val="0"/>
        <w:kinsoku/>
        <w:overflowPunct w:val="0"/>
        <w:spacing w:line="360" w:lineRule="auto"/>
        <w:ind w:firstLine="620" w:firstLineChars="200"/>
        <w:rPr>
          <w:rFonts w:hint="eastAsia"/>
          <w:spacing w:val="-5"/>
          <w:sz w:val="32"/>
          <w:szCs w:val="32"/>
          <w:lang w:val="en-US" w:eastAsia="zh-CN"/>
        </w:rPr>
      </w:pPr>
      <w:r>
        <w:rPr>
          <w:rFonts w:hint="eastAsia"/>
          <w:spacing w:val="-5"/>
          <w:sz w:val="32"/>
          <w:szCs w:val="32"/>
          <w:lang w:val="en-US" w:eastAsia="zh-CN"/>
        </w:rPr>
        <w:t xml:space="preserve">（3）文旅工作。一是宣传引流。通过自创微信小视频《春到黄岩，处处皆春》系列、引人原创《黄岩好风光沙画》、融媒推送《最美人间四月天 带走纵身花海》，拍摄《梦回滕家古村》《最忆稻花鱼》等系列微刊等方式向全国引流入黄岩。二是活动助推。通过筹备《怀景怀乡怀味—影像黄岩“鹤”您有约摄影作品、微视频、原创歌曲征集活动》《鹤城区首届跑山节》《“鹤”您有约 “城”醉黄岩怀化大沉浸式体验》、“党建引领乡村振兴”暨第二届黄岩稻香鱼节、“宜居宜业和美乡村”暨黄岩首届产业丰收节、重阳节菊花展等系列活动等活动助推文旅复兴，并成功举办了怀化市第二届铿锵号子山歌擂台赛暨长江流域邀请展演活动，进一步提高黄岩的知名度，央广网、红网、鹤城融媒等媒体纷纷进行宣传报道。据初步统计，截止到11月黄岩旅游收入5400多万，游客接待数约30万人。 </w:t>
      </w:r>
    </w:p>
    <w:p w14:paraId="035F1870">
      <w:pPr>
        <w:pStyle w:val="2"/>
        <w:widowControl w:val="0"/>
        <w:kinsoku/>
        <w:overflowPunct w:val="0"/>
        <w:spacing w:line="360" w:lineRule="auto"/>
        <w:ind w:firstLine="620" w:firstLineChars="200"/>
        <w:rPr>
          <w:rFonts w:hint="eastAsia"/>
          <w:spacing w:val="-5"/>
          <w:sz w:val="32"/>
          <w:szCs w:val="32"/>
          <w:lang w:val="en-US" w:eastAsia="zh-CN"/>
        </w:rPr>
      </w:pPr>
      <w:r>
        <w:rPr>
          <w:rFonts w:hint="eastAsia"/>
          <w:spacing w:val="-5"/>
          <w:sz w:val="32"/>
          <w:szCs w:val="32"/>
          <w:lang w:val="en-US" w:eastAsia="zh-CN"/>
        </w:rPr>
        <w:t xml:space="preserve">（4）安全生产工作。一是着力拧紧安全生产责任链条。始终把安全生产工作当成头等大事抓紧抓实，严格落实“党政同责、一岗双责、齐抓共管、失职追责”要求，推动安全生产各项工作有力开展。及时传达学习安全应急指挥部精神和防灾减灾和安全生产系列会议精神，研判重点时段、重点领域、重点环节安全生产风险，按照“三管三必须”的要求，全面安排部署安全生产工作，确保安全生产责任落实到位、隐患排查整治到位、安全生产监管到位。针对城镇燃气、消防、建筑施工、交通、文旅等事故易发多发领域，细化风险隐患防控措施，并将提醒敦促函“点对点”下发到涉及企业，督促企业制定风险化解措施，不断压紧压责任，用环环相扣的责任链条构筑起一张横向到边、纵向到底的立体化责任网络。二是紧盯重点领域，着力开展安全生产排查整治。紧紧围绕“强责任、控风险、压事故”工作总要求，重点对危险城镇燃气、特种设备、消防、旅游景区等行业领域开展大排查大整治。截止目前，剩余的问题隐患已下发整改通知书，责令限期整改完成。简易执法16次，重大隐患点排查3次，发现隐患点11处，整改完成11处，对未整改完成的问题隐患，将逐一登记造册，按照“五落实”的要求，确保所有隐患限期整改到位。在今年全区以水灭火比武竞赛中取得第一名的好成绩。 </w:t>
      </w:r>
    </w:p>
    <w:p w14:paraId="3E6B0701">
      <w:pPr>
        <w:pStyle w:val="2"/>
        <w:widowControl w:val="0"/>
        <w:kinsoku/>
        <w:overflowPunct w:val="0"/>
        <w:spacing w:line="360" w:lineRule="auto"/>
        <w:ind w:firstLine="620" w:firstLineChars="200"/>
        <w:rPr>
          <w:rFonts w:hint="eastAsia"/>
          <w:spacing w:val="-5"/>
          <w:sz w:val="32"/>
          <w:szCs w:val="32"/>
          <w:lang w:val="en-US" w:eastAsia="zh-CN"/>
        </w:rPr>
      </w:pPr>
      <w:r>
        <w:rPr>
          <w:rFonts w:hint="eastAsia"/>
          <w:spacing w:val="-5"/>
          <w:sz w:val="32"/>
          <w:szCs w:val="32"/>
          <w:lang w:val="en-US" w:eastAsia="zh-CN"/>
        </w:rPr>
        <w:t xml:space="preserve">（5）民生保障工作。黄岩管理处党委、政府始终把民生建设同中心工作同安排、同部署、同考核、同落实。一是完善就业方面。把稳就业放在更加突出的位置，统筹做好高校毕业生、农民工、退役军人、困难人员等群体就业工作，不断完善服务体系，加大财政资金投入到教育、医疗、社会保障、就业上学等民生工程。加强了对再就业人员的技能培训力度，举办旅游礼仪等专业培训，共培训100余人次，提高农村劳动者素质和就业技能。二是健全社保体系方面。构建“广覆盖、全保障、高水平”的社会保障体系，不断完善最低生活保障制度和重大疾病救助制度，对特困人群实行重大疾病医疗救助，缓解医疗负担，逐步推动社会救助一体化。共临时救助72人、发放救助金额66446元，享保50人，发放低保金164200元，特困户16人，特困护理费40500元，发放特困补贴108000元，享残疾补贴49人，发放补贴金额47200元。 </w:t>
      </w:r>
    </w:p>
    <w:p w14:paraId="35C003DD">
      <w:pPr>
        <w:pStyle w:val="2"/>
        <w:widowControl w:val="0"/>
        <w:kinsoku/>
        <w:overflowPunct w:val="0"/>
        <w:spacing w:line="360" w:lineRule="auto"/>
        <w:ind w:firstLine="620" w:firstLineChars="200"/>
        <w:rPr>
          <w:rFonts w:hint="eastAsia"/>
          <w:spacing w:val="-5"/>
          <w:sz w:val="32"/>
          <w:szCs w:val="32"/>
          <w:lang w:val="en-US" w:eastAsia="zh-CN"/>
        </w:rPr>
      </w:pPr>
      <w:r>
        <w:rPr>
          <w:rFonts w:hint="eastAsia"/>
          <w:spacing w:val="-5"/>
          <w:sz w:val="32"/>
          <w:szCs w:val="32"/>
          <w:lang w:val="en-US" w:eastAsia="zh-CN"/>
        </w:rPr>
        <w:t xml:space="preserve">2.2023年《政府工作报告》目标任务完成情况。 </w:t>
      </w:r>
    </w:p>
    <w:p w14:paraId="799D3873">
      <w:pPr>
        <w:pStyle w:val="2"/>
        <w:widowControl w:val="0"/>
        <w:kinsoku/>
        <w:overflowPunct w:val="0"/>
        <w:spacing w:line="360" w:lineRule="auto"/>
        <w:ind w:firstLine="620" w:firstLineChars="200"/>
        <w:rPr>
          <w:rFonts w:hint="eastAsia"/>
          <w:spacing w:val="-5"/>
          <w:sz w:val="32"/>
          <w:szCs w:val="32"/>
          <w:lang w:val="en-US" w:eastAsia="zh-CN"/>
        </w:rPr>
      </w:pPr>
      <w:r>
        <w:rPr>
          <w:rFonts w:hint="eastAsia"/>
          <w:spacing w:val="-5"/>
          <w:sz w:val="32"/>
          <w:szCs w:val="32"/>
          <w:lang w:val="en-US" w:eastAsia="zh-CN"/>
        </w:rPr>
        <w:t xml:space="preserve">（1）编制黄岩旅游度假区概念性总体规划。《鹤城区黄岩旅游融合发展规划》研讨。先后多次参加区文旅局组织的《黄岩旅游融合发展规划》研讨，就《规划》如何落地、如何融合《村庄规划》等提出明确的意见和建议，并紧盯该规划的修改编制，积极对接《黄岩旅游概念性规划》目前该规划已通过政府常务会议审核。 </w:t>
      </w:r>
    </w:p>
    <w:p w14:paraId="0865BC9E">
      <w:pPr>
        <w:pStyle w:val="2"/>
        <w:widowControl w:val="0"/>
        <w:kinsoku/>
        <w:overflowPunct w:val="0"/>
        <w:spacing w:line="360" w:lineRule="auto"/>
        <w:ind w:firstLine="620" w:firstLineChars="200"/>
        <w:rPr>
          <w:rFonts w:hint="eastAsia"/>
          <w:spacing w:val="-5"/>
          <w:sz w:val="32"/>
          <w:szCs w:val="32"/>
          <w:lang w:val="en-US" w:eastAsia="zh-CN"/>
        </w:rPr>
      </w:pPr>
      <w:r>
        <w:rPr>
          <w:rFonts w:hint="eastAsia"/>
          <w:spacing w:val="-5"/>
          <w:sz w:val="32"/>
          <w:szCs w:val="32"/>
          <w:lang w:val="en-US" w:eastAsia="zh-CN"/>
        </w:rPr>
        <w:t>（2）启动黄岩国家级旅游度假区创建。黄岩国家级旅游度假区创建工作。区委第六次党代会、区六届人大一次会议确立了黄岩旅游度假区创建“国家级旅游度假区”的目标，目前正在启动各项前期工作。 3.黄岩区域生态产品价值实现工程项目建设。该项目估算总投资22372.63万元，建设资金来源为区财政配套资金和申请中央预算内资金，项目总用地面积约200亩，目前已完成前期的施工和第一期的工程实施。</w:t>
      </w:r>
    </w:p>
    <w:p w14:paraId="4E259AFC">
      <w:pPr>
        <w:pStyle w:val="2"/>
        <w:widowControl w:val="0"/>
        <w:kinsoku/>
        <w:overflowPunct w:val="0"/>
        <w:spacing w:line="360" w:lineRule="auto"/>
        <w:ind w:firstLine="620" w:firstLineChars="200"/>
        <w:rPr>
          <w:rFonts w:hint="eastAsia"/>
          <w:spacing w:val="-5"/>
          <w:sz w:val="32"/>
          <w:szCs w:val="32"/>
          <w:lang w:val="en-US" w:eastAsia="zh-CN"/>
        </w:rPr>
      </w:pPr>
      <w:r>
        <w:rPr>
          <w:rFonts w:hint="eastAsia"/>
          <w:spacing w:val="-5"/>
          <w:sz w:val="32"/>
          <w:szCs w:val="32"/>
          <w:lang w:val="en-US" w:eastAsia="zh-CN"/>
        </w:rPr>
        <w:t>(二)评价指标分析</w:t>
      </w:r>
    </w:p>
    <w:p w14:paraId="6F530F9E">
      <w:pPr>
        <w:pStyle w:val="2"/>
        <w:widowControl w:val="0"/>
        <w:kinsoku/>
        <w:overflowPunct w:val="0"/>
        <w:spacing w:line="360" w:lineRule="auto"/>
        <w:ind w:firstLine="620" w:firstLineChars="200"/>
        <w:rPr>
          <w:rFonts w:hint="eastAsia"/>
          <w:spacing w:val="-5"/>
          <w:sz w:val="32"/>
          <w:szCs w:val="32"/>
          <w:lang w:val="en-US" w:eastAsia="zh-CN"/>
        </w:rPr>
      </w:pPr>
      <w:r>
        <w:rPr>
          <w:rFonts w:hint="eastAsia"/>
          <w:spacing w:val="-5"/>
          <w:sz w:val="32"/>
          <w:szCs w:val="32"/>
          <w:lang w:val="en-US" w:eastAsia="zh-CN"/>
        </w:rPr>
        <w:t>‌整体绩效目标设定‌与部门职责、行业发展规划紧密相连，以行政事业单位能更好地履职为人民服务的评价目标核心，结合实际细化指标值内容，提高了指标评价的合理性、明确性和可衡量性，同时也具备可实现性。</w:t>
      </w:r>
    </w:p>
    <w:p w14:paraId="00D75BE7">
      <w:pPr>
        <w:pStyle w:val="2"/>
        <w:widowControl w:val="0"/>
        <w:kinsoku/>
        <w:overflowPunct w:val="0"/>
        <w:spacing w:line="360" w:lineRule="auto"/>
        <w:ind w:firstLine="620" w:firstLineChars="200"/>
        <w:rPr>
          <w:rFonts w:hint="eastAsia"/>
          <w:spacing w:val="-5"/>
          <w:sz w:val="32"/>
          <w:szCs w:val="32"/>
          <w:lang w:val="en-US" w:eastAsia="zh-CN"/>
        </w:rPr>
      </w:pPr>
      <w:r>
        <w:rPr>
          <w:rFonts w:hint="eastAsia"/>
          <w:spacing w:val="-5"/>
          <w:sz w:val="32"/>
          <w:szCs w:val="32"/>
          <w:lang w:val="en-US" w:eastAsia="zh-CN"/>
        </w:rPr>
        <w:t>‌预算配置‌方面，预算资金在不同项目或活动间的分配合理，符合优先级，有效支持了部门职责和行业发展规划的实现，预算配置的灵活性和适应性大大提高。</w:t>
      </w:r>
    </w:p>
    <w:p w14:paraId="67142320">
      <w:pPr>
        <w:pStyle w:val="2"/>
        <w:widowControl w:val="0"/>
        <w:kinsoku/>
        <w:overflowPunct w:val="0"/>
        <w:spacing w:line="360" w:lineRule="auto"/>
        <w:ind w:firstLine="620" w:firstLineChars="200"/>
        <w:rPr>
          <w:rFonts w:hint="eastAsia"/>
          <w:spacing w:val="-5"/>
          <w:sz w:val="32"/>
          <w:szCs w:val="32"/>
          <w:lang w:val="en-US" w:eastAsia="zh-CN"/>
        </w:rPr>
      </w:pPr>
      <w:r>
        <w:rPr>
          <w:rFonts w:hint="eastAsia"/>
          <w:spacing w:val="-5"/>
          <w:sz w:val="32"/>
          <w:szCs w:val="32"/>
          <w:lang w:val="en-US" w:eastAsia="zh-CN"/>
        </w:rPr>
        <w:t>‌预算执行‌方面，有详细的资金管理制度、办法并严格按照相关管理制度、办法管理预算资金，预算执行过程中的合规性得到保证，预算执行进度与计划进度的匹配程度尚有提高的空间，预算执行过程中专款专用，确保资源有效配置。</w:t>
      </w:r>
    </w:p>
    <w:p w14:paraId="470FC91C">
      <w:pPr>
        <w:pStyle w:val="2"/>
        <w:widowControl w:val="0"/>
        <w:kinsoku/>
        <w:overflowPunct w:val="0"/>
        <w:spacing w:line="360" w:lineRule="auto"/>
        <w:ind w:firstLine="620" w:firstLineChars="200"/>
        <w:rPr>
          <w:rFonts w:hint="eastAsia"/>
          <w:spacing w:val="-5"/>
          <w:sz w:val="32"/>
          <w:szCs w:val="32"/>
          <w:lang w:val="en-US" w:eastAsia="zh-CN"/>
        </w:rPr>
      </w:pPr>
      <w:r>
        <w:rPr>
          <w:rFonts w:hint="eastAsia"/>
          <w:spacing w:val="-5"/>
          <w:sz w:val="32"/>
          <w:szCs w:val="32"/>
          <w:lang w:val="en-US" w:eastAsia="zh-CN"/>
        </w:rPr>
        <w:t>‌预算管理‌方面，预算管理制度在不断完善，流程规范、透明。积极响应厉行节俭的提倡，严格压缩不比要的开支，在以前年的决算基础上制定预算，严格控制成本、提高资金使用效益。</w:t>
      </w:r>
    </w:p>
    <w:p w14:paraId="07B5D2E9">
      <w:pPr>
        <w:pStyle w:val="2"/>
        <w:widowControl w:val="0"/>
        <w:kinsoku/>
        <w:overflowPunct w:val="0"/>
        <w:spacing w:line="360" w:lineRule="auto"/>
        <w:ind w:firstLine="620" w:firstLineChars="200"/>
        <w:rPr>
          <w:rFonts w:hint="eastAsia"/>
          <w:spacing w:val="-5"/>
          <w:sz w:val="32"/>
          <w:szCs w:val="32"/>
          <w:lang w:val="en-US" w:eastAsia="zh-CN"/>
        </w:rPr>
      </w:pPr>
      <w:r>
        <w:rPr>
          <w:rFonts w:hint="eastAsia"/>
          <w:spacing w:val="-5"/>
          <w:sz w:val="32"/>
          <w:szCs w:val="32"/>
          <w:lang w:val="en-US" w:eastAsia="zh-CN"/>
        </w:rPr>
        <w:t>‌资产管理方面，只存在工作必需的资产新增，积极盘活资产，提高资产使用效率，达到要求的资产及时处置，不断完善和健全资产管理制度。</w:t>
      </w:r>
    </w:p>
    <w:p w14:paraId="49565F95">
      <w:pPr>
        <w:pStyle w:val="2"/>
        <w:widowControl w:val="0"/>
        <w:kinsoku/>
        <w:overflowPunct w:val="0"/>
        <w:spacing w:line="360" w:lineRule="auto"/>
        <w:ind w:firstLine="620" w:firstLineChars="200"/>
        <w:rPr>
          <w:rFonts w:hint="eastAsia"/>
          <w:spacing w:val="-5"/>
          <w:sz w:val="32"/>
          <w:szCs w:val="32"/>
          <w:lang w:val="en-US" w:eastAsia="zh-CN"/>
        </w:rPr>
      </w:pPr>
      <w:r>
        <w:rPr>
          <w:rFonts w:hint="eastAsia"/>
          <w:spacing w:val="-5"/>
          <w:sz w:val="32"/>
          <w:szCs w:val="32"/>
          <w:lang w:val="en-US" w:eastAsia="zh-CN"/>
        </w:rPr>
        <w:t>部门‌职责履行方面，部门履职对于黄岩社会、经济、文化、生态等各方面发展起到推动作用，并且这份效益将对黄岩产生持续且长远的影响。</w:t>
      </w:r>
    </w:p>
    <w:p w14:paraId="1EAD5DF3">
      <w:pPr>
        <w:widowControl w:val="0"/>
        <w:kinsoku/>
        <w:overflowPunct w:val="0"/>
        <w:spacing w:line="360" w:lineRule="auto"/>
        <w:ind w:firstLine="615" w:firstLineChars="200"/>
        <w:outlineLvl w:val="6"/>
        <w:rPr>
          <w:rFonts w:ascii="黑体" w:hAnsi="黑体" w:eastAsia="黑体" w:cs="黑体"/>
          <w:sz w:val="32"/>
          <w:szCs w:val="32"/>
          <w:lang w:eastAsia="zh-CN"/>
        </w:rPr>
      </w:pPr>
      <w:r>
        <w:rPr>
          <w:rFonts w:ascii="黑体" w:hAnsi="黑体" w:eastAsia="黑体" w:cs="黑体"/>
          <w:b/>
          <w:bCs/>
          <w:spacing w:val="-7"/>
          <w:sz w:val="32"/>
          <w:szCs w:val="32"/>
          <w:lang w:eastAsia="zh-CN"/>
        </w:rPr>
        <w:t>七、存在的问题及原因分析</w:t>
      </w:r>
    </w:p>
    <w:p w14:paraId="2C9E8474">
      <w:pPr>
        <w:widowControl w:val="0"/>
        <w:kinsoku/>
        <w:overflowPunct w:val="0"/>
        <w:spacing w:line="360" w:lineRule="auto"/>
        <w:ind w:firstLine="604" w:firstLineChars="200"/>
        <w:rPr>
          <w:rFonts w:hint="eastAsia" w:ascii="仿宋" w:hAnsi="仿宋" w:eastAsia="仿宋" w:cs="仿宋"/>
          <w:snapToGrid w:val="0"/>
          <w:color w:val="000000"/>
          <w:spacing w:val="-9"/>
          <w:sz w:val="32"/>
          <w:szCs w:val="32"/>
          <w:lang w:val="en-US" w:eastAsia="zh-CN" w:bidi="ar-SA"/>
        </w:rPr>
      </w:pPr>
      <w:r>
        <w:rPr>
          <w:rFonts w:hint="eastAsia" w:ascii="仿宋" w:hAnsi="仿宋" w:eastAsia="仿宋" w:cs="仿宋"/>
          <w:snapToGrid w:val="0"/>
          <w:color w:val="000000"/>
          <w:spacing w:val="-9"/>
          <w:sz w:val="32"/>
          <w:szCs w:val="32"/>
          <w:lang w:val="en-US" w:eastAsia="zh-CN" w:bidi="ar-SA"/>
        </w:rPr>
        <w:t>1.预算编制不够精细，部分预算项目编制时考虑不够周全。</w:t>
      </w:r>
    </w:p>
    <w:p w14:paraId="27E28AD0">
      <w:pPr>
        <w:widowControl w:val="0"/>
        <w:kinsoku/>
        <w:overflowPunct w:val="0"/>
        <w:spacing w:line="360" w:lineRule="auto"/>
        <w:ind w:firstLine="604" w:firstLineChars="200"/>
        <w:rPr>
          <w:rFonts w:hint="eastAsia" w:ascii="仿宋" w:hAnsi="仿宋" w:eastAsia="仿宋" w:cs="仿宋"/>
          <w:snapToGrid w:val="0"/>
          <w:color w:val="000000"/>
          <w:spacing w:val="-9"/>
          <w:sz w:val="32"/>
          <w:szCs w:val="32"/>
          <w:lang w:val="en-US" w:eastAsia="zh-CN" w:bidi="ar-SA"/>
        </w:rPr>
      </w:pPr>
      <w:r>
        <w:rPr>
          <w:rFonts w:hint="eastAsia" w:ascii="仿宋" w:hAnsi="仿宋" w:eastAsia="仿宋" w:cs="仿宋"/>
          <w:snapToGrid w:val="0"/>
          <w:color w:val="000000"/>
          <w:spacing w:val="-9"/>
          <w:sz w:val="32"/>
          <w:szCs w:val="32"/>
          <w:lang w:val="en-US" w:eastAsia="zh-CN" w:bidi="ar-SA"/>
        </w:rPr>
        <w:t>2.预算执行进度把控不严，部分预算项目执行进度缓慢，影响了整体预算绩效。</w:t>
      </w:r>
    </w:p>
    <w:p w14:paraId="6D98DF2B">
      <w:pPr>
        <w:widowControl w:val="0"/>
        <w:kinsoku/>
        <w:overflowPunct w:val="0"/>
        <w:spacing w:line="360" w:lineRule="auto"/>
        <w:ind w:firstLine="604" w:firstLineChars="200"/>
        <w:rPr>
          <w:rFonts w:hint="eastAsia" w:ascii="仿宋" w:hAnsi="仿宋" w:eastAsia="仿宋" w:cs="仿宋"/>
          <w:snapToGrid w:val="0"/>
          <w:color w:val="000000"/>
          <w:spacing w:val="-9"/>
          <w:sz w:val="32"/>
          <w:szCs w:val="32"/>
          <w:lang w:val="en-US" w:eastAsia="zh-CN" w:bidi="ar-SA"/>
        </w:rPr>
      </w:pPr>
      <w:r>
        <w:rPr>
          <w:rFonts w:hint="eastAsia" w:ascii="仿宋" w:hAnsi="仿宋" w:eastAsia="仿宋" w:cs="仿宋"/>
          <w:snapToGrid w:val="0"/>
          <w:color w:val="000000"/>
          <w:spacing w:val="-9"/>
          <w:sz w:val="32"/>
          <w:szCs w:val="32"/>
          <w:lang w:val="en-US" w:eastAsia="zh-CN" w:bidi="ar-SA"/>
        </w:rPr>
        <w:t>3.预算绩效管理机制不够完善，导致部分预算资金使用效益不高。</w:t>
      </w:r>
    </w:p>
    <w:p w14:paraId="5FA59C73">
      <w:pPr>
        <w:widowControl w:val="0"/>
        <w:kinsoku/>
        <w:overflowPunct w:val="0"/>
        <w:spacing w:line="360" w:lineRule="auto"/>
        <w:ind w:firstLine="591" w:firstLineChars="200"/>
        <w:rPr>
          <w:rFonts w:ascii="黑体" w:hAnsi="黑体" w:eastAsia="黑体" w:cs="黑体"/>
          <w:b/>
          <w:bCs/>
          <w:spacing w:val="-13"/>
          <w:sz w:val="32"/>
          <w:szCs w:val="32"/>
          <w:lang w:eastAsia="zh-CN"/>
        </w:rPr>
      </w:pPr>
      <w:r>
        <w:rPr>
          <w:rFonts w:ascii="黑体" w:hAnsi="黑体" w:eastAsia="黑体" w:cs="黑体"/>
          <w:b/>
          <w:bCs/>
          <w:spacing w:val="-13"/>
          <w:sz w:val="32"/>
          <w:szCs w:val="32"/>
          <w:lang w:eastAsia="zh-CN"/>
        </w:rPr>
        <w:t>八、下一步改进措施</w:t>
      </w:r>
    </w:p>
    <w:p w14:paraId="6FE2845F">
      <w:pPr>
        <w:widowControl w:val="0"/>
        <w:kinsoku/>
        <w:overflowPunct w:val="0"/>
        <w:spacing w:line="360" w:lineRule="auto"/>
        <w:ind w:firstLine="604" w:firstLineChars="200"/>
        <w:rPr>
          <w:rFonts w:hint="eastAsia" w:ascii="仿宋" w:hAnsi="仿宋" w:eastAsia="仿宋" w:cs="仿宋"/>
          <w:snapToGrid w:val="0"/>
          <w:color w:val="000000"/>
          <w:spacing w:val="-9"/>
          <w:sz w:val="32"/>
          <w:szCs w:val="32"/>
          <w:lang w:val="en-US" w:eastAsia="zh-CN" w:bidi="ar-SA"/>
        </w:rPr>
      </w:pPr>
      <w:r>
        <w:rPr>
          <w:rFonts w:hint="eastAsia" w:ascii="仿宋" w:hAnsi="仿宋" w:eastAsia="仿宋" w:cs="仿宋"/>
          <w:snapToGrid w:val="0"/>
          <w:color w:val="000000"/>
          <w:spacing w:val="-9"/>
          <w:sz w:val="32"/>
          <w:szCs w:val="32"/>
          <w:lang w:val="en-US" w:eastAsia="zh-CN" w:bidi="ar-SA"/>
        </w:rPr>
        <w:t>1.加强预算编制的精细化和科学化，确保预算项目更加符合实际需求。</w:t>
      </w:r>
    </w:p>
    <w:p w14:paraId="5FEE34E8">
      <w:pPr>
        <w:widowControl w:val="0"/>
        <w:kinsoku/>
        <w:overflowPunct w:val="0"/>
        <w:spacing w:line="360" w:lineRule="auto"/>
        <w:ind w:firstLine="604" w:firstLineChars="200"/>
        <w:rPr>
          <w:rFonts w:hint="eastAsia" w:ascii="仿宋" w:hAnsi="仿宋" w:eastAsia="仿宋" w:cs="仿宋"/>
          <w:snapToGrid w:val="0"/>
          <w:color w:val="000000"/>
          <w:spacing w:val="-9"/>
          <w:sz w:val="32"/>
          <w:szCs w:val="32"/>
          <w:lang w:val="en-US" w:eastAsia="zh-CN" w:bidi="ar-SA"/>
        </w:rPr>
      </w:pPr>
      <w:r>
        <w:rPr>
          <w:rFonts w:hint="eastAsia" w:ascii="仿宋" w:hAnsi="仿宋" w:eastAsia="仿宋" w:cs="仿宋"/>
          <w:snapToGrid w:val="0"/>
          <w:color w:val="000000"/>
          <w:spacing w:val="-9"/>
          <w:sz w:val="32"/>
          <w:szCs w:val="32"/>
          <w:lang w:val="en-US" w:eastAsia="zh-CN" w:bidi="ar-SA"/>
        </w:rPr>
        <w:t>2.严格把控预算执行进度，确保预算项目按时、按质、按量完成。</w:t>
      </w:r>
    </w:p>
    <w:p w14:paraId="0D6522CB">
      <w:pPr>
        <w:widowControl w:val="0"/>
        <w:kinsoku/>
        <w:overflowPunct w:val="0"/>
        <w:spacing w:line="360" w:lineRule="auto"/>
        <w:ind w:firstLine="604" w:firstLineChars="200"/>
        <w:rPr>
          <w:rFonts w:hint="eastAsia" w:ascii="仿宋" w:hAnsi="仿宋" w:eastAsia="仿宋" w:cs="仿宋"/>
          <w:snapToGrid w:val="0"/>
          <w:color w:val="000000"/>
          <w:spacing w:val="-9"/>
          <w:sz w:val="32"/>
          <w:szCs w:val="32"/>
          <w:lang w:val="en-US" w:eastAsia="zh-CN" w:bidi="ar-SA"/>
        </w:rPr>
      </w:pPr>
      <w:r>
        <w:rPr>
          <w:rFonts w:hint="eastAsia" w:ascii="仿宋" w:hAnsi="仿宋" w:eastAsia="仿宋" w:cs="仿宋"/>
          <w:snapToGrid w:val="0"/>
          <w:color w:val="000000"/>
          <w:spacing w:val="-9"/>
          <w:sz w:val="32"/>
          <w:szCs w:val="32"/>
          <w:lang w:val="en-US" w:eastAsia="zh-CN" w:bidi="ar-SA"/>
        </w:rPr>
        <w:t>3.完善预算绩效管理机制，建立科学的绩效评价体系，提高预算资金使用效益。</w:t>
      </w:r>
    </w:p>
    <w:p w14:paraId="66FC4B42">
      <w:pPr>
        <w:widowControl w:val="0"/>
        <w:kinsoku/>
        <w:overflowPunct w:val="0"/>
        <w:spacing w:line="360" w:lineRule="auto"/>
        <w:ind w:firstLine="604" w:firstLineChars="200"/>
        <w:rPr>
          <w:rFonts w:ascii="黑体" w:hAnsi="黑体" w:eastAsia="黑体" w:cs="黑体"/>
          <w:spacing w:val="-13"/>
          <w:sz w:val="32"/>
          <w:szCs w:val="32"/>
          <w:lang w:eastAsia="zh-CN"/>
        </w:rPr>
      </w:pPr>
      <w:r>
        <w:rPr>
          <w:rFonts w:hint="eastAsia" w:ascii="仿宋" w:hAnsi="仿宋" w:eastAsia="仿宋" w:cs="仿宋"/>
          <w:snapToGrid w:val="0"/>
          <w:color w:val="000000"/>
          <w:spacing w:val="-9"/>
          <w:sz w:val="32"/>
          <w:szCs w:val="32"/>
          <w:lang w:val="en-US" w:eastAsia="zh-CN" w:bidi="ar-SA"/>
        </w:rPr>
        <w:t>4.加强预算绩效管理培训，提高预算意识和绩效观念。</w:t>
      </w:r>
    </w:p>
    <w:p w14:paraId="5B7C30A9">
      <w:pPr>
        <w:widowControl w:val="0"/>
        <w:kinsoku/>
        <w:overflowPunct w:val="0"/>
        <w:spacing w:line="360" w:lineRule="auto"/>
        <w:ind w:firstLine="588" w:firstLineChars="200"/>
        <w:rPr>
          <w:rFonts w:ascii="黑体" w:hAnsi="黑体" w:eastAsia="黑体" w:cs="黑体"/>
          <w:sz w:val="32"/>
          <w:szCs w:val="32"/>
          <w:lang w:eastAsia="zh-CN"/>
        </w:rPr>
      </w:pPr>
      <w:r>
        <w:rPr>
          <w:rFonts w:ascii="黑体" w:hAnsi="黑体" w:eastAsia="黑体" w:cs="黑体"/>
          <w:spacing w:val="-13"/>
          <w:sz w:val="32"/>
          <w:szCs w:val="32"/>
          <w:lang w:eastAsia="zh-CN"/>
        </w:rPr>
        <w:t>九、其他需要说明的情况</w:t>
      </w:r>
    </w:p>
    <w:p w14:paraId="26780073">
      <w:pPr>
        <w:widowControl w:val="0"/>
        <w:kinsoku/>
        <w:overflowPunct w:val="0"/>
        <w:spacing w:line="360" w:lineRule="auto"/>
        <w:ind w:firstLine="604" w:firstLineChars="200"/>
        <w:rPr>
          <w:rFonts w:hint="eastAsia" w:ascii="仿宋" w:hAnsi="仿宋" w:eastAsia="仿宋" w:cs="仿宋"/>
          <w:snapToGrid w:val="0"/>
          <w:color w:val="000000"/>
          <w:spacing w:val="-9"/>
          <w:sz w:val="32"/>
          <w:szCs w:val="32"/>
          <w:lang w:val="en-US" w:eastAsia="zh-CN" w:bidi="ar-SA"/>
        </w:rPr>
      </w:pPr>
      <w:r>
        <w:rPr>
          <w:rFonts w:hint="eastAsia" w:ascii="仿宋" w:hAnsi="仿宋" w:eastAsia="仿宋" w:cs="仿宋"/>
          <w:snapToGrid w:val="0"/>
          <w:color w:val="000000"/>
          <w:spacing w:val="-9"/>
          <w:sz w:val="32"/>
          <w:szCs w:val="32"/>
          <w:lang w:val="en-US" w:eastAsia="zh-CN" w:bidi="ar-SA"/>
        </w:rPr>
        <w:t>无。</w:t>
      </w:r>
    </w:p>
    <w:p w14:paraId="2769320B">
      <w:pPr>
        <w:widowControl w:val="0"/>
        <w:kinsoku/>
        <w:overflowPunct w:val="0"/>
        <w:spacing w:line="360" w:lineRule="auto"/>
        <w:ind w:firstLine="640" w:firstLineChars="200"/>
        <w:rPr>
          <w:sz w:val="32"/>
          <w:szCs w:val="32"/>
          <w:lang w:eastAsia="zh-CN"/>
        </w:rPr>
      </w:pPr>
    </w:p>
    <w:p w14:paraId="22A2F3B5">
      <w:pPr>
        <w:pStyle w:val="2"/>
        <w:widowControl w:val="0"/>
        <w:kinsoku/>
        <w:overflowPunct w:val="0"/>
        <w:spacing w:line="360" w:lineRule="auto"/>
        <w:ind w:firstLine="580" w:firstLineChars="200"/>
        <w:rPr>
          <w:sz w:val="32"/>
          <w:szCs w:val="32"/>
          <w:lang w:eastAsia="zh-CN"/>
        </w:rPr>
      </w:pPr>
      <w:r>
        <w:rPr>
          <w:spacing w:val="-15"/>
          <w:sz w:val="32"/>
          <w:szCs w:val="32"/>
          <w:lang w:eastAsia="zh-CN"/>
        </w:rPr>
        <w:t>附件：</w:t>
      </w:r>
    </w:p>
    <w:p w14:paraId="55089D88">
      <w:pPr>
        <w:pStyle w:val="2"/>
        <w:widowControl w:val="0"/>
        <w:kinsoku/>
        <w:overflowPunct w:val="0"/>
        <w:spacing w:line="360" w:lineRule="auto"/>
        <w:ind w:firstLine="620" w:firstLineChars="200"/>
        <w:rPr>
          <w:spacing w:val="-5"/>
          <w:sz w:val="32"/>
          <w:szCs w:val="32"/>
          <w:lang w:eastAsia="zh-CN"/>
        </w:rPr>
      </w:pPr>
      <w:r>
        <w:rPr>
          <w:rFonts w:hint="eastAsia"/>
          <w:spacing w:val="-5"/>
          <w:sz w:val="32"/>
          <w:szCs w:val="32"/>
          <w:lang w:eastAsia="zh-CN"/>
        </w:rPr>
        <w:t>1.</w:t>
      </w:r>
      <w:r>
        <w:rPr>
          <w:spacing w:val="-5"/>
          <w:sz w:val="32"/>
          <w:szCs w:val="32"/>
          <w:lang w:eastAsia="zh-CN"/>
        </w:rPr>
        <w:t>部门整体支出绩效评价基础数据表</w:t>
      </w:r>
    </w:p>
    <w:p w14:paraId="2CF44F14">
      <w:pPr>
        <w:pStyle w:val="2"/>
        <w:widowControl w:val="0"/>
        <w:kinsoku/>
        <w:overflowPunct w:val="0"/>
        <w:spacing w:line="360" w:lineRule="auto"/>
        <w:ind w:firstLine="624" w:firstLineChars="200"/>
        <w:rPr>
          <w:sz w:val="32"/>
          <w:szCs w:val="32"/>
          <w:lang w:eastAsia="zh-CN"/>
        </w:rPr>
      </w:pPr>
      <w:r>
        <w:rPr>
          <w:rFonts w:hint="eastAsia" w:ascii="宋体" w:hAnsi="宋体" w:eastAsia="宋体" w:cs="宋体"/>
          <w:spacing w:val="-4"/>
          <w:sz w:val="32"/>
          <w:szCs w:val="32"/>
          <w:lang w:eastAsia="zh-CN"/>
        </w:rPr>
        <w:t>2.</w:t>
      </w:r>
      <w:r>
        <w:rPr>
          <w:spacing w:val="-4"/>
          <w:sz w:val="32"/>
          <w:szCs w:val="32"/>
          <w:lang w:eastAsia="zh-CN"/>
        </w:rPr>
        <w:t>部门整体支出绩效自评表</w:t>
      </w:r>
    </w:p>
    <w:p w14:paraId="64F73DBF">
      <w:pPr>
        <w:widowControl w:val="0"/>
        <w:kinsoku/>
        <w:overflowPunct w:val="0"/>
        <w:spacing w:line="360" w:lineRule="auto"/>
        <w:ind w:firstLine="640" w:firstLineChars="200"/>
        <w:rPr>
          <w:sz w:val="32"/>
          <w:szCs w:val="32"/>
          <w:lang w:eastAsia="zh-CN"/>
        </w:rPr>
        <w:sectPr>
          <w:headerReference r:id="rId3" w:type="default"/>
          <w:footerReference r:id="rId4" w:type="default"/>
          <w:pgSz w:w="11900" w:h="16838"/>
          <w:pgMar w:top="1417" w:right="1474" w:bottom="1417" w:left="1474" w:header="0" w:footer="1134" w:gutter="0"/>
          <w:pgNumType w:fmt="numberInDash"/>
          <w:cols w:space="0" w:num="1"/>
          <w:docGrid w:linePitch="286" w:charSpace="0"/>
        </w:sectPr>
      </w:pPr>
    </w:p>
    <w:p w14:paraId="24EB0D83">
      <w:pPr>
        <w:pStyle w:val="2"/>
        <w:spacing w:before="75" w:line="222" w:lineRule="auto"/>
        <w:rPr>
          <w:sz w:val="24"/>
          <w:szCs w:val="24"/>
          <w:lang w:eastAsia="zh-CN"/>
        </w:rPr>
      </w:pPr>
      <w:r>
        <w:rPr>
          <w:spacing w:val="15"/>
          <w:sz w:val="24"/>
          <w:szCs w:val="24"/>
          <w:lang w:eastAsia="zh-CN"/>
        </w:rPr>
        <w:t>附件1-1</w:t>
      </w:r>
    </w:p>
    <w:p w14:paraId="77609F65">
      <w:pPr>
        <w:spacing w:before="92" w:line="211" w:lineRule="auto"/>
        <w:ind w:left="2050"/>
        <w:rPr>
          <w:rFonts w:ascii="宋体" w:hAnsi="宋体" w:eastAsia="宋体" w:cs="宋体"/>
          <w:sz w:val="36"/>
          <w:szCs w:val="36"/>
          <w:lang w:eastAsia="zh-CN"/>
        </w:rPr>
      </w:pPr>
      <w:r>
        <w:rPr>
          <w:rFonts w:ascii="宋体" w:hAnsi="宋体" w:eastAsia="宋体" w:cs="宋体"/>
          <w:b/>
          <w:bCs/>
          <w:spacing w:val="-8"/>
          <w:sz w:val="36"/>
          <w:szCs w:val="36"/>
          <w:lang w:eastAsia="zh-CN"/>
        </w:rPr>
        <w:t>部门整体支出绩效评价基础数据表</w:t>
      </w:r>
    </w:p>
    <w:p w14:paraId="413393EF">
      <w:pPr>
        <w:spacing w:line="219" w:lineRule="auto"/>
        <w:ind w:left="545"/>
        <w:rPr>
          <w:rFonts w:ascii="宋体" w:hAnsi="宋体" w:eastAsia="宋体" w:cs="宋体"/>
          <w:spacing w:val="-1"/>
          <w:lang w:eastAsia="zh-CN"/>
        </w:rPr>
      </w:pPr>
    </w:p>
    <w:p w14:paraId="62D1A7A9">
      <w:pPr>
        <w:spacing w:line="219" w:lineRule="auto"/>
        <w:ind w:left="545"/>
        <w:rPr>
          <w:rFonts w:hint="eastAsia" w:ascii="宋体" w:hAnsi="宋体" w:eastAsia="宋体" w:cs="宋体"/>
          <w:spacing w:val="-1"/>
          <w:lang w:eastAsia="zh-CN"/>
        </w:rPr>
      </w:pPr>
      <w:r>
        <w:rPr>
          <w:rFonts w:ascii="宋体" w:hAnsi="宋体" w:eastAsia="宋体" w:cs="宋体"/>
          <w:spacing w:val="-1"/>
        </w:rPr>
        <w:t>填报单位：</w:t>
      </w:r>
      <w:r>
        <w:rPr>
          <w:rFonts w:hint="eastAsia" w:ascii="宋体" w:hAnsi="宋体" w:eastAsia="宋体" w:cs="宋体"/>
          <w:spacing w:val="-1"/>
          <w:lang w:eastAsia="zh-CN"/>
        </w:rPr>
        <w:t>怀化市鹤城区黄岩旅游度假区管理处</w:t>
      </w:r>
    </w:p>
    <w:p w14:paraId="70AB9404">
      <w:pPr>
        <w:spacing w:line="219" w:lineRule="auto"/>
        <w:ind w:left="545"/>
        <w:rPr>
          <w:rFonts w:ascii="宋体" w:hAnsi="宋体" w:eastAsia="宋体" w:cs="宋体"/>
          <w:spacing w:val="-1"/>
          <w:lang w:eastAsia="zh-CN"/>
        </w:rPr>
      </w:pPr>
      <w:r>
        <w:rPr>
          <w:rFonts w:hint="eastAsia" w:ascii="宋体" w:hAnsi="宋体" w:eastAsia="宋体" w:cs="宋体"/>
          <w:spacing w:val="-1"/>
          <w:lang w:eastAsia="zh-CN"/>
        </w:rPr>
        <w:t xml:space="preserve">                                                           单位：万元</w:t>
      </w:r>
    </w:p>
    <w:p w14:paraId="4F61522B">
      <w:pPr>
        <w:spacing w:line="37" w:lineRule="exact"/>
      </w:pPr>
    </w:p>
    <w:tbl>
      <w:tblPr>
        <w:tblStyle w:val="7"/>
        <w:tblpPr w:leftFromText="180" w:rightFromText="180" w:vertAnchor="text" w:horzAnchor="page" w:tblpX="1244" w:tblpY="79"/>
        <w:tblOverlap w:val="never"/>
        <w:tblW w:w="938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331"/>
        <w:gridCol w:w="1169"/>
        <w:gridCol w:w="849"/>
        <w:gridCol w:w="1109"/>
        <w:gridCol w:w="1088"/>
        <w:gridCol w:w="969"/>
        <w:gridCol w:w="874"/>
      </w:tblGrid>
      <w:tr w14:paraId="045E3E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3331" w:type="dxa"/>
            <w:vMerge w:val="restart"/>
            <w:tcBorders>
              <w:bottom w:val="nil"/>
            </w:tcBorders>
          </w:tcPr>
          <w:p w14:paraId="7AF603CE">
            <w:pPr>
              <w:spacing w:before="262" w:line="219" w:lineRule="auto"/>
              <w:ind w:left="875"/>
              <w:rPr>
                <w:rFonts w:ascii="宋体" w:hAnsi="宋体" w:eastAsia="宋体" w:cs="宋体"/>
                <w:sz w:val="20"/>
                <w:szCs w:val="20"/>
              </w:rPr>
            </w:pPr>
            <w:r>
              <w:rPr>
                <w:rFonts w:ascii="宋体" w:hAnsi="宋体" w:eastAsia="宋体" w:cs="宋体"/>
                <w:spacing w:val="-1"/>
                <w:sz w:val="20"/>
                <w:szCs w:val="20"/>
              </w:rPr>
              <w:t>财政供养人员情况</w:t>
            </w:r>
          </w:p>
        </w:tc>
        <w:tc>
          <w:tcPr>
            <w:tcW w:w="2018" w:type="dxa"/>
            <w:gridSpan w:val="2"/>
          </w:tcPr>
          <w:p w14:paraId="4B7DFE05">
            <w:pPr>
              <w:spacing w:before="103" w:line="219" w:lineRule="auto"/>
              <w:ind w:left="703"/>
              <w:rPr>
                <w:rFonts w:ascii="宋体" w:hAnsi="宋体" w:eastAsia="宋体" w:cs="宋体"/>
                <w:sz w:val="20"/>
                <w:szCs w:val="20"/>
              </w:rPr>
            </w:pPr>
            <w:r>
              <w:rPr>
                <w:rFonts w:ascii="宋体" w:hAnsi="宋体" w:eastAsia="宋体" w:cs="宋体"/>
                <w:spacing w:val="-3"/>
                <w:sz w:val="20"/>
                <w:szCs w:val="20"/>
              </w:rPr>
              <w:t>编制数</w:t>
            </w:r>
          </w:p>
        </w:tc>
        <w:tc>
          <w:tcPr>
            <w:tcW w:w="2197" w:type="dxa"/>
            <w:gridSpan w:val="2"/>
          </w:tcPr>
          <w:p w14:paraId="4B47FF6A">
            <w:pPr>
              <w:spacing w:before="103" w:line="219" w:lineRule="auto"/>
              <w:ind w:left="196"/>
              <w:rPr>
                <w:rFonts w:ascii="宋体" w:hAnsi="宋体" w:eastAsia="宋体" w:cs="宋体"/>
                <w:sz w:val="20"/>
                <w:szCs w:val="20"/>
              </w:rPr>
            </w:pPr>
            <w:r>
              <w:rPr>
                <w:rFonts w:ascii="宋体" w:hAnsi="宋体" w:eastAsia="宋体" w:cs="宋体"/>
                <w:spacing w:val="-1"/>
                <w:sz w:val="20"/>
                <w:szCs w:val="20"/>
              </w:rPr>
              <w:t>2023年实际在职人数</w:t>
            </w:r>
          </w:p>
        </w:tc>
        <w:tc>
          <w:tcPr>
            <w:tcW w:w="1843" w:type="dxa"/>
            <w:gridSpan w:val="2"/>
          </w:tcPr>
          <w:p w14:paraId="1AF0A858">
            <w:pPr>
              <w:spacing w:before="103" w:line="219" w:lineRule="auto"/>
              <w:ind w:left="618"/>
              <w:rPr>
                <w:rFonts w:ascii="宋体" w:hAnsi="宋体" w:eastAsia="宋体" w:cs="宋体"/>
                <w:sz w:val="20"/>
                <w:szCs w:val="20"/>
              </w:rPr>
            </w:pPr>
            <w:r>
              <w:rPr>
                <w:rFonts w:ascii="宋体" w:hAnsi="宋体" w:eastAsia="宋体" w:cs="宋体"/>
                <w:spacing w:val="-2"/>
                <w:sz w:val="20"/>
                <w:szCs w:val="20"/>
              </w:rPr>
              <w:t>控制率</w:t>
            </w:r>
          </w:p>
        </w:tc>
      </w:tr>
      <w:tr w14:paraId="7D4812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9" w:hRule="atLeast"/>
        </w:trPr>
        <w:tc>
          <w:tcPr>
            <w:tcW w:w="3331" w:type="dxa"/>
            <w:vMerge w:val="continue"/>
            <w:tcBorders>
              <w:top w:val="nil"/>
            </w:tcBorders>
          </w:tcPr>
          <w:p w14:paraId="7EE96839">
            <w:pPr>
              <w:pStyle w:val="8"/>
            </w:pPr>
          </w:p>
        </w:tc>
        <w:tc>
          <w:tcPr>
            <w:tcW w:w="2018" w:type="dxa"/>
            <w:gridSpan w:val="2"/>
          </w:tcPr>
          <w:p w14:paraId="35AEAECD">
            <w:pPr>
              <w:pStyle w:val="8"/>
              <w:spacing w:before="40"/>
              <w:jc w:val="center"/>
              <w:rPr>
                <w:rFonts w:eastAsia="宋体"/>
                <w:lang w:eastAsia="zh-CN"/>
              </w:rPr>
            </w:pPr>
            <w:r>
              <w:rPr>
                <w:rFonts w:hint="eastAsia" w:eastAsia="宋体"/>
                <w:lang w:eastAsia="zh-CN"/>
              </w:rPr>
              <w:t>35</w:t>
            </w:r>
          </w:p>
        </w:tc>
        <w:tc>
          <w:tcPr>
            <w:tcW w:w="2197" w:type="dxa"/>
            <w:gridSpan w:val="2"/>
          </w:tcPr>
          <w:p w14:paraId="0D6274C8">
            <w:pPr>
              <w:pStyle w:val="8"/>
              <w:spacing w:before="40"/>
              <w:jc w:val="center"/>
              <w:rPr>
                <w:rFonts w:eastAsia="宋体"/>
                <w:lang w:eastAsia="zh-CN"/>
              </w:rPr>
            </w:pPr>
            <w:r>
              <w:rPr>
                <w:rFonts w:hint="eastAsia" w:eastAsia="宋体"/>
                <w:lang w:eastAsia="zh-CN"/>
              </w:rPr>
              <w:t>35</w:t>
            </w:r>
          </w:p>
        </w:tc>
        <w:tc>
          <w:tcPr>
            <w:tcW w:w="1843" w:type="dxa"/>
            <w:gridSpan w:val="2"/>
          </w:tcPr>
          <w:p w14:paraId="3482B60C">
            <w:pPr>
              <w:pStyle w:val="8"/>
              <w:spacing w:before="40"/>
              <w:jc w:val="center"/>
              <w:rPr>
                <w:rFonts w:eastAsia="宋体"/>
                <w:lang w:eastAsia="zh-CN"/>
              </w:rPr>
            </w:pPr>
            <w:r>
              <w:rPr>
                <w:rFonts w:hint="eastAsia" w:eastAsia="宋体"/>
                <w:lang w:eastAsia="zh-CN"/>
              </w:rPr>
              <w:t>100%</w:t>
            </w:r>
          </w:p>
        </w:tc>
      </w:tr>
      <w:tr w14:paraId="72661A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539B78D4">
            <w:pPr>
              <w:spacing w:before="99" w:line="220" w:lineRule="auto"/>
              <w:ind w:left="1044"/>
              <w:rPr>
                <w:rFonts w:ascii="宋体" w:hAnsi="宋体" w:eastAsia="宋体" w:cs="宋体"/>
                <w:sz w:val="20"/>
                <w:szCs w:val="20"/>
              </w:rPr>
            </w:pPr>
            <w:r>
              <w:rPr>
                <w:rFonts w:ascii="宋体" w:hAnsi="宋体" w:eastAsia="宋体" w:cs="宋体"/>
                <w:spacing w:val="-2"/>
                <w:sz w:val="20"/>
                <w:szCs w:val="20"/>
              </w:rPr>
              <w:t>经费控制情况</w:t>
            </w:r>
          </w:p>
        </w:tc>
        <w:tc>
          <w:tcPr>
            <w:tcW w:w="2018" w:type="dxa"/>
            <w:gridSpan w:val="2"/>
          </w:tcPr>
          <w:p w14:paraId="1708BFF8">
            <w:pPr>
              <w:spacing w:before="99" w:line="219" w:lineRule="auto"/>
              <w:ind w:left="403"/>
              <w:jc w:val="both"/>
              <w:rPr>
                <w:rFonts w:ascii="宋体" w:hAnsi="宋体" w:eastAsia="宋体" w:cs="宋体"/>
                <w:sz w:val="20"/>
                <w:szCs w:val="20"/>
              </w:rPr>
            </w:pPr>
            <w:r>
              <w:rPr>
                <w:rFonts w:ascii="宋体" w:hAnsi="宋体" w:eastAsia="宋体" w:cs="宋体"/>
                <w:spacing w:val="-2"/>
                <w:sz w:val="20"/>
                <w:szCs w:val="20"/>
              </w:rPr>
              <w:t>2022年决算数</w:t>
            </w:r>
          </w:p>
        </w:tc>
        <w:tc>
          <w:tcPr>
            <w:tcW w:w="2197" w:type="dxa"/>
            <w:gridSpan w:val="2"/>
          </w:tcPr>
          <w:p w14:paraId="7408857B">
            <w:pPr>
              <w:spacing w:before="99" w:line="219" w:lineRule="auto"/>
              <w:ind w:left="496"/>
              <w:jc w:val="both"/>
              <w:rPr>
                <w:rFonts w:ascii="宋体" w:hAnsi="宋体" w:eastAsia="宋体" w:cs="宋体"/>
                <w:sz w:val="20"/>
                <w:szCs w:val="20"/>
              </w:rPr>
            </w:pPr>
            <w:r>
              <w:rPr>
                <w:rFonts w:ascii="宋体" w:hAnsi="宋体" w:eastAsia="宋体" w:cs="宋体"/>
                <w:spacing w:val="-2"/>
                <w:sz w:val="20"/>
                <w:szCs w:val="20"/>
              </w:rPr>
              <w:t>2023年预算数</w:t>
            </w:r>
          </w:p>
        </w:tc>
        <w:tc>
          <w:tcPr>
            <w:tcW w:w="1843" w:type="dxa"/>
            <w:gridSpan w:val="2"/>
          </w:tcPr>
          <w:p w14:paraId="0ED81F3E">
            <w:pPr>
              <w:spacing w:before="99" w:line="219" w:lineRule="auto"/>
              <w:ind w:left="318"/>
              <w:jc w:val="both"/>
              <w:rPr>
                <w:rFonts w:ascii="宋体" w:hAnsi="宋体" w:eastAsia="宋体" w:cs="宋体"/>
                <w:sz w:val="20"/>
                <w:szCs w:val="20"/>
              </w:rPr>
            </w:pPr>
            <w:r>
              <w:rPr>
                <w:rFonts w:ascii="宋体" w:hAnsi="宋体" w:eastAsia="宋体" w:cs="宋体"/>
                <w:spacing w:val="-2"/>
                <w:sz w:val="20"/>
                <w:szCs w:val="20"/>
              </w:rPr>
              <w:t>2023年决算数</w:t>
            </w:r>
          </w:p>
        </w:tc>
      </w:tr>
      <w:tr w14:paraId="5E47FC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5ADA3658">
            <w:pPr>
              <w:spacing w:before="100" w:line="220" w:lineRule="auto"/>
              <w:ind w:left="104"/>
              <w:rPr>
                <w:rFonts w:ascii="宋体" w:hAnsi="宋体" w:eastAsia="宋体" w:cs="宋体"/>
                <w:sz w:val="20"/>
                <w:szCs w:val="20"/>
              </w:rPr>
            </w:pPr>
            <w:r>
              <w:rPr>
                <w:rFonts w:ascii="宋体" w:hAnsi="宋体" w:eastAsia="宋体" w:cs="宋体"/>
                <w:spacing w:val="3"/>
                <w:sz w:val="20"/>
                <w:szCs w:val="20"/>
              </w:rPr>
              <w:t>三公经费</w:t>
            </w:r>
          </w:p>
        </w:tc>
        <w:tc>
          <w:tcPr>
            <w:tcW w:w="2018" w:type="dxa"/>
            <w:gridSpan w:val="2"/>
          </w:tcPr>
          <w:p w14:paraId="064DBDC8">
            <w:pPr>
              <w:pStyle w:val="8"/>
              <w:spacing w:before="80"/>
              <w:jc w:val="center"/>
              <w:rPr>
                <w:rFonts w:eastAsia="宋体"/>
                <w:lang w:eastAsia="zh-CN"/>
              </w:rPr>
            </w:pPr>
            <w:r>
              <w:rPr>
                <w:rFonts w:hint="eastAsia" w:eastAsia="宋体"/>
                <w:lang w:eastAsia="zh-CN"/>
              </w:rPr>
              <w:t>0</w:t>
            </w:r>
          </w:p>
        </w:tc>
        <w:tc>
          <w:tcPr>
            <w:tcW w:w="2197" w:type="dxa"/>
            <w:gridSpan w:val="2"/>
          </w:tcPr>
          <w:p w14:paraId="5BCAD287">
            <w:pPr>
              <w:pStyle w:val="8"/>
              <w:spacing w:before="80"/>
              <w:jc w:val="center"/>
              <w:rPr>
                <w:rFonts w:eastAsia="宋体"/>
                <w:lang w:eastAsia="zh-CN"/>
              </w:rPr>
            </w:pPr>
            <w:r>
              <w:rPr>
                <w:rFonts w:hint="eastAsia" w:eastAsia="宋体"/>
                <w:lang w:eastAsia="zh-CN"/>
              </w:rPr>
              <w:t>0</w:t>
            </w:r>
          </w:p>
        </w:tc>
        <w:tc>
          <w:tcPr>
            <w:tcW w:w="1843" w:type="dxa"/>
            <w:gridSpan w:val="2"/>
          </w:tcPr>
          <w:p w14:paraId="361692E3">
            <w:pPr>
              <w:pStyle w:val="8"/>
              <w:spacing w:before="80"/>
              <w:jc w:val="center"/>
              <w:rPr>
                <w:rFonts w:eastAsia="宋体"/>
                <w:lang w:eastAsia="zh-CN"/>
              </w:rPr>
            </w:pPr>
            <w:r>
              <w:rPr>
                <w:rFonts w:hint="eastAsia" w:eastAsia="宋体"/>
                <w:lang w:eastAsia="zh-CN"/>
              </w:rPr>
              <w:t>0</w:t>
            </w:r>
          </w:p>
        </w:tc>
      </w:tr>
      <w:tr w14:paraId="6F9460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3331" w:type="dxa"/>
          </w:tcPr>
          <w:p w14:paraId="448B4B0E">
            <w:pPr>
              <w:spacing w:before="99" w:line="219" w:lineRule="auto"/>
              <w:ind w:left="404"/>
              <w:rPr>
                <w:rFonts w:ascii="宋体" w:hAnsi="宋体" w:eastAsia="宋体" w:cs="宋体"/>
                <w:sz w:val="20"/>
                <w:szCs w:val="20"/>
                <w:lang w:eastAsia="zh-CN"/>
              </w:rPr>
            </w:pPr>
            <w:r>
              <w:rPr>
                <w:rFonts w:ascii="宋体" w:hAnsi="宋体" w:eastAsia="宋体" w:cs="宋体"/>
                <w:sz w:val="20"/>
                <w:szCs w:val="20"/>
                <w:lang w:eastAsia="zh-CN"/>
              </w:rPr>
              <w:t>1、公务用车购置和维护经费</w:t>
            </w:r>
          </w:p>
        </w:tc>
        <w:tc>
          <w:tcPr>
            <w:tcW w:w="2018" w:type="dxa"/>
            <w:gridSpan w:val="2"/>
          </w:tcPr>
          <w:p w14:paraId="2C64B1ED">
            <w:pPr>
              <w:pStyle w:val="8"/>
              <w:jc w:val="center"/>
              <w:rPr>
                <w:lang w:eastAsia="zh-CN"/>
              </w:rPr>
            </w:pPr>
          </w:p>
        </w:tc>
        <w:tc>
          <w:tcPr>
            <w:tcW w:w="2197" w:type="dxa"/>
            <w:gridSpan w:val="2"/>
          </w:tcPr>
          <w:p w14:paraId="068B7023">
            <w:pPr>
              <w:pStyle w:val="8"/>
              <w:jc w:val="center"/>
              <w:rPr>
                <w:lang w:eastAsia="zh-CN"/>
              </w:rPr>
            </w:pPr>
          </w:p>
        </w:tc>
        <w:tc>
          <w:tcPr>
            <w:tcW w:w="1843" w:type="dxa"/>
            <w:gridSpan w:val="2"/>
          </w:tcPr>
          <w:p w14:paraId="49C19AC8">
            <w:pPr>
              <w:pStyle w:val="8"/>
              <w:jc w:val="center"/>
              <w:rPr>
                <w:lang w:eastAsia="zh-CN"/>
              </w:rPr>
            </w:pPr>
          </w:p>
        </w:tc>
      </w:tr>
      <w:tr w14:paraId="7006E9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2C149190">
            <w:pPr>
              <w:spacing w:before="100" w:line="219" w:lineRule="auto"/>
              <w:ind w:left="795"/>
              <w:rPr>
                <w:rFonts w:ascii="宋体" w:hAnsi="宋体" w:eastAsia="宋体" w:cs="宋体"/>
                <w:sz w:val="20"/>
                <w:szCs w:val="20"/>
              </w:rPr>
            </w:pPr>
            <w:r>
              <w:rPr>
                <w:rFonts w:ascii="宋体" w:hAnsi="宋体" w:eastAsia="宋体" w:cs="宋体"/>
                <w:spacing w:val="-2"/>
                <w:sz w:val="20"/>
                <w:szCs w:val="20"/>
              </w:rPr>
              <w:t>其中：公车购置</w:t>
            </w:r>
          </w:p>
        </w:tc>
        <w:tc>
          <w:tcPr>
            <w:tcW w:w="2018" w:type="dxa"/>
            <w:gridSpan w:val="2"/>
          </w:tcPr>
          <w:p w14:paraId="1897F63F">
            <w:pPr>
              <w:pStyle w:val="8"/>
              <w:jc w:val="center"/>
            </w:pPr>
          </w:p>
        </w:tc>
        <w:tc>
          <w:tcPr>
            <w:tcW w:w="2197" w:type="dxa"/>
            <w:gridSpan w:val="2"/>
          </w:tcPr>
          <w:p w14:paraId="258F7130">
            <w:pPr>
              <w:pStyle w:val="8"/>
              <w:jc w:val="center"/>
            </w:pPr>
          </w:p>
        </w:tc>
        <w:tc>
          <w:tcPr>
            <w:tcW w:w="1843" w:type="dxa"/>
            <w:gridSpan w:val="2"/>
          </w:tcPr>
          <w:p w14:paraId="582FC450">
            <w:pPr>
              <w:pStyle w:val="8"/>
              <w:jc w:val="center"/>
            </w:pPr>
          </w:p>
        </w:tc>
      </w:tr>
      <w:tr w14:paraId="29AA19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tcPr>
          <w:p w14:paraId="6F7EA895">
            <w:pPr>
              <w:spacing w:before="100" w:line="219" w:lineRule="auto"/>
              <w:ind w:left="1364"/>
              <w:rPr>
                <w:rFonts w:ascii="宋体" w:hAnsi="宋体" w:eastAsia="宋体" w:cs="宋体"/>
                <w:sz w:val="20"/>
                <w:szCs w:val="20"/>
              </w:rPr>
            </w:pPr>
            <w:r>
              <w:rPr>
                <w:rFonts w:ascii="宋体" w:hAnsi="宋体" w:eastAsia="宋体" w:cs="宋体"/>
                <w:spacing w:val="2"/>
                <w:sz w:val="20"/>
                <w:szCs w:val="20"/>
              </w:rPr>
              <w:t>公车运行维护</w:t>
            </w:r>
          </w:p>
        </w:tc>
        <w:tc>
          <w:tcPr>
            <w:tcW w:w="2018" w:type="dxa"/>
            <w:gridSpan w:val="2"/>
          </w:tcPr>
          <w:p w14:paraId="2B7E581C">
            <w:pPr>
              <w:pStyle w:val="8"/>
              <w:jc w:val="center"/>
            </w:pPr>
          </w:p>
        </w:tc>
        <w:tc>
          <w:tcPr>
            <w:tcW w:w="2197" w:type="dxa"/>
            <w:gridSpan w:val="2"/>
          </w:tcPr>
          <w:p w14:paraId="726F78EB">
            <w:pPr>
              <w:pStyle w:val="8"/>
              <w:jc w:val="center"/>
            </w:pPr>
          </w:p>
        </w:tc>
        <w:tc>
          <w:tcPr>
            <w:tcW w:w="1843" w:type="dxa"/>
            <w:gridSpan w:val="2"/>
          </w:tcPr>
          <w:p w14:paraId="7EE718F6">
            <w:pPr>
              <w:pStyle w:val="8"/>
              <w:jc w:val="center"/>
            </w:pPr>
          </w:p>
        </w:tc>
      </w:tr>
      <w:tr w14:paraId="5EF5BD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785496AA">
            <w:pPr>
              <w:spacing w:before="101" w:line="220" w:lineRule="auto"/>
              <w:ind w:left="364"/>
              <w:rPr>
                <w:rFonts w:ascii="宋体" w:hAnsi="宋体" w:eastAsia="宋体" w:cs="宋体"/>
                <w:sz w:val="20"/>
                <w:szCs w:val="20"/>
              </w:rPr>
            </w:pPr>
            <w:r>
              <w:rPr>
                <w:rFonts w:ascii="宋体" w:hAnsi="宋体" w:eastAsia="宋体" w:cs="宋体"/>
                <w:spacing w:val="2"/>
                <w:sz w:val="20"/>
                <w:szCs w:val="20"/>
              </w:rPr>
              <w:t>2、出国经费</w:t>
            </w:r>
          </w:p>
        </w:tc>
        <w:tc>
          <w:tcPr>
            <w:tcW w:w="2018" w:type="dxa"/>
            <w:gridSpan w:val="2"/>
          </w:tcPr>
          <w:p w14:paraId="68490AC3">
            <w:pPr>
              <w:pStyle w:val="8"/>
              <w:jc w:val="center"/>
              <w:rPr>
                <w:rFonts w:eastAsia="宋体"/>
                <w:lang w:eastAsia="zh-CN"/>
              </w:rPr>
            </w:pPr>
          </w:p>
        </w:tc>
        <w:tc>
          <w:tcPr>
            <w:tcW w:w="2197" w:type="dxa"/>
            <w:gridSpan w:val="2"/>
          </w:tcPr>
          <w:p w14:paraId="279D9AF1">
            <w:pPr>
              <w:pStyle w:val="8"/>
              <w:jc w:val="center"/>
              <w:rPr>
                <w:rFonts w:eastAsia="宋体"/>
                <w:lang w:eastAsia="zh-CN"/>
              </w:rPr>
            </w:pPr>
          </w:p>
        </w:tc>
        <w:tc>
          <w:tcPr>
            <w:tcW w:w="1843" w:type="dxa"/>
            <w:gridSpan w:val="2"/>
          </w:tcPr>
          <w:p w14:paraId="45B23F71">
            <w:pPr>
              <w:pStyle w:val="8"/>
              <w:jc w:val="center"/>
              <w:rPr>
                <w:rFonts w:eastAsia="宋体"/>
                <w:lang w:eastAsia="zh-CN"/>
              </w:rPr>
            </w:pPr>
          </w:p>
        </w:tc>
      </w:tr>
      <w:tr w14:paraId="3443A6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3331" w:type="dxa"/>
          </w:tcPr>
          <w:p w14:paraId="45B968D2">
            <w:pPr>
              <w:spacing w:before="101" w:line="219" w:lineRule="auto"/>
              <w:ind w:left="354"/>
              <w:rPr>
                <w:rFonts w:ascii="宋体" w:hAnsi="宋体" w:eastAsia="宋体" w:cs="宋体"/>
                <w:sz w:val="20"/>
                <w:szCs w:val="20"/>
              </w:rPr>
            </w:pPr>
            <w:r>
              <w:rPr>
                <w:rFonts w:ascii="宋体" w:hAnsi="宋体" w:eastAsia="宋体" w:cs="宋体"/>
                <w:spacing w:val="1"/>
                <w:sz w:val="20"/>
                <w:szCs w:val="20"/>
              </w:rPr>
              <w:t>3、公务接待</w:t>
            </w:r>
          </w:p>
        </w:tc>
        <w:tc>
          <w:tcPr>
            <w:tcW w:w="2018" w:type="dxa"/>
            <w:gridSpan w:val="2"/>
          </w:tcPr>
          <w:p w14:paraId="3B6BDEB5">
            <w:pPr>
              <w:pStyle w:val="8"/>
              <w:jc w:val="center"/>
              <w:rPr>
                <w:rFonts w:eastAsia="宋体"/>
                <w:lang w:eastAsia="zh-CN"/>
              </w:rPr>
            </w:pPr>
          </w:p>
        </w:tc>
        <w:tc>
          <w:tcPr>
            <w:tcW w:w="2197" w:type="dxa"/>
            <w:gridSpan w:val="2"/>
          </w:tcPr>
          <w:p w14:paraId="27BF1050">
            <w:pPr>
              <w:pStyle w:val="8"/>
              <w:jc w:val="center"/>
              <w:rPr>
                <w:rFonts w:eastAsia="宋体"/>
                <w:lang w:eastAsia="zh-CN"/>
              </w:rPr>
            </w:pPr>
          </w:p>
        </w:tc>
        <w:tc>
          <w:tcPr>
            <w:tcW w:w="1843" w:type="dxa"/>
            <w:gridSpan w:val="2"/>
          </w:tcPr>
          <w:p w14:paraId="29E47AAA">
            <w:pPr>
              <w:pStyle w:val="8"/>
              <w:jc w:val="center"/>
              <w:rPr>
                <w:rFonts w:eastAsia="宋体"/>
                <w:lang w:eastAsia="zh-CN"/>
              </w:rPr>
            </w:pPr>
          </w:p>
        </w:tc>
      </w:tr>
      <w:tr w14:paraId="104DC1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4B2DC508">
            <w:pPr>
              <w:spacing w:before="102" w:line="220" w:lineRule="auto"/>
              <w:ind w:left="94"/>
              <w:rPr>
                <w:rFonts w:ascii="宋体" w:hAnsi="宋体" w:eastAsia="宋体" w:cs="宋体"/>
                <w:sz w:val="20"/>
                <w:szCs w:val="20"/>
              </w:rPr>
            </w:pPr>
            <w:r>
              <w:rPr>
                <w:rFonts w:ascii="宋体" w:hAnsi="宋体" w:eastAsia="宋体" w:cs="宋体"/>
                <w:spacing w:val="-1"/>
                <w:sz w:val="20"/>
                <w:szCs w:val="20"/>
              </w:rPr>
              <w:t>项目支出：</w:t>
            </w:r>
          </w:p>
        </w:tc>
        <w:tc>
          <w:tcPr>
            <w:tcW w:w="2018" w:type="dxa"/>
            <w:gridSpan w:val="2"/>
          </w:tcPr>
          <w:p w14:paraId="6FCA2B37">
            <w:pPr>
              <w:pStyle w:val="8"/>
              <w:spacing w:before="80"/>
              <w:jc w:val="center"/>
              <w:rPr>
                <w:rFonts w:eastAsia="宋体"/>
                <w:lang w:eastAsia="zh-CN"/>
              </w:rPr>
            </w:pPr>
            <w:r>
              <w:rPr>
                <w:rFonts w:hint="eastAsia" w:eastAsia="宋体"/>
                <w:lang w:eastAsia="zh-CN"/>
              </w:rPr>
              <w:t>410.30</w:t>
            </w:r>
          </w:p>
        </w:tc>
        <w:tc>
          <w:tcPr>
            <w:tcW w:w="2197" w:type="dxa"/>
            <w:gridSpan w:val="2"/>
          </w:tcPr>
          <w:p w14:paraId="1EBF1FFF">
            <w:pPr>
              <w:pStyle w:val="8"/>
              <w:keepNext w:val="0"/>
              <w:keepLines w:val="0"/>
              <w:pageBreakBefore w:val="0"/>
              <w:widowControl/>
              <w:kinsoku w:val="0"/>
              <w:wordWrap/>
              <w:overflowPunct/>
              <w:topLinePunct w:val="0"/>
              <w:autoSpaceDE w:val="0"/>
              <w:autoSpaceDN w:val="0"/>
              <w:bidi w:val="0"/>
              <w:adjustRightInd w:val="0"/>
              <w:snapToGrid w:val="0"/>
              <w:spacing w:before="120"/>
              <w:jc w:val="center"/>
              <w:textAlignment w:val="baseline"/>
              <w:rPr>
                <w:rFonts w:hint="default" w:eastAsiaTheme="minorEastAsia"/>
                <w:lang w:val="en-US" w:eastAsia="zh-CN"/>
              </w:rPr>
            </w:pPr>
            <w:r>
              <w:rPr>
                <w:rFonts w:hint="eastAsia" w:eastAsia="宋体"/>
                <w:lang w:val="en-US" w:eastAsia="zh-CN"/>
              </w:rPr>
              <w:t>14</w:t>
            </w:r>
          </w:p>
        </w:tc>
        <w:tc>
          <w:tcPr>
            <w:tcW w:w="1843" w:type="dxa"/>
            <w:gridSpan w:val="2"/>
          </w:tcPr>
          <w:p w14:paraId="25A3D616">
            <w:pPr>
              <w:pStyle w:val="8"/>
              <w:spacing w:before="80"/>
              <w:jc w:val="center"/>
              <w:rPr>
                <w:rFonts w:eastAsia="宋体"/>
                <w:lang w:eastAsia="zh-CN"/>
              </w:rPr>
            </w:pPr>
            <w:r>
              <w:rPr>
                <w:rFonts w:hint="eastAsia" w:eastAsia="宋体"/>
                <w:lang w:eastAsia="zh-CN"/>
              </w:rPr>
              <w:t>353.00</w:t>
            </w:r>
          </w:p>
        </w:tc>
      </w:tr>
      <w:tr w14:paraId="5A53CC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65B35493">
            <w:pPr>
              <w:spacing w:before="102" w:line="219" w:lineRule="auto"/>
              <w:ind w:left="495"/>
              <w:rPr>
                <w:rFonts w:ascii="宋体" w:hAnsi="宋体" w:eastAsia="宋体" w:cs="宋体"/>
                <w:sz w:val="20"/>
                <w:szCs w:val="20"/>
              </w:rPr>
            </w:pPr>
            <w:r>
              <w:rPr>
                <w:rFonts w:ascii="宋体" w:hAnsi="宋体" w:eastAsia="宋体" w:cs="宋体"/>
                <w:spacing w:val="1"/>
                <w:sz w:val="20"/>
                <w:szCs w:val="20"/>
              </w:rPr>
              <w:t>1、业务工作经费</w:t>
            </w:r>
          </w:p>
        </w:tc>
        <w:tc>
          <w:tcPr>
            <w:tcW w:w="2018" w:type="dxa"/>
            <w:gridSpan w:val="2"/>
          </w:tcPr>
          <w:p w14:paraId="5E332551">
            <w:pPr>
              <w:pStyle w:val="8"/>
              <w:jc w:val="center"/>
            </w:pPr>
          </w:p>
        </w:tc>
        <w:tc>
          <w:tcPr>
            <w:tcW w:w="2197" w:type="dxa"/>
            <w:gridSpan w:val="2"/>
          </w:tcPr>
          <w:p w14:paraId="31F848B9">
            <w:pPr>
              <w:pStyle w:val="8"/>
              <w:keepNext w:val="0"/>
              <w:keepLines w:val="0"/>
              <w:pageBreakBefore w:val="0"/>
              <w:widowControl/>
              <w:kinsoku w:val="0"/>
              <w:wordWrap/>
              <w:overflowPunct/>
              <w:topLinePunct w:val="0"/>
              <w:autoSpaceDE w:val="0"/>
              <w:autoSpaceDN w:val="0"/>
              <w:bidi w:val="0"/>
              <w:adjustRightInd w:val="0"/>
              <w:snapToGrid w:val="0"/>
              <w:spacing w:before="120"/>
              <w:jc w:val="center"/>
              <w:textAlignment w:val="baseline"/>
            </w:pPr>
          </w:p>
        </w:tc>
        <w:tc>
          <w:tcPr>
            <w:tcW w:w="1843" w:type="dxa"/>
            <w:gridSpan w:val="2"/>
          </w:tcPr>
          <w:p w14:paraId="7625127A">
            <w:pPr>
              <w:pStyle w:val="8"/>
              <w:jc w:val="center"/>
            </w:pPr>
          </w:p>
        </w:tc>
      </w:tr>
      <w:tr w14:paraId="3207FD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tcPr>
          <w:p w14:paraId="0A9ECF81">
            <w:pPr>
              <w:spacing w:before="102" w:line="220" w:lineRule="auto"/>
              <w:ind w:left="454"/>
              <w:rPr>
                <w:rFonts w:ascii="宋体" w:hAnsi="宋体" w:eastAsia="宋体" w:cs="宋体"/>
                <w:sz w:val="20"/>
                <w:szCs w:val="20"/>
              </w:rPr>
            </w:pPr>
            <w:r>
              <w:rPr>
                <w:rFonts w:ascii="宋体" w:hAnsi="宋体" w:eastAsia="宋体" w:cs="宋体"/>
                <w:spacing w:val="1"/>
                <w:sz w:val="20"/>
                <w:szCs w:val="20"/>
              </w:rPr>
              <w:t>2、运行维护经费</w:t>
            </w:r>
          </w:p>
        </w:tc>
        <w:tc>
          <w:tcPr>
            <w:tcW w:w="2018" w:type="dxa"/>
            <w:gridSpan w:val="2"/>
          </w:tcPr>
          <w:p w14:paraId="7CA99986">
            <w:pPr>
              <w:pStyle w:val="8"/>
              <w:jc w:val="center"/>
            </w:pPr>
          </w:p>
        </w:tc>
        <w:tc>
          <w:tcPr>
            <w:tcW w:w="2197" w:type="dxa"/>
            <w:gridSpan w:val="2"/>
          </w:tcPr>
          <w:p w14:paraId="6F3CF871">
            <w:pPr>
              <w:pStyle w:val="8"/>
              <w:keepNext w:val="0"/>
              <w:keepLines w:val="0"/>
              <w:pageBreakBefore w:val="0"/>
              <w:widowControl/>
              <w:kinsoku w:val="0"/>
              <w:wordWrap/>
              <w:overflowPunct/>
              <w:topLinePunct w:val="0"/>
              <w:autoSpaceDE w:val="0"/>
              <w:autoSpaceDN w:val="0"/>
              <w:bidi w:val="0"/>
              <w:adjustRightInd w:val="0"/>
              <w:snapToGrid w:val="0"/>
              <w:spacing w:before="120"/>
              <w:jc w:val="center"/>
              <w:textAlignment w:val="baseline"/>
              <w:rPr>
                <w:rFonts w:hint="default" w:eastAsia="宋体"/>
                <w:lang w:val="en-US" w:eastAsia="zh-CN"/>
              </w:rPr>
            </w:pPr>
            <w:r>
              <w:rPr>
                <w:rFonts w:hint="eastAsia" w:eastAsia="宋体"/>
                <w:lang w:val="en-US" w:eastAsia="zh-CN"/>
              </w:rPr>
              <w:t>14</w:t>
            </w:r>
          </w:p>
        </w:tc>
        <w:tc>
          <w:tcPr>
            <w:tcW w:w="1843" w:type="dxa"/>
            <w:gridSpan w:val="2"/>
          </w:tcPr>
          <w:p w14:paraId="63EA8D57">
            <w:pPr>
              <w:pStyle w:val="8"/>
              <w:jc w:val="center"/>
            </w:pPr>
          </w:p>
        </w:tc>
      </w:tr>
      <w:tr w14:paraId="60E6E4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4" w:hRule="atLeast"/>
        </w:trPr>
        <w:tc>
          <w:tcPr>
            <w:tcW w:w="3331" w:type="dxa"/>
            <w:vMerge w:val="restart"/>
            <w:tcBorders>
              <w:bottom w:val="nil"/>
            </w:tcBorders>
          </w:tcPr>
          <w:p w14:paraId="4C75744C">
            <w:pPr>
              <w:spacing w:before="73" w:line="219" w:lineRule="auto"/>
              <w:ind w:left="474"/>
              <w:rPr>
                <w:rFonts w:ascii="宋体" w:hAnsi="宋体" w:eastAsia="宋体" w:cs="宋体"/>
                <w:sz w:val="20"/>
                <w:szCs w:val="20"/>
                <w:lang w:eastAsia="zh-CN"/>
              </w:rPr>
            </w:pPr>
            <w:r>
              <w:rPr>
                <w:rFonts w:ascii="宋体" w:hAnsi="宋体" w:eastAsia="宋体" w:cs="宋体"/>
                <w:spacing w:val="1"/>
                <w:sz w:val="20"/>
                <w:szCs w:val="20"/>
                <w:lang w:eastAsia="zh-CN"/>
              </w:rPr>
              <w:t>3、市级专项资金</w:t>
            </w:r>
          </w:p>
          <w:p w14:paraId="1B475BAB">
            <w:pPr>
              <w:spacing w:before="62" w:line="219" w:lineRule="auto"/>
              <w:ind w:left="774"/>
              <w:rPr>
                <w:rFonts w:ascii="宋体" w:hAnsi="宋体" w:eastAsia="宋体" w:cs="宋体"/>
                <w:sz w:val="20"/>
                <w:szCs w:val="20"/>
                <w:lang w:eastAsia="zh-CN"/>
              </w:rPr>
            </w:pPr>
            <w:r>
              <w:rPr>
                <w:rFonts w:ascii="宋体" w:hAnsi="宋体" w:eastAsia="宋体" w:cs="宋体"/>
                <w:spacing w:val="5"/>
                <w:sz w:val="20"/>
                <w:szCs w:val="20"/>
                <w:lang w:eastAsia="zh-CN"/>
              </w:rPr>
              <w:t>(一个专项一行)</w:t>
            </w:r>
          </w:p>
        </w:tc>
        <w:tc>
          <w:tcPr>
            <w:tcW w:w="2018" w:type="dxa"/>
            <w:gridSpan w:val="2"/>
          </w:tcPr>
          <w:p w14:paraId="2431140A">
            <w:pPr>
              <w:pStyle w:val="8"/>
              <w:jc w:val="center"/>
              <w:rPr>
                <w:lang w:eastAsia="zh-CN"/>
              </w:rPr>
            </w:pPr>
          </w:p>
        </w:tc>
        <w:tc>
          <w:tcPr>
            <w:tcW w:w="2197" w:type="dxa"/>
            <w:gridSpan w:val="2"/>
          </w:tcPr>
          <w:p w14:paraId="16105DF0">
            <w:pPr>
              <w:pStyle w:val="8"/>
              <w:jc w:val="center"/>
              <w:rPr>
                <w:lang w:eastAsia="zh-CN"/>
              </w:rPr>
            </w:pPr>
          </w:p>
        </w:tc>
        <w:tc>
          <w:tcPr>
            <w:tcW w:w="1843" w:type="dxa"/>
            <w:gridSpan w:val="2"/>
            <w:vMerge w:val="restart"/>
            <w:tcBorders>
              <w:bottom w:val="nil"/>
            </w:tcBorders>
          </w:tcPr>
          <w:p w14:paraId="03A18723">
            <w:pPr>
              <w:pStyle w:val="8"/>
              <w:jc w:val="center"/>
              <w:rPr>
                <w:lang w:eastAsia="zh-CN"/>
              </w:rPr>
            </w:pPr>
          </w:p>
        </w:tc>
      </w:tr>
      <w:tr w14:paraId="245897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3331" w:type="dxa"/>
            <w:vMerge w:val="continue"/>
            <w:tcBorders>
              <w:top w:val="nil"/>
            </w:tcBorders>
          </w:tcPr>
          <w:p w14:paraId="427F3B72">
            <w:pPr>
              <w:pStyle w:val="8"/>
              <w:rPr>
                <w:lang w:eastAsia="zh-CN"/>
              </w:rPr>
            </w:pPr>
          </w:p>
        </w:tc>
        <w:tc>
          <w:tcPr>
            <w:tcW w:w="2018" w:type="dxa"/>
            <w:gridSpan w:val="2"/>
          </w:tcPr>
          <w:p w14:paraId="37BCF87E">
            <w:pPr>
              <w:pStyle w:val="8"/>
              <w:spacing w:line="230" w:lineRule="exact"/>
              <w:jc w:val="center"/>
              <w:rPr>
                <w:sz w:val="20"/>
                <w:lang w:eastAsia="zh-CN"/>
              </w:rPr>
            </w:pPr>
          </w:p>
        </w:tc>
        <w:tc>
          <w:tcPr>
            <w:tcW w:w="2197" w:type="dxa"/>
            <w:gridSpan w:val="2"/>
          </w:tcPr>
          <w:p w14:paraId="6A75AF54">
            <w:pPr>
              <w:pStyle w:val="8"/>
              <w:spacing w:line="230" w:lineRule="exact"/>
              <w:jc w:val="center"/>
              <w:rPr>
                <w:sz w:val="20"/>
                <w:lang w:eastAsia="zh-CN"/>
              </w:rPr>
            </w:pPr>
          </w:p>
        </w:tc>
        <w:tc>
          <w:tcPr>
            <w:tcW w:w="1843" w:type="dxa"/>
            <w:gridSpan w:val="2"/>
            <w:vMerge w:val="continue"/>
            <w:tcBorders>
              <w:top w:val="nil"/>
            </w:tcBorders>
          </w:tcPr>
          <w:p w14:paraId="5D452190">
            <w:pPr>
              <w:pStyle w:val="8"/>
              <w:jc w:val="center"/>
              <w:rPr>
                <w:lang w:eastAsia="zh-CN"/>
              </w:rPr>
            </w:pPr>
          </w:p>
        </w:tc>
      </w:tr>
      <w:tr w14:paraId="56149C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atLeast"/>
        </w:trPr>
        <w:tc>
          <w:tcPr>
            <w:tcW w:w="3331" w:type="dxa"/>
          </w:tcPr>
          <w:p w14:paraId="15D9A3B7">
            <w:pPr>
              <w:spacing w:before="103" w:line="219" w:lineRule="auto"/>
              <w:ind w:left="495"/>
              <w:rPr>
                <w:rFonts w:ascii="宋体" w:hAnsi="宋体" w:eastAsia="宋体" w:cs="宋体"/>
                <w:sz w:val="20"/>
                <w:szCs w:val="20"/>
                <w:lang w:eastAsia="zh-CN"/>
              </w:rPr>
            </w:pPr>
            <w:r>
              <w:rPr>
                <w:rFonts w:ascii="宋体" w:hAnsi="宋体" w:eastAsia="宋体" w:cs="宋体"/>
                <w:spacing w:val="-1"/>
                <w:sz w:val="20"/>
                <w:szCs w:val="20"/>
                <w:lang w:eastAsia="zh-CN"/>
              </w:rPr>
              <w:t>4、其他事业类发展资金</w:t>
            </w:r>
          </w:p>
        </w:tc>
        <w:tc>
          <w:tcPr>
            <w:tcW w:w="2018" w:type="dxa"/>
            <w:gridSpan w:val="2"/>
          </w:tcPr>
          <w:p w14:paraId="725659B8">
            <w:pPr>
              <w:pStyle w:val="8"/>
              <w:spacing w:before="80"/>
              <w:jc w:val="center"/>
              <w:rPr>
                <w:lang w:eastAsia="zh-CN"/>
              </w:rPr>
            </w:pPr>
            <w:r>
              <w:rPr>
                <w:rFonts w:hint="eastAsia"/>
                <w:lang w:eastAsia="zh-CN"/>
              </w:rPr>
              <w:t>410.30</w:t>
            </w:r>
          </w:p>
        </w:tc>
        <w:tc>
          <w:tcPr>
            <w:tcW w:w="2197" w:type="dxa"/>
            <w:gridSpan w:val="2"/>
          </w:tcPr>
          <w:p w14:paraId="3CB38197">
            <w:pPr>
              <w:pStyle w:val="8"/>
              <w:spacing w:before="80"/>
              <w:jc w:val="center"/>
              <w:rPr>
                <w:lang w:eastAsia="zh-CN"/>
              </w:rPr>
            </w:pPr>
          </w:p>
        </w:tc>
        <w:tc>
          <w:tcPr>
            <w:tcW w:w="1843" w:type="dxa"/>
            <w:gridSpan w:val="2"/>
          </w:tcPr>
          <w:p w14:paraId="4B3C2F1A">
            <w:pPr>
              <w:pStyle w:val="8"/>
              <w:spacing w:before="80"/>
              <w:jc w:val="center"/>
              <w:rPr>
                <w:lang w:eastAsia="zh-CN"/>
              </w:rPr>
            </w:pPr>
            <w:r>
              <w:rPr>
                <w:rFonts w:hint="eastAsia"/>
                <w:lang w:eastAsia="zh-CN"/>
              </w:rPr>
              <w:t>353.00</w:t>
            </w:r>
          </w:p>
        </w:tc>
      </w:tr>
      <w:tr w14:paraId="634370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3331" w:type="dxa"/>
          </w:tcPr>
          <w:p w14:paraId="735D9A59">
            <w:pPr>
              <w:spacing w:before="84" w:line="199" w:lineRule="auto"/>
              <w:ind w:left="1484"/>
              <w:rPr>
                <w:rFonts w:ascii="宋体" w:hAnsi="宋体" w:eastAsia="宋体" w:cs="宋体"/>
                <w:sz w:val="20"/>
                <w:szCs w:val="20"/>
              </w:rPr>
            </w:pPr>
            <w:r>
              <w:rPr>
                <w:rFonts w:ascii="宋体" w:hAnsi="宋体" w:eastAsia="宋体" w:cs="宋体"/>
                <w:sz w:val="20"/>
                <w:szCs w:val="20"/>
              </w:rPr>
              <w:t>·</w:t>
            </w:r>
          </w:p>
        </w:tc>
        <w:tc>
          <w:tcPr>
            <w:tcW w:w="2018" w:type="dxa"/>
            <w:gridSpan w:val="2"/>
          </w:tcPr>
          <w:p w14:paraId="2D86CF92">
            <w:pPr>
              <w:pStyle w:val="8"/>
              <w:jc w:val="center"/>
            </w:pPr>
          </w:p>
        </w:tc>
        <w:tc>
          <w:tcPr>
            <w:tcW w:w="2197" w:type="dxa"/>
            <w:gridSpan w:val="2"/>
          </w:tcPr>
          <w:p w14:paraId="7F5DB352">
            <w:pPr>
              <w:pStyle w:val="8"/>
              <w:jc w:val="center"/>
            </w:pPr>
          </w:p>
        </w:tc>
        <w:tc>
          <w:tcPr>
            <w:tcW w:w="1843" w:type="dxa"/>
            <w:gridSpan w:val="2"/>
          </w:tcPr>
          <w:p w14:paraId="18B6B071">
            <w:pPr>
              <w:pStyle w:val="8"/>
              <w:jc w:val="center"/>
            </w:pPr>
          </w:p>
        </w:tc>
      </w:tr>
      <w:tr w14:paraId="55EDA4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5882EDAE">
            <w:pPr>
              <w:spacing w:before="104" w:line="220" w:lineRule="auto"/>
              <w:ind w:left="74"/>
              <w:rPr>
                <w:rFonts w:ascii="宋体" w:hAnsi="宋体" w:eastAsia="宋体" w:cs="宋体"/>
                <w:sz w:val="20"/>
                <w:szCs w:val="20"/>
              </w:rPr>
            </w:pPr>
            <w:r>
              <w:rPr>
                <w:rFonts w:ascii="宋体" w:hAnsi="宋体" w:eastAsia="宋体" w:cs="宋体"/>
                <w:spacing w:val="3"/>
                <w:sz w:val="20"/>
                <w:szCs w:val="20"/>
              </w:rPr>
              <w:t>公用经费</w:t>
            </w:r>
          </w:p>
        </w:tc>
        <w:tc>
          <w:tcPr>
            <w:tcW w:w="2018" w:type="dxa"/>
            <w:gridSpan w:val="2"/>
          </w:tcPr>
          <w:p w14:paraId="62415090">
            <w:pPr>
              <w:pStyle w:val="8"/>
              <w:spacing w:before="80"/>
              <w:jc w:val="center"/>
              <w:rPr>
                <w:rFonts w:eastAsia="宋体"/>
                <w:lang w:eastAsia="zh-CN"/>
              </w:rPr>
            </w:pPr>
            <w:r>
              <w:rPr>
                <w:rFonts w:hint="eastAsia" w:eastAsia="宋体"/>
                <w:lang w:eastAsia="zh-CN"/>
              </w:rPr>
              <w:t>311.76</w:t>
            </w:r>
          </w:p>
        </w:tc>
        <w:tc>
          <w:tcPr>
            <w:tcW w:w="2197" w:type="dxa"/>
            <w:gridSpan w:val="2"/>
          </w:tcPr>
          <w:p w14:paraId="72D24593">
            <w:pPr>
              <w:pStyle w:val="8"/>
              <w:spacing w:before="80"/>
              <w:jc w:val="center"/>
              <w:rPr>
                <w:rFonts w:eastAsia="宋体"/>
                <w:lang w:eastAsia="zh-CN"/>
              </w:rPr>
            </w:pPr>
            <w:r>
              <w:rPr>
                <w:rFonts w:hint="eastAsia" w:eastAsia="宋体"/>
                <w:lang w:eastAsia="zh-CN"/>
              </w:rPr>
              <w:t>38.40</w:t>
            </w:r>
          </w:p>
        </w:tc>
        <w:tc>
          <w:tcPr>
            <w:tcW w:w="1843" w:type="dxa"/>
            <w:gridSpan w:val="2"/>
          </w:tcPr>
          <w:p w14:paraId="0D85776A">
            <w:pPr>
              <w:pStyle w:val="8"/>
              <w:spacing w:before="80"/>
              <w:jc w:val="center"/>
              <w:rPr>
                <w:rFonts w:eastAsia="宋体"/>
                <w:lang w:eastAsia="zh-CN"/>
              </w:rPr>
            </w:pPr>
            <w:r>
              <w:rPr>
                <w:rFonts w:hint="eastAsia" w:eastAsia="宋体"/>
                <w:lang w:eastAsia="zh-CN"/>
              </w:rPr>
              <w:t>470.17</w:t>
            </w:r>
          </w:p>
        </w:tc>
      </w:tr>
      <w:tr w14:paraId="655FBB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3331" w:type="dxa"/>
          </w:tcPr>
          <w:p w14:paraId="66B0A17C">
            <w:pPr>
              <w:spacing w:before="104" w:line="219" w:lineRule="auto"/>
              <w:ind w:left="495"/>
              <w:rPr>
                <w:rFonts w:ascii="宋体" w:hAnsi="宋体" w:eastAsia="宋体" w:cs="宋体"/>
                <w:sz w:val="20"/>
                <w:szCs w:val="20"/>
              </w:rPr>
            </w:pPr>
            <w:r>
              <w:rPr>
                <w:rFonts w:ascii="宋体" w:hAnsi="宋体" w:eastAsia="宋体" w:cs="宋体"/>
                <w:spacing w:val="2"/>
                <w:sz w:val="20"/>
                <w:szCs w:val="20"/>
              </w:rPr>
              <w:t>其中：办公费</w:t>
            </w:r>
          </w:p>
        </w:tc>
        <w:tc>
          <w:tcPr>
            <w:tcW w:w="2018" w:type="dxa"/>
            <w:gridSpan w:val="2"/>
          </w:tcPr>
          <w:p w14:paraId="1515ABE5">
            <w:pPr>
              <w:pStyle w:val="8"/>
              <w:spacing w:before="80"/>
              <w:jc w:val="center"/>
              <w:rPr>
                <w:rFonts w:eastAsia="宋体"/>
                <w:lang w:eastAsia="zh-CN"/>
              </w:rPr>
            </w:pPr>
            <w:r>
              <w:rPr>
                <w:rFonts w:hint="eastAsia" w:eastAsia="宋体"/>
                <w:lang w:eastAsia="zh-CN"/>
              </w:rPr>
              <w:t>40.84</w:t>
            </w:r>
          </w:p>
        </w:tc>
        <w:tc>
          <w:tcPr>
            <w:tcW w:w="2197" w:type="dxa"/>
            <w:gridSpan w:val="2"/>
          </w:tcPr>
          <w:p w14:paraId="306503C0">
            <w:pPr>
              <w:pStyle w:val="8"/>
              <w:spacing w:before="80"/>
              <w:jc w:val="center"/>
            </w:pPr>
          </w:p>
        </w:tc>
        <w:tc>
          <w:tcPr>
            <w:tcW w:w="1843" w:type="dxa"/>
            <w:gridSpan w:val="2"/>
          </w:tcPr>
          <w:p w14:paraId="34528C33">
            <w:pPr>
              <w:pStyle w:val="8"/>
              <w:spacing w:before="80"/>
              <w:jc w:val="center"/>
              <w:rPr>
                <w:rFonts w:eastAsia="宋体"/>
                <w:lang w:eastAsia="zh-CN"/>
              </w:rPr>
            </w:pPr>
            <w:r>
              <w:rPr>
                <w:rFonts w:hint="eastAsia" w:eastAsia="宋体"/>
                <w:lang w:eastAsia="zh-CN"/>
              </w:rPr>
              <w:t>6.46</w:t>
            </w:r>
          </w:p>
        </w:tc>
      </w:tr>
      <w:tr w14:paraId="358167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7E43A513">
            <w:pPr>
              <w:spacing w:before="105" w:line="219" w:lineRule="auto"/>
              <w:ind w:left="1064"/>
              <w:rPr>
                <w:rFonts w:ascii="宋体" w:hAnsi="宋体" w:eastAsia="宋体" w:cs="宋体"/>
                <w:sz w:val="20"/>
                <w:szCs w:val="20"/>
              </w:rPr>
            </w:pPr>
            <w:r>
              <w:rPr>
                <w:rFonts w:ascii="宋体" w:hAnsi="宋体" w:eastAsia="宋体" w:cs="宋体"/>
                <w:spacing w:val="1"/>
                <w:sz w:val="20"/>
                <w:szCs w:val="20"/>
              </w:rPr>
              <w:t>水费、电费、差旅费</w:t>
            </w:r>
          </w:p>
        </w:tc>
        <w:tc>
          <w:tcPr>
            <w:tcW w:w="2018" w:type="dxa"/>
            <w:gridSpan w:val="2"/>
          </w:tcPr>
          <w:p w14:paraId="1EC77B05">
            <w:pPr>
              <w:pStyle w:val="8"/>
              <w:spacing w:before="80"/>
              <w:jc w:val="center"/>
              <w:rPr>
                <w:rFonts w:eastAsia="宋体"/>
                <w:lang w:eastAsia="zh-CN"/>
              </w:rPr>
            </w:pPr>
            <w:r>
              <w:rPr>
                <w:rFonts w:hint="eastAsia" w:eastAsia="宋体"/>
                <w:lang w:eastAsia="zh-CN"/>
              </w:rPr>
              <w:t>9.53</w:t>
            </w:r>
          </w:p>
        </w:tc>
        <w:tc>
          <w:tcPr>
            <w:tcW w:w="2197" w:type="dxa"/>
            <w:gridSpan w:val="2"/>
          </w:tcPr>
          <w:p w14:paraId="6BC4CD33">
            <w:pPr>
              <w:pStyle w:val="8"/>
              <w:spacing w:before="80"/>
              <w:jc w:val="center"/>
            </w:pPr>
          </w:p>
        </w:tc>
        <w:tc>
          <w:tcPr>
            <w:tcW w:w="1843" w:type="dxa"/>
            <w:gridSpan w:val="2"/>
          </w:tcPr>
          <w:p w14:paraId="2E997483">
            <w:pPr>
              <w:pStyle w:val="8"/>
              <w:spacing w:before="80"/>
              <w:jc w:val="center"/>
              <w:rPr>
                <w:rFonts w:eastAsia="宋体"/>
                <w:lang w:eastAsia="zh-CN"/>
              </w:rPr>
            </w:pPr>
            <w:r>
              <w:rPr>
                <w:rFonts w:hint="eastAsia" w:eastAsia="宋体"/>
                <w:lang w:eastAsia="zh-CN"/>
              </w:rPr>
              <w:t>7.96</w:t>
            </w:r>
          </w:p>
        </w:tc>
      </w:tr>
      <w:tr w14:paraId="3F6BFF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3331" w:type="dxa"/>
          </w:tcPr>
          <w:p w14:paraId="3AFA6938">
            <w:pPr>
              <w:spacing w:before="73" w:line="219" w:lineRule="auto"/>
              <w:ind w:left="1074"/>
              <w:rPr>
                <w:rFonts w:ascii="宋体" w:hAnsi="宋体" w:eastAsia="宋体" w:cs="宋体"/>
                <w:sz w:val="20"/>
                <w:szCs w:val="20"/>
              </w:rPr>
            </w:pPr>
            <w:r>
              <w:rPr>
                <w:rFonts w:ascii="宋体" w:hAnsi="宋体" w:eastAsia="宋体" w:cs="宋体"/>
                <w:spacing w:val="-1"/>
                <w:sz w:val="20"/>
                <w:szCs w:val="20"/>
              </w:rPr>
              <w:t>会议费、培训费</w:t>
            </w:r>
          </w:p>
        </w:tc>
        <w:tc>
          <w:tcPr>
            <w:tcW w:w="2018" w:type="dxa"/>
            <w:gridSpan w:val="2"/>
          </w:tcPr>
          <w:p w14:paraId="3C437405">
            <w:pPr>
              <w:pStyle w:val="8"/>
              <w:spacing w:before="80"/>
              <w:jc w:val="center"/>
              <w:rPr>
                <w:rFonts w:eastAsia="宋体"/>
                <w:lang w:eastAsia="zh-CN"/>
              </w:rPr>
            </w:pPr>
            <w:r>
              <w:rPr>
                <w:rFonts w:hint="eastAsia" w:eastAsia="宋体"/>
                <w:lang w:eastAsia="zh-CN"/>
              </w:rPr>
              <w:t>0.87</w:t>
            </w:r>
          </w:p>
        </w:tc>
        <w:tc>
          <w:tcPr>
            <w:tcW w:w="2197" w:type="dxa"/>
            <w:gridSpan w:val="2"/>
          </w:tcPr>
          <w:p w14:paraId="443E1B89">
            <w:pPr>
              <w:pStyle w:val="8"/>
              <w:spacing w:before="80"/>
              <w:jc w:val="center"/>
            </w:pPr>
          </w:p>
        </w:tc>
        <w:tc>
          <w:tcPr>
            <w:tcW w:w="1843" w:type="dxa"/>
            <w:gridSpan w:val="2"/>
          </w:tcPr>
          <w:p w14:paraId="701F59F0">
            <w:pPr>
              <w:pStyle w:val="8"/>
              <w:spacing w:before="80"/>
              <w:jc w:val="center"/>
              <w:rPr>
                <w:rFonts w:eastAsia="宋体"/>
                <w:lang w:eastAsia="zh-CN"/>
              </w:rPr>
            </w:pPr>
            <w:r>
              <w:rPr>
                <w:rFonts w:hint="eastAsia" w:eastAsia="宋体"/>
                <w:lang w:eastAsia="zh-CN"/>
              </w:rPr>
              <w:t>0</w:t>
            </w:r>
          </w:p>
        </w:tc>
      </w:tr>
      <w:tr w14:paraId="2D92DF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1A7F5335">
            <w:pPr>
              <w:spacing w:before="105" w:line="219" w:lineRule="auto"/>
              <w:ind w:left="94"/>
              <w:rPr>
                <w:rFonts w:ascii="宋体" w:hAnsi="宋体" w:eastAsia="宋体" w:cs="宋体"/>
                <w:sz w:val="20"/>
                <w:szCs w:val="20"/>
              </w:rPr>
            </w:pPr>
            <w:r>
              <w:rPr>
                <w:rFonts w:ascii="宋体" w:hAnsi="宋体" w:eastAsia="宋体" w:cs="宋体"/>
                <w:spacing w:val="-1"/>
                <w:sz w:val="20"/>
                <w:szCs w:val="20"/>
              </w:rPr>
              <w:t>政府采购金额</w:t>
            </w:r>
          </w:p>
        </w:tc>
        <w:tc>
          <w:tcPr>
            <w:tcW w:w="2018" w:type="dxa"/>
            <w:gridSpan w:val="2"/>
          </w:tcPr>
          <w:p w14:paraId="4F3CBFBE">
            <w:pPr>
              <w:pStyle w:val="8"/>
              <w:spacing w:before="80"/>
              <w:jc w:val="center"/>
            </w:pPr>
          </w:p>
        </w:tc>
        <w:tc>
          <w:tcPr>
            <w:tcW w:w="2197" w:type="dxa"/>
            <w:gridSpan w:val="2"/>
          </w:tcPr>
          <w:p w14:paraId="1DF49E24">
            <w:pPr>
              <w:pStyle w:val="8"/>
              <w:spacing w:before="80"/>
              <w:jc w:val="center"/>
            </w:pPr>
          </w:p>
        </w:tc>
        <w:tc>
          <w:tcPr>
            <w:tcW w:w="1843" w:type="dxa"/>
            <w:gridSpan w:val="2"/>
          </w:tcPr>
          <w:p w14:paraId="6D0DAA52">
            <w:pPr>
              <w:pStyle w:val="8"/>
              <w:spacing w:before="80"/>
              <w:jc w:val="center"/>
            </w:pPr>
          </w:p>
        </w:tc>
      </w:tr>
      <w:tr w14:paraId="0CE945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trPr>
        <w:tc>
          <w:tcPr>
            <w:tcW w:w="3331" w:type="dxa"/>
          </w:tcPr>
          <w:p w14:paraId="7558D5E9">
            <w:pPr>
              <w:spacing w:before="105" w:line="219" w:lineRule="auto"/>
              <w:ind w:left="94"/>
              <w:rPr>
                <w:rFonts w:ascii="宋体" w:hAnsi="宋体" w:eastAsia="宋体" w:cs="宋体"/>
                <w:sz w:val="20"/>
                <w:szCs w:val="20"/>
                <w:lang w:eastAsia="zh-CN"/>
              </w:rPr>
            </w:pPr>
            <w:r>
              <w:rPr>
                <w:rFonts w:ascii="宋体" w:hAnsi="宋体" w:eastAsia="宋体" w:cs="宋体"/>
                <w:spacing w:val="1"/>
                <w:sz w:val="20"/>
                <w:szCs w:val="20"/>
                <w:lang w:eastAsia="zh-CN"/>
              </w:rPr>
              <w:t>部门基本支出预算调整</w:t>
            </w:r>
          </w:p>
        </w:tc>
        <w:tc>
          <w:tcPr>
            <w:tcW w:w="2018" w:type="dxa"/>
            <w:gridSpan w:val="2"/>
          </w:tcPr>
          <w:p w14:paraId="1932F725">
            <w:pPr>
              <w:pStyle w:val="8"/>
              <w:spacing w:before="80"/>
              <w:jc w:val="center"/>
              <w:rPr>
                <w:lang w:eastAsia="zh-CN"/>
              </w:rPr>
            </w:pPr>
          </w:p>
        </w:tc>
        <w:tc>
          <w:tcPr>
            <w:tcW w:w="2197" w:type="dxa"/>
            <w:gridSpan w:val="2"/>
          </w:tcPr>
          <w:p w14:paraId="0161ECC4">
            <w:pPr>
              <w:pStyle w:val="8"/>
              <w:spacing w:before="80"/>
              <w:jc w:val="center"/>
              <w:rPr>
                <w:lang w:eastAsia="zh-CN"/>
              </w:rPr>
            </w:pPr>
          </w:p>
        </w:tc>
        <w:tc>
          <w:tcPr>
            <w:tcW w:w="1843" w:type="dxa"/>
            <w:gridSpan w:val="2"/>
          </w:tcPr>
          <w:p w14:paraId="275260F8">
            <w:pPr>
              <w:pStyle w:val="8"/>
              <w:spacing w:before="80"/>
              <w:jc w:val="center"/>
              <w:rPr>
                <w:lang w:eastAsia="zh-CN"/>
              </w:rPr>
            </w:pPr>
          </w:p>
        </w:tc>
      </w:tr>
      <w:tr w14:paraId="649976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9" w:hRule="atLeast"/>
        </w:trPr>
        <w:tc>
          <w:tcPr>
            <w:tcW w:w="3331" w:type="dxa"/>
            <w:vMerge w:val="restart"/>
            <w:tcBorders>
              <w:bottom w:val="nil"/>
            </w:tcBorders>
          </w:tcPr>
          <w:p w14:paraId="77038B77">
            <w:pPr>
              <w:pStyle w:val="8"/>
              <w:spacing w:line="269" w:lineRule="auto"/>
              <w:rPr>
                <w:lang w:eastAsia="zh-CN"/>
              </w:rPr>
            </w:pPr>
          </w:p>
          <w:p w14:paraId="223A5603">
            <w:pPr>
              <w:spacing w:before="65" w:line="219" w:lineRule="auto"/>
              <w:ind w:left="855"/>
              <w:rPr>
                <w:rFonts w:ascii="宋体" w:hAnsi="宋体" w:eastAsia="宋体" w:cs="宋体"/>
                <w:sz w:val="20"/>
                <w:szCs w:val="20"/>
              </w:rPr>
            </w:pPr>
            <w:r>
              <w:rPr>
                <w:rFonts w:ascii="宋体" w:hAnsi="宋体" w:eastAsia="宋体" w:cs="宋体"/>
                <w:spacing w:val="-1"/>
                <w:sz w:val="20"/>
                <w:szCs w:val="20"/>
              </w:rPr>
              <w:t>楼堂馆所控制情况</w:t>
            </w:r>
          </w:p>
        </w:tc>
        <w:tc>
          <w:tcPr>
            <w:tcW w:w="1169" w:type="dxa"/>
          </w:tcPr>
          <w:p w14:paraId="40ACFF98">
            <w:pPr>
              <w:spacing w:before="195" w:line="233" w:lineRule="auto"/>
              <w:ind w:left="323" w:right="191" w:hanging="149"/>
              <w:rPr>
                <w:rFonts w:ascii="宋体" w:hAnsi="宋体" w:eastAsia="宋体" w:cs="宋体"/>
                <w:sz w:val="20"/>
                <w:szCs w:val="20"/>
              </w:rPr>
            </w:pPr>
            <w:r>
              <w:rPr>
                <w:rFonts w:ascii="宋体" w:hAnsi="宋体" w:eastAsia="宋体" w:cs="宋体"/>
                <w:spacing w:val="-2"/>
                <w:sz w:val="20"/>
                <w:szCs w:val="20"/>
              </w:rPr>
              <w:t>批复规模</w:t>
            </w:r>
            <w:r>
              <w:rPr>
                <w:rFonts w:ascii="宋体" w:hAnsi="宋体" w:eastAsia="宋体" w:cs="宋体"/>
                <w:spacing w:val="-9"/>
                <w:sz w:val="20"/>
                <w:szCs w:val="20"/>
              </w:rPr>
              <w:t>(m²)</w:t>
            </w:r>
          </w:p>
        </w:tc>
        <w:tc>
          <w:tcPr>
            <w:tcW w:w="849" w:type="dxa"/>
          </w:tcPr>
          <w:p w14:paraId="7A2036AD">
            <w:pPr>
              <w:spacing w:before="196" w:line="225" w:lineRule="auto"/>
              <w:ind w:left="64" w:right="30" w:firstLine="49"/>
              <w:rPr>
                <w:rFonts w:ascii="宋体" w:hAnsi="宋体" w:eastAsia="宋体" w:cs="宋体"/>
                <w:sz w:val="20"/>
                <w:szCs w:val="20"/>
              </w:rPr>
            </w:pPr>
            <w:r>
              <w:rPr>
                <w:rFonts w:ascii="宋体" w:hAnsi="宋体" w:eastAsia="宋体" w:cs="宋体"/>
                <w:spacing w:val="2"/>
                <w:sz w:val="20"/>
                <w:szCs w:val="20"/>
              </w:rPr>
              <w:t>实际规</w:t>
            </w:r>
            <w:r>
              <w:rPr>
                <w:rFonts w:ascii="宋体" w:hAnsi="宋体" w:eastAsia="宋体" w:cs="宋体"/>
                <w:spacing w:val="28"/>
                <w:sz w:val="20"/>
                <w:szCs w:val="20"/>
              </w:rPr>
              <w:t>模(m²)</w:t>
            </w:r>
          </w:p>
        </w:tc>
        <w:tc>
          <w:tcPr>
            <w:tcW w:w="1109" w:type="dxa"/>
          </w:tcPr>
          <w:p w14:paraId="28A1867A">
            <w:pPr>
              <w:spacing w:before="195" w:line="236" w:lineRule="auto"/>
              <w:ind w:left="444" w:right="135" w:hanging="299"/>
              <w:rPr>
                <w:rFonts w:ascii="宋体" w:hAnsi="宋体" w:eastAsia="宋体" w:cs="宋体"/>
                <w:sz w:val="20"/>
                <w:szCs w:val="20"/>
              </w:rPr>
            </w:pPr>
            <w:r>
              <w:rPr>
                <w:rFonts w:ascii="宋体" w:hAnsi="宋体" w:eastAsia="宋体" w:cs="宋体"/>
                <w:spacing w:val="4"/>
                <w:sz w:val="20"/>
                <w:szCs w:val="20"/>
              </w:rPr>
              <w:t>规模控制</w:t>
            </w:r>
            <w:r>
              <w:rPr>
                <w:rFonts w:ascii="宋体" w:hAnsi="宋体" w:eastAsia="宋体" w:cs="宋体"/>
                <w:sz w:val="20"/>
                <w:szCs w:val="20"/>
              </w:rPr>
              <w:t>率</w:t>
            </w:r>
          </w:p>
        </w:tc>
        <w:tc>
          <w:tcPr>
            <w:tcW w:w="1088" w:type="dxa"/>
          </w:tcPr>
          <w:p w14:paraId="4B40055C">
            <w:pPr>
              <w:spacing w:before="196" w:line="219" w:lineRule="auto"/>
              <w:ind w:left="136"/>
              <w:rPr>
                <w:rFonts w:ascii="宋体" w:hAnsi="宋体" w:eastAsia="宋体" w:cs="宋体"/>
                <w:sz w:val="20"/>
                <w:szCs w:val="20"/>
              </w:rPr>
            </w:pPr>
            <w:r>
              <w:rPr>
                <w:rFonts w:ascii="宋体" w:hAnsi="宋体" w:eastAsia="宋体" w:cs="宋体"/>
                <w:spacing w:val="3"/>
                <w:sz w:val="20"/>
                <w:szCs w:val="20"/>
              </w:rPr>
              <w:t>预算投资</w:t>
            </w:r>
          </w:p>
          <w:p w14:paraId="78C74DD7">
            <w:pPr>
              <w:spacing w:before="23" w:line="220" w:lineRule="auto"/>
              <w:ind w:left="236"/>
              <w:rPr>
                <w:rFonts w:ascii="宋体" w:hAnsi="宋体" w:eastAsia="宋体" w:cs="宋体"/>
                <w:sz w:val="20"/>
                <w:szCs w:val="20"/>
              </w:rPr>
            </w:pPr>
            <w:r>
              <w:rPr>
                <w:rFonts w:ascii="宋体" w:hAnsi="宋体" w:eastAsia="宋体" w:cs="宋体"/>
                <w:spacing w:val="10"/>
                <w:sz w:val="20"/>
                <w:szCs w:val="20"/>
              </w:rPr>
              <w:t>(万元)</w:t>
            </w:r>
          </w:p>
        </w:tc>
        <w:tc>
          <w:tcPr>
            <w:tcW w:w="969" w:type="dxa"/>
          </w:tcPr>
          <w:p w14:paraId="706B1E40">
            <w:pPr>
              <w:spacing w:before="77" w:line="212" w:lineRule="auto"/>
              <w:ind w:left="179"/>
              <w:rPr>
                <w:rFonts w:ascii="宋体" w:hAnsi="宋体" w:eastAsia="宋体" w:cs="宋体"/>
                <w:sz w:val="20"/>
                <w:szCs w:val="20"/>
              </w:rPr>
            </w:pPr>
            <w:r>
              <w:rPr>
                <w:rFonts w:ascii="宋体" w:hAnsi="宋体" w:eastAsia="宋体" w:cs="宋体"/>
                <w:spacing w:val="2"/>
                <w:sz w:val="20"/>
                <w:szCs w:val="20"/>
              </w:rPr>
              <w:t>实际投</w:t>
            </w:r>
          </w:p>
          <w:p w14:paraId="4C945747">
            <w:pPr>
              <w:spacing w:line="220" w:lineRule="auto"/>
              <w:ind w:left="179"/>
              <w:rPr>
                <w:rFonts w:ascii="宋体" w:hAnsi="宋体" w:eastAsia="宋体" w:cs="宋体"/>
                <w:sz w:val="20"/>
                <w:szCs w:val="20"/>
              </w:rPr>
            </w:pPr>
            <w:r>
              <w:rPr>
                <w:rFonts w:ascii="宋体" w:hAnsi="宋体" w:eastAsia="宋体" w:cs="宋体"/>
                <w:spacing w:val="-20"/>
                <w:sz w:val="20"/>
                <w:szCs w:val="20"/>
              </w:rPr>
              <w:t>资(万</w:t>
            </w:r>
          </w:p>
          <w:p w14:paraId="5F62A98B">
            <w:pPr>
              <w:spacing w:before="31" w:line="220" w:lineRule="auto"/>
              <w:ind w:left="328"/>
              <w:rPr>
                <w:rFonts w:ascii="宋体" w:hAnsi="宋体" w:eastAsia="宋体" w:cs="宋体"/>
                <w:sz w:val="20"/>
                <w:szCs w:val="20"/>
              </w:rPr>
            </w:pPr>
            <w:r>
              <w:rPr>
                <w:rFonts w:ascii="宋体" w:hAnsi="宋体" w:eastAsia="宋体" w:cs="宋体"/>
                <w:spacing w:val="-5"/>
                <w:sz w:val="20"/>
                <w:szCs w:val="20"/>
              </w:rPr>
              <w:t>元)</w:t>
            </w:r>
          </w:p>
        </w:tc>
        <w:tc>
          <w:tcPr>
            <w:tcW w:w="874" w:type="dxa"/>
          </w:tcPr>
          <w:p w14:paraId="03A62DE7">
            <w:pPr>
              <w:spacing w:before="86" w:line="212" w:lineRule="auto"/>
              <w:ind w:left="129"/>
              <w:rPr>
                <w:rFonts w:ascii="宋体" w:hAnsi="宋体" w:eastAsia="宋体" w:cs="宋体"/>
                <w:sz w:val="20"/>
                <w:szCs w:val="20"/>
              </w:rPr>
            </w:pPr>
            <w:r>
              <w:rPr>
                <w:rFonts w:ascii="宋体" w:hAnsi="宋体" w:eastAsia="宋体" w:cs="宋体"/>
                <w:spacing w:val="-3"/>
                <w:sz w:val="20"/>
                <w:szCs w:val="20"/>
              </w:rPr>
              <w:t>投资概</w:t>
            </w:r>
          </w:p>
          <w:p w14:paraId="48AB1C0D">
            <w:pPr>
              <w:spacing w:line="219" w:lineRule="auto"/>
              <w:ind w:left="129"/>
              <w:rPr>
                <w:rFonts w:ascii="宋体" w:hAnsi="宋体" w:eastAsia="宋体" w:cs="宋体"/>
                <w:sz w:val="20"/>
                <w:szCs w:val="20"/>
              </w:rPr>
            </w:pPr>
            <w:r>
              <w:rPr>
                <w:rFonts w:ascii="宋体" w:hAnsi="宋体" w:eastAsia="宋体" w:cs="宋体"/>
                <w:spacing w:val="5"/>
                <w:sz w:val="20"/>
                <w:szCs w:val="20"/>
              </w:rPr>
              <w:t>算控制</w:t>
            </w:r>
          </w:p>
          <w:p w14:paraId="70CA9408">
            <w:pPr>
              <w:spacing w:before="32" w:line="219" w:lineRule="auto"/>
              <w:ind w:left="330"/>
              <w:rPr>
                <w:rFonts w:ascii="宋体" w:hAnsi="宋体" w:eastAsia="宋体" w:cs="宋体"/>
                <w:sz w:val="20"/>
                <w:szCs w:val="20"/>
              </w:rPr>
            </w:pPr>
            <w:r>
              <w:rPr>
                <w:rFonts w:ascii="宋体" w:hAnsi="宋体" w:eastAsia="宋体" w:cs="宋体"/>
                <w:sz w:val="20"/>
                <w:szCs w:val="20"/>
              </w:rPr>
              <w:t>率</w:t>
            </w:r>
          </w:p>
        </w:tc>
      </w:tr>
      <w:tr w14:paraId="034C1C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0" w:hRule="atLeast"/>
        </w:trPr>
        <w:tc>
          <w:tcPr>
            <w:tcW w:w="3331" w:type="dxa"/>
            <w:vMerge w:val="continue"/>
            <w:tcBorders>
              <w:top w:val="nil"/>
            </w:tcBorders>
          </w:tcPr>
          <w:p w14:paraId="703E3BFD">
            <w:pPr>
              <w:pStyle w:val="8"/>
            </w:pPr>
          </w:p>
        </w:tc>
        <w:tc>
          <w:tcPr>
            <w:tcW w:w="1169" w:type="dxa"/>
          </w:tcPr>
          <w:p w14:paraId="5FD1130B">
            <w:pPr>
              <w:pStyle w:val="8"/>
            </w:pPr>
          </w:p>
        </w:tc>
        <w:tc>
          <w:tcPr>
            <w:tcW w:w="849" w:type="dxa"/>
          </w:tcPr>
          <w:p w14:paraId="0202DD4B">
            <w:pPr>
              <w:pStyle w:val="8"/>
            </w:pPr>
          </w:p>
        </w:tc>
        <w:tc>
          <w:tcPr>
            <w:tcW w:w="1109" w:type="dxa"/>
          </w:tcPr>
          <w:p w14:paraId="2E366059">
            <w:pPr>
              <w:pStyle w:val="8"/>
            </w:pPr>
          </w:p>
        </w:tc>
        <w:tc>
          <w:tcPr>
            <w:tcW w:w="1088" w:type="dxa"/>
          </w:tcPr>
          <w:p w14:paraId="6170C771">
            <w:pPr>
              <w:pStyle w:val="8"/>
            </w:pPr>
          </w:p>
        </w:tc>
        <w:tc>
          <w:tcPr>
            <w:tcW w:w="969" w:type="dxa"/>
          </w:tcPr>
          <w:p w14:paraId="5519CCE3">
            <w:pPr>
              <w:pStyle w:val="8"/>
            </w:pPr>
          </w:p>
        </w:tc>
        <w:tc>
          <w:tcPr>
            <w:tcW w:w="874" w:type="dxa"/>
          </w:tcPr>
          <w:p w14:paraId="533410CD">
            <w:pPr>
              <w:pStyle w:val="8"/>
            </w:pPr>
          </w:p>
        </w:tc>
      </w:tr>
      <w:tr w14:paraId="3E5646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atLeast"/>
        </w:trPr>
        <w:tc>
          <w:tcPr>
            <w:tcW w:w="3331" w:type="dxa"/>
          </w:tcPr>
          <w:p w14:paraId="73E2CA46">
            <w:pPr>
              <w:spacing w:before="137" w:line="219" w:lineRule="auto"/>
              <w:ind w:left="865"/>
              <w:rPr>
                <w:rFonts w:ascii="宋体" w:hAnsi="宋体" w:eastAsia="宋体" w:cs="宋体"/>
                <w:sz w:val="20"/>
                <w:szCs w:val="20"/>
              </w:rPr>
            </w:pPr>
            <w:r>
              <w:rPr>
                <w:rFonts w:ascii="宋体" w:hAnsi="宋体" w:eastAsia="宋体" w:cs="宋体"/>
                <w:spacing w:val="1"/>
                <w:sz w:val="20"/>
                <w:szCs w:val="20"/>
              </w:rPr>
              <w:t>厉行节约保障措施</w:t>
            </w:r>
          </w:p>
        </w:tc>
        <w:tc>
          <w:tcPr>
            <w:tcW w:w="6058" w:type="dxa"/>
            <w:gridSpan w:val="6"/>
          </w:tcPr>
          <w:p w14:paraId="3F994036">
            <w:pPr>
              <w:pStyle w:val="8"/>
              <w:keepNext w:val="0"/>
              <w:keepLines w:val="0"/>
              <w:pageBreakBefore w:val="0"/>
              <w:widowControl/>
              <w:kinsoku w:val="0"/>
              <w:wordWrap/>
              <w:overflowPunct/>
              <w:topLinePunct w:val="0"/>
              <w:autoSpaceDE w:val="0"/>
              <w:autoSpaceDN w:val="0"/>
              <w:bidi w:val="0"/>
              <w:adjustRightInd w:val="0"/>
              <w:snapToGrid w:val="0"/>
              <w:spacing w:before="120"/>
              <w:textAlignment w:val="baseline"/>
              <w:rPr>
                <w:rFonts w:eastAsia="宋体"/>
                <w:lang w:eastAsia="zh-CN"/>
              </w:rPr>
            </w:pPr>
            <w:r>
              <w:rPr>
                <w:rFonts w:hint="eastAsia" w:eastAsia="宋体"/>
                <w:lang w:eastAsia="zh-CN"/>
              </w:rPr>
              <w:t>压缩一切不必要开支，节约水电，办公提倡双面打印</w:t>
            </w:r>
          </w:p>
        </w:tc>
      </w:tr>
    </w:tbl>
    <w:p w14:paraId="6A860751">
      <w:pPr>
        <w:pStyle w:val="2"/>
        <w:spacing w:before="12" w:line="285" w:lineRule="auto"/>
        <w:ind w:right="285" w:firstLine="420" w:firstLineChars="200"/>
        <w:rPr>
          <w:rFonts w:ascii="宋体" w:hAnsi="宋体" w:eastAsia="宋体" w:cs="宋体"/>
          <w:sz w:val="21"/>
          <w:szCs w:val="21"/>
          <w:lang w:eastAsia="zh-CN"/>
        </w:rPr>
      </w:pPr>
      <w:r>
        <w:rPr>
          <w:rFonts w:ascii="宋体" w:hAnsi="宋体" w:eastAsia="宋体" w:cs="宋体"/>
          <w:sz w:val="21"/>
          <w:szCs w:val="21"/>
          <w:lang w:eastAsia="zh-CN"/>
        </w:rPr>
        <w:t>说明：“项目支出”需要填报基本支出以外的所有项目支出情况，“公用经费”填报基本支出中的一般商品和服务支出。</w:t>
      </w:r>
    </w:p>
    <w:p w14:paraId="435F08F5">
      <w:pPr>
        <w:pStyle w:val="2"/>
        <w:spacing w:before="12" w:line="285" w:lineRule="auto"/>
        <w:ind w:right="285" w:firstLine="420" w:firstLineChars="200"/>
        <w:rPr>
          <w:rFonts w:hint="default" w:ascii="Arial"/>
          <w:sz w:val="21"/>
          <w:lang w:val="en-US" w:eastAsia="zh-CN"/>
        </w:rPr>
      </w:pPr>
      <w:r>
        <w:rPr>
          <w:rFonts w:ascii="宋体" w:hAnsi="宋体" w:eastAsia="宋体" w:cs="宋体"/>
          <w:sz w:val="21"/>
          <w:szCs w:val="21"/>
          <w:lang w:eastAsia="zh-CN"/>
        </w:rPr>
        <w:t>填表人：</w:t>
      </w:r>
      <w:r>
        <w:rPr>
          <w:rFonts w:hint="eastAsia" w:ascii="宋体" w:hAnsi="宋体" w:eastAsia="宋体" w:cs="宋体"/>
          <w:sz w:val="21"/>
          <w:szCs w:val="21"/>
          <w:lang w:eastAsia="zh-CN"/>
        </w:rPr>
        <w:t>丁乙</w:t>
      </w:r>
      <w:r>
        <w:rPr>
          <w:rFonts w:hint="eastAsia" w:ascii="宋体" w:hAnsi="宋体" w:eastAsia="宋体" w:cs="宋体"/>
          <w:sz w:val="21"/>
          <w:szCs w:val="21"/>
          <w:lang w:val="en-US" w:eastAsia="zh-CN"/>
        </w:rPr>
        <w:t xml:space="preserve">  </w:t>
      </w:r>
      <w:r>
        <w:rPr>
          <w:rFonts w:ascii="宋体" w:hAnsi="宋体" w:eastAsia="宋体" w:cs="宋体"/>
          <w:sz w:val="21"/>
          <w:szCs w:val="21"/>
          <w:lang w:eastAsia="zh-CN"/>
        </w:rPr>
        <w:t>填报日期：</w:t>
      </w:r>
      <w:r>
        <w:rPr>
          <w:rFonts w:hint="eastAsia" w:ascii="宋体" w:hAnsi="宋体" w:eastAsia="宋体" w:cs="宋体"/>
          <w:sz w:val="21"/>
          <w:szCs w:val="21"/>
          <w:lang w:val="en-US" w:eastAsia="zh-CN"/>
        </w:rPr>
        <w:t xml:space="preserve">2024年10月15日  </w:t>
      </w:r>
      <w:r>
        <w:rPr>
          <w:rFonts w:ascii="宋体" w:hAnsi="宋体" w:eastAsia="宋体" w:cs="宋体"/>
          <w:sz w:val="21"/>
          <w:szCs w:val="21"/>
          <w:lang w:eastAsia="zh-CN"/>
        </w:rPr>
        <w:t>联系电话：</w:t>
      </w:r>
      <w:r>
        <w:rPr>
          <w:rFonts w:hint="eastAsia" w:ascii="宋体" w:hAnsi="宋体" w:eastAsia="宋体" w:cs="宋体"/>
          <w:sz w:val="21"/>
          <w:szCs w:val="21"/>
          <w:lang w:val="en-US" w:eastAsia="zh-CN"/>
        </w:rPr>
        <w:t>15259181837</w:t>
      </w:r>
    </w:p>
    <w:p w14:paraId="00BE1106">
      <w:pPr>
        <w:spacing w:line="242" w:lineRule="auto"/>
        <w:rPr>
          <w:lang w:eastAsia="zh-CN"/>
        </w:rPr>
      </w:pPr>
    </w:p>
    <w:p w14:paraId="409BB34E">
      <w:pPr>
        <w:spacing w:line="242" w:lineRule="auto"/>
        <w:rPr>
          <w:lang w:eastAsia="zh-CN"/>
        </w:rPr>
      </w:pPr>
    </w:p>
    <w:p w14:paraId="0236DA92">
      <w:pPr>
        <w:spacing w:line="242" w:lineRule="auto"/>
        <w:rPr>
          <w:lang w:eastAsia="zh-CN"/>
        </w:rPr>
      </w:pPr>
    </w:p>
    <w:p w14:paraId="0F48389F">
      <w:pPr>
        <w:spacing w:line="242" w:lineRule="auto"/>
        <w:rPr>
          <w:lang w:eastAsia="zh-CN"/>
        </w:rPr>
      </w:pPr>
    </w:p>
    <w:p w14:paraId="75476904">
      <w:pPr>
        <w:pStyle w:val="2"/>
        <w:spacing w:before="100" w:line="222" w:lineRule="auto"/>
        <w:ind w:left="414"/>
        <w:rPr>
          <w:sz w:val="24"/>
          <w:szCs w:val="24"/>
          <w:lang w:eastAsia="zh-CN"/>
        </w:rPr>
      </w:pPr>
      <w:r>
        <w:rPr>
          <w:spacing w:val="15"/>
          <w:sz w:val="24"/>
          <w:szCs w:val="24"/>
          <w:lang w:eastAsia="zh-CN"/>
        </w:rPr>
        <w:t>附件1-2</w:t>
      </w:r>
    </w:p>
    <w:p w14:paraId="34199841">
      <w:pPr>
        <w:spacing w:before="97" w:line="202" w:lineRule="auto"/>
        <w:ind w:left="3070"/>
        <w:rPr>
          <w:rFonts w:ascii="宋体" w:hAnsi="宋体" w:eastAsia="宋体" w:cs="宋体"/>
          <w:b/>
          <w:bCs/>
          <w:spacing w:val="-4"/>
          <w:sz w:val="36"/>
          <w:szCs w:val="36"/>
          <w:lang w:eastAsia="zh-CN"/>
        </w:rPr>
      </w:pPr>
      <w:r>
        <w:rPr>
          <w:rFonts w:ascii="宋体" w:hAnsi="宋体" w:eastAsia="宋体" w:cs="宋体"/>
          <w:b/>
          <w:bCs/>
          <w:spacing w:val="-4"/>
          <w:sz w:val="36"/>
          <w:szCs w:val="36"/>
          <w:lang w:eastAsia="zh-CN"/>
        </w:rPr>
        <w:t>整体支出绩效自评表</w:t>
      </w:r>
    </w:p>
    <w:tbl>
      <w:tblPr>
        <w:tblStyle w:val="7"/>
        <w:tblW w:w="9312"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44"/>
        <w:gridCol w:w="1169"/>
        <w:gridCol w:w="1109"/>
        <w:gridCol w:w="1039"/>
        <w:gridCol w:w="1288"/>
        <w:gridCol w:w="1129"/>
        <w:gridCol w:w="699"/>
        <w:gridCol w:w="449"/>
        <w:gridCol w:w="1286"/>
      </w:tblGrid>
      <w:tr w14:paraId="381B43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1144" w:type="dxa"/>
          </w:tcPr>
          <w:p w14:paraId="0A526AB4">
            <w:pPr>
              <w:spacing w:before="23" w:line="208" w:lineRule="auto"/>
              <w:ind w:left="364" w:right="178" w:hanging="200"/>
              <w:rPr>
                <w:rFonts w:ascii="宋体" w:hAnsi="宋体" w:eastAsia="宋体" w:cs="宋体"/>
                <w:sz w:val="20"/>
                <w:szCs w:val="20"/>
              </w:rPr>
            </w:pPr>
            <w:r>
              <w:rPr>
                <w:rFonts w:ascii="宋体" w:hAnsi="宋体" w:eastAsia="宋体" w:cs="宋体"/>
                <w:spacing w:val="-3"/>
                <w:sz w:val="20"/>
                <w:szCs w:val="20"/>
              </w:rPr>
              <w:t>预算单位</w:t>
            </w:r>
            <w:r>
              <w:rPr>
                <w:rFonts w:ascii="宋体" w:hAnsi="宋体" w:eastAsia="宋体" w:cs="宋体"/>
                <w:spacing w:val="5"/>
                <w:sz w:val="20"/>
                <w:szCs w:val="20"/>
              </w:rPr>
              <w:t>名称</w:t>
            </w:r>
          </w:p>
        </w:tc>
        <w:tc>
          <w:tcPr>
            <w:tcW w:w="8168" w:type="dxa"/>
            <w:gridSpan w:val="8"/>
          </w:tcPr>
          <w:p w14:paraId="25889883">
            <w:pPr>
              <w:pStyle w:val="8"/>
              <w:spacing w:before="80"/>
              <w:rPr>
                <w:rFonts w:eastAsia="宋体"/>
                <w:lang w:eastAsia="zh-CN"/>
              </w:rPr>
            </w:pPr>
            <w:r>
              <w:rPr>
                <w:rFonts w:hint="eastAsia" w:eastAsia="宋体"/>
                <w:lang w:eastAsia="zh-CN"/>
              </w:rPr>
              <w:t>怀化市鹤城区黄岩旅游度假区管理处</w:t>
            </w:r>
          </w:p>
        </w:tc>
      </w:tr>
      <w:tr w14:paraId="37E126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9" w:hRule="atLeast"/>
        </w:trPr>
        <w:tc>
          <w:tcPr>
            <w:tcW w:w="1144" w:type="dxa"/>
            <w:vMerge w:val="restart"/>
            <w:tcBorders>
              <w:bottom w:val="nil"/>
            </w:tcBorders>
          </w:tcPr>
          <w:p w14:paraId="26EBC868">
            <w:pPr>
              <w:pStyle w:val="8"/>
              <w:spacing w:line="244" w:lineRule="auto"/>
              <w:rPr>
                <w:lang w:eastAsia="zh-CN"/>
              </w:rPr>
            </w:pPr>
          </w:p>
          <w:p w14:paraId="4D799D1F">
            <w:pPr>
              <w:pStyle w:val="8"/>
              <w:spacing w:line="244" w:lineRule="auto"/>
              <w:rPr>
                <w:lang w:eastAsia="zh-CN"/>
              </w:rPr>
            </w:pPr>
          </w:p>
          <w:p w14:paraId="23E9B489">
            <w:pPr>
              <w:pStyle w:val="8"/>
              <w:spacing w:line="245" w:lineRule="auto"/>
              <w:rPr>
                <w:lang w:eastAsia="zh-CN"/>
              </w:rPr>
            </w:pPr>
          </w:p>
          <w:p w14:paraId="4ADDEB67">
            <w:pPr>
              <w:pStyle w:val="8"/>
              <w:spacing w:line="245" w:lineRule="auto"/>
              <w:rPr>
                <w:lang w:eastAsia="zh-CN"/>
              </w:rPr>
            </w:pPr>
          </w:p>
          <w:p w14:paraId="1221A100">
            <w:pPr>
              <w:spacing w:before="65" w:line="221" w:lineRule="auto"/>
              <w:ind w:left="264" w:right="225"/>
              <w:jc w:val="both"/>
              <w:rPr>
                <w:rFonts w:ascii="宋体" w:hAnsi="宋体" w:eastAsia="宋体" w:cs="宋体"/>
                <w:sz w:val="20"/>
                <w:szCs w:val="20"/>
              </w:rPr>
            </w:pPr>
            <w:r>
              <w:rPr>
                <w:rFonts w:ascii="宋体" w:hAnsi="宋体" w:eastAsia="宋体" w:cs="宋体"/>
                <w:spacing w:val="-3"/>
                <w:sz w:val="20"/>
                <w:szCs w:val="20"/>
              </w:rPr>
              <w:t>年度预</w:t>
            </w:r>
            <w:r>
              <w:rPr>
                <w:rFonts w:ascii="宋体" w:hAnsi="宋体" w:eastAsia="宋体" w:cs="宋体"/>
                <w:spacing w:val="-4"/>
                <w:sz w:val="20"/>
                <w:szCs w:val="20"/>
              </w:rPr>
              <w:t>算申请</w:t>
            </w:r>
            <w:r>
              <w:rPr>
                <w:rFonts w:ascii="宋体" w:hAnsi="宋体" w:eastAsia="宋体" w:cs="宋体"/>
                <w:spacing w:val="10"/>
                <w:sz w:val="20"/>
                <w:szCs w:val="20"/>
              </w:rPr>
              <w:t>(万元)</w:t>
            </w:r>
          </w:p>
        </w:tc>
        <w:tc>
          <w:tcPr>
            <w:tcW w:w="2278" w:type="dxa"/>
            <w:gridSpan w:val="2"/>
          </w:tcPr>
          <w:p w14:paraId="3C2D7524">
            <w:pPr>
              <w:pStyle w:val="8"/>
            </w:pPr>
          </w:p>
        </w:tc>
        <w:tc>
          <w:tcPr>
            <w:tcW w:w="1039" w:type="dxa"/>
          </w:tcPr>
          <w:p w14:paraId="3D850982">
            <w:pPr>
              <w:spacing w:before="139" w:line="225" w:lineRule="auto"/>
              <w:ind w:left="212" w:right="225" w:firstLine="99"/>
              <w:rPr>
                <w:rFonts w:ascii="宋体" w:hAnsi="宋体" w:eastAsia="宋体" w:cs="宋体"/>
                <w:sz w:val="20"/>
                <w:szCs w:val="20"/>
              </w:rPr>
            </w:pPr>
            <w:r>
              <w:rPr>
                <w:rFonts w:ascii="宋体" w:hAnsi="宋体" w:eastAsia="宋体" w:cs="宋体"/>
                <w:spacing w:val="-5"/>
                <w:sz w:val="20"/>
                <w:szCs w:val="20"/>
              </w:rPr>
              <w:t>年初</w:t>
            </w:r>
            <w:r>
              <w:rPr>
                <w:rFonts w:ascii="宋体" w:hAnsi="宋体" w:eastAsia="宋体" w:cs="宋体"/>
                <w:spacing w:val="-4"/>
                <w:sz w:val="20"/>
                <w:szCs w:val="20"/>
              </w:rPr>
              <w:t>预算数</w:t>
            </w:r>
          </w:p>
        </w:tc>
        <w:tc>
          <w:tcPr>
            <w:tcW w:w="1288" w:type="dxa"/>
          </w:tcPr>
          <w:p w14:paraId="0C086DE9">
            <w:pPr>
              <w:spacing w:before="269" w:line="219" w:lineRule="auto"/>
              <w:ind w:left="133"/>
              <w:rPr>
                <w:rFonts w:ascii="宋体" w:hAnsi="宋体" w:eastAsia="宋体" w:cs="宋体"/>
                <w:sz w:val="20"/>
                <w:szCs w:val="20"/>
              </w:rPr>
            </w:pPr>
            <w:r>
              <w:rPr>
                <w:rFonts w:ascii="宋体" w:hAnsi="宋体" w:eastAsia="宋体" w:cs="宋体"/>
                <w:spacing w:val="-2"/>
                <w:sz w:val="20"/>
                <w:szCs w:val="20"/>
              </w:rPr>
              <w:t>全年预算数</w:t>
            </w:r>
          </w:p>
        </w:tc>
        <w:tc>
          <w:tcPr>
            <w:tcW w:w="1129" w:type="dxa"/>
          </w:tcPr>
          <w:p w14:paraId="551BAF67">
            <w:pPr>
              <w:spacing w:before="139" w:line="220" w:lineRule="auto"/>
              <w:ind w:left="255" w:right="270" w:firstLine="99"/>
              <w:rPr>
                <w:rFonts w:ascii="宋体" w:hAnsi="宋体" w:eastAsia="宋体" w:cs="宋体"/>
                <w:sz w:val="20"/>
                <w:szCs w:val="20"/>
              </w:rPr>
            </w:pPr>
            <w:r>
              <w:rPr>
                <w:rFonts w:ascii="宋体" w:hAnsi="宋体" w:eastAsia="宋体" w:cs="宋体"/>
                <w:spacing w:val="-4"/>
                <w:sz w:val="20"/>
                <w:szCs w:val="20"/>
              </w:rPr>
              <w:t>全年</w:t>
            </w:r>
            <w:r>
              <w:rPr>
                <w:rFonts w:ascii="宋体" w:hAnsi="宋体" w:eastAsia="宋体" w:cs="宋体"/>
                <w:spacing w:val="-3"/>
                <w:sz w:val="20"/>
                <w:szCs w:val="20"/>
              </w:rPr>
              <w:t>执行数</w:t>
            </w:r>
          </w:p>
        </w:tc>
        <w:tc>
          <w:tcPr>
            <w:tcW w:w="699" w:type="dxa"/>
          </w:tcPr>
          <w:p w14:paraId="116E4116">
            <w:pPr>
              <w:spacing w:before="269" w:line="219" w:lineRule="auto"/>
              <w:ind w:left="146"/>
              <w:rPr>
                <w:rFonts w:ascii="宋体" w:hAnsi="宋体" w:eastAsia="宋体" w:cs="宋体"/>
                <w:sz w:val="20"/>
                <w:szCs w:val="20"/>
              </w:rPr>
            </w:pPr>
            <w:r>
              <w:rPr>
                <w:rFonts w:ascii="宋体" w:hAnsi="宋体" w:eastAsia="宋体" w:cs="宋体"/>
                <w:spacing w:val="-3"/>
                <w:sz w:val="20"/>
                <w:szCs w:val="20"/>
              </w:rPr>
              <w:t>分值</w:t>
            </w:r>
          </w:p>
        </w:tc>
        <w:tc>
          <w:tcPr>
            <w:tcW w:w="449" w:type="dxa"/>
            <w:textDirection w:val="tbRlV"/>
          </w:tcPr>
          <w:p w14:paraId="618CEDAC">
            <w:pPr>
              <w:spacing w:before="139" w:line="200" w:lineRule="auto"/>
              <w:ind w:left="50"/>
              <w:rPr>
                <w:rFonts w:ascii="宋体" w:hAnsi="宋体" w:eastAsia="宋体" w:cs="宋体"/>
                <w:sz w:val="20"/>
                <w:szCs w:val="20"/>
              </w:rPr>
            </w:pPr>
            <w:r>
              <w:rPr>
                <w:rFonts w:ascii="宋体" w:hAnsi="宋体" w:eastAsia="宋体" w:cs="宋体"/>
                <w:sz w:val="20"/>
                <w:szCs w:val="20"/>
              </w:rPr>
              <w:t>执行率</w:t>
            </w:r>
          </w:p>
        </w:tc>
        <w:tc>
          <w:tcPr>
            <w:tcW w:w="1286" w:type="dxa"/>
          </w:tcPr>
          <w:p w14:paraId="6FF58298">
            <w:pPr>
              <w:spacing w:before="269" w:line="219" w:lineRule="auto"/>
              <w:ind w:left="388"/>
              <w:rPr>
                <w:rFonts w:ascii="宋体" w:hAnsi="宋体" w:eastAsia="宋体" w:cs="宋体"/>
                <w:sz w:val="20"/>
                <w:szCs w:val="20"/>
              </w:rPr>
            </w:pPr>
            <w:r>
              <w:rPr>
                <w:rFonts w:ascii="宋体" w:hAnsi="宋体" w:eastAsia="宋体" w:cs="宋体"/>
                <w:spacing w:val="-3"/>
                <w:sz w:val="20"/>
                <w:szCs w:val="20"/>
              </w:rPr>
              <w:t>得分</w:t>
            </w:r>
          </w:p>
        </w:tc>
      </w:tr>
      <w:tr w14:paraId="6AF3C1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1144" w:type="dxa"/>
            <w:vMerge w:val="continue"/>
            <w:tcBorders>
              <w:top w:val="nil"/>
              <w:bottom w:val="nil"/>
            </w:tcBorders>
          </w:tcPr>
          <w:p w14:paraId="783B74E3">
            <w:pPr>
              <w:pStyle w:val="8"/>
            </w:pPr>
          </w:p>
        </w:tc>
        <w:tc>
          <w:tcPr>
            <w:tcW w:w="2278" w:type="dxa"/>
            <w:gridSpan w:val="2"/>
          </w:tcPr>
          <w:p w14:paraId="4CD52E20">
            <w:pPr>
              <w:spacing w:before="70" w:line="219" w:lineRule="auto"/>
              <w:ind w:left="550"/>
              <w:rPr>
                <w:rFonts w:ascii="宋体" w:hAnsi="宋体" w:eastAsia="宋体" w:cs="宋体"/>
                <w:sz w:val="20"/>
                <w:szCs w:val="20"/>
              </w:rPr>
            </w:pPr>
            <w:r>
              <w:rPr>
                <w:rFonts w:ascii="宋体" w:hAnsi="宋体" w:eastAsia="宋体" w:cs="宋体"/>
                <w:spacing w:val="-2"/>
                <w:sz w:val="20"/>
                <w:szCs w:val="20"/>
              </w:rPr>
              <w:t>年度资金总额</w:t>
            </w:r>
          </w:p>
        </w:tc>
        <w:tc>
          <w:tcPr>
            <w:tcW w:w="1039" w:type="dxa"/>
          </w:tcPr>
          <w:p w14:paraId="444ED412">
            <w:pPr>
              <w:pStyle w:val="8"/>
              <w:keepNext w:val="0"/>
              <w:keepLines w:val="0"/>
              <w:pageBreakBefore w:val="0"/>
              <w:widowControl/>
              <w:kinsoku w:val="0"/>
              <w:wordWrap/>
              <w:overflowPunct/>
              <w:topLinePunct w:val="0"/>
              <w:autoSpaceDE w:val="0"/>
              <w:autoSpaceDN w:val="0"/>
              <w:bidi w:val="0"/>
              <w:adjustRightInd w:val="0"/>
              <w:snapToGrid w:val="0"/>
              <w:spacing w:before="120"/>
              <w:jc w:val="center"/>
              <w:textAlignment w:val="baseline"/>
              <w:rPr>
                <w:rFonts w:eastAsia="宋体"/>
                <w:lang w:eastAsia="zh-CN"/>
              </w:rPr>
            </w:pPr>
            <w:r>
              <w:rPr>
                <w:rFonts w:hint="eastAsia" w:eastAsia="宋体"/>
                <w:lang w:eastAsia="zh-CN"/>
              </w:rPr>
              <w:t>497.03</w:t>
            </w:r>
          </w:p>
        </w:tc>
        <w:tc>
          <w:tcPr>
            <w:tcW w:w="1288" w:type="dxa"/>
          </w:tcPr>
          <w:p w14:paraId="0FB21BC5">
            <w:pPr>
              <w:pStyle w:val="8"/>
              <w:keepNext w:val="0"/>
              <w:keepLines w:val="0"/>
              <w:pageBreakBefore w:val="0"/>
              <w:widowControl/>
              <w:kinsoku w:val="0"/>
              <w:wordWrap/>
              <w:overflowPunct/>
              <w:topLinePunct w:val="0"/>
              <w:autoSpaceDE w:val="0"/>
              <w:autoSpaceDN w:val="0"/>
              <w:bidi w:val="0"/>
              <w:adjustRightInd w:val="0"/>
              <w:snapToGrid w:val="0"/>
              <w:spacing w:before="120"/>
              <w:jc w:val="center"/>
              <w:textAlignment w:val="baseline"/>
              <w:rPr>
                <w:rFonts w:eastAsia="宋体"/>
                <w:lang w:eastAsia="zh-CN"/>
              </w:rPr>
            </w:pPr>
            <w:r>
              <w:rPr>
                <w:rFonts w:hint="eastAsia" w:eastAsia="宋体"/>
                <w:lang w:eastAsia="zh-CN"/>
              </w:rPr>
              <w:t>1310.04</w:t>
            </w:r>
          </w:p>
        </w:tc>
        <w:tc>
          <w:tcPr>
            <w:tcW w:w="1129" w:type="dxa"/>
          </w:tcPr>
          <w:p w14:paraId="429EC17C">
            <w:pPr>
              <w:pStyle w:val="8"/>
              <w:keepNext w:val="0"/>
              <w:keepLines w:val="0"/>
              <w:pageBreakBefore w:val="0"/>
              <w:widowControl/>
              <w:kinsoku w:val="0"/>
              <w:wordWrap/>
              <w:overflowPunct/>
              <w:topLinePunct w:val="0"/>
              <w:autoSpaceDE w:val="0"/>
              <w:autoSpaceDN w:val="0"/>
              <w:bidi w:val="0"/>
              <w:adjustRightInd w:val="0"/>
              <w:snapToGrid w:val="0"/>
              <w:spacing w:before="120"/>
              <w:jc w:val="center"/>
              <w:textAlignment w:val="baseline"/>
              <w:rPr>
                <w:rFonts w:eastAsia="宋体"/>
                <w:lang w:eastAsia="zh-CN"/>
              </w:rPr>
            </w:pPr>
            <w:r>
              <w:rPr>
                <w:rFonts w:hint="eastAsia" w:eastAsia="宋体"/>
                <w:lang w:eastAsia="zh-CN"/>
              </w:rPr>
              <w:t>1310.04</w:t>
            </w:r>
          </w:p>
        </w:tc>
        <w:tc>
          <w:tcPr>
            <w:tcW w:w="699" w:type="dxa"/>
          </w:tcPr>
          <w:p w14:paraId="2FB7313A">
            <w:pPr>
              <w:keepNext w:val="0"/>
              <w:keepLines w:val="0"/>
              <w:pageBreakBefore w:val="0"/>
              <w:widowControl/>
              <w:kinsoku w:val="0"/>
              <w:wordWrap/>
              <w:overflowPunct/>
              <w:topLinePunct w:val="0"/>
              <w:autoSpaceDE w:val="0"/>
              <w:autoSpaceDN w:val="0"/>
              <w:bidi w:val="0"/>
              <w:adjustRightInd w:val="0"/>
              <w:snapToGrid w:val="0"/>
              <w:spacing w:before="160" w:line="185" w:lineRule="auto"/>
              <w:ind w:left="249"/>
              <w:jc w:val="both"/>
              <w:textAlignment w:val="baseline"/>
              <w:rPr>
                <w:rFonts w:ascii="宋体" w:hAnsi="宋体" w:eastAsia="宋体" w:cs="宋体"/>
                <w:sz w:val="20"/>
                <w:szCs w:val="20"/>
              </w:rPr>
            </w:pPr>
            <w:r>
              <w:rPr>
                <w:rFonts w:hint="eastAsia" w:ascii="Arial" w:hAnsi="Arial" w:eastAsia="宋体" w:cs="Arial"/>
                <w:snapToGrid w:val="0"/>
                <w:color w:val="000000"/>
                <w:sz w:val="21"/>
                <w:szCs w:val="21"/>
                <w:lang w:val="en-US" w:eastAsia="zh-CN" w:bidi="ar-SA"/>
              </w:rPr>
              <w:t>10</w:t>
            </w:r>
          </w:p>
        </w:tc>
        <w:tc>
          <w:tcPr>
            <w:tcW w:w="449" w:type="dxa"/>
          </w:tcPr>
          <w:p w14:paraId="6A03CCA2">
            <w:pPr>
              <w:pStyle w:val="8"/>
              <w:jc w:val="center"/>
              <w:rPr>
                <w:rFonts w:eastAsia="宋体"/>
                <w:lang w:eastAsia="zh-CN"/>
              </w:rPr>
            </w:pPr>
            <w:r>
              <w:rPr>
                <w:rFonts w:hint="eastAsia" w:eastAsia="宋体"/>
                <w:lang w:eastAsia="zh-CN"/>
              </w:rPr>
              <w:t>100%</w:t>
            </w:r>
          </w:p>
        </w:tc>
        <w:tc>
          <w:tcPr>
            <w:tcW w:w="1286" w:type="dxa"/>
          </w:tcPr>
          <w:p w14:paraId="0464EA4D">
            <w:pPr>
              <w:pStyle w:val="8"/>
              <w:keepNext w:val="0"/>
              <w:keepLines w:val="0"/>
              <w:pageBreakBefore w:val="0"/>
              <w:widowControl/>
              <w:kinsoku w:val="0"/>
              <w:wordWrap/>
              <w:overflowPunct/>
              <w:topLinePunct w:val="0"/>
              <w:autoSpaceDE w:val="0"/>
              <w:autoSpaceDN w:val="0"/>
              <w:bidi w:val="0"/>
              <w:adjustRightInd w:val="0"/>
              <w:snapToGrid w:val="0"/>
              <w:spacing w:before="120"/>
              <w:jc w:val="center"/>
              <w:textAlignment w:val="baseline"/>
              <w:rPr>
                <w:rFonts w:hint="default" w:eastAsia="宋体"/>
                <w:lang w:val="en-US" w:eastAsia="zh-CN"/>
              </w:rPr>
            </w:pPr>
            <w:r>
              <w:rPr>
                <w:rFonts w:hint="eastAsia" w:eastAsia="宋体"/>
                <w:lang w:val="en-US" w:eastAsia="zh-CN"/>
              </w:rPr>
              <w:t>10</w:t>
            </w:r>
          </w:p>
        </w:tc>
      </w:tr>
      <w:tr w14:paraId="5F43AF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144" w:type="dxa"/>
            <w:vMerge w:val="continue"/>
            <w:tcBorders>
              <w:top w:val="nil"/>
              <w:bottom w:val="nil"/>
            </w:tcBorders>
          </w:tcPr>
          <w:p w14:paraId="5157EE99">
            <w:pPr>
              <w:pStyle w:val="8"/>
            </w:pPr>
          </w:p>
        </w:tc>
        <w:tc>
          <w:tcPr>
            <w:tcW w:w="4605" w:type="dxa"/>
            <w:gridSpan w:val="4"/>
          </w:tcPr>
          <w:p w14:paraId="7537EFA0">
            <w:pPr>
              <w:spacing w:before="80" w:line="219" w:lineRule="auto"/>
              <w:ind w:left="331"/>
              <w:rPr>
                <w:rFonts w:ascii="宋体" w:hAnsi="宋体" w:eastAsia="宋体" w:cs="宋体"/>
                <w:sz w:val="20"/>
                <w:szCs w:val="20"/>
              </w:rPr>
            </w:pPr>
            <w:r>
              <w:rPr>
                <w:rFonts w:ascii="宋体" w:hAnsi="宋体" w:eastAsia="宋体" w:cs="宋体"/>
                <w:spacing w:val="-1"/>
                <w:sz w:val="20"/>
                <w:szCs w:val="20"/>
              </w:rPr>
              <w:t>按收入性质分：</w:t>
            </w:r>
          </w:p>
        </w:tc>
        <w:tc>
          <w:tcPr>
            <w:tcW w:w="3563" w:type="dxa"/>
            <w:gridSpan w:val="4"/>
          </w:tcPr>
          <w:p w14:paraId="3E751109">
            <w:pPr>
              <w:spacing w:before="80" w:line="219" w:lineRule="auto"/>
              <w:ind w:left="95"/>
              <w:rPr>
                <w:rFonts w:ascii="宋体" w:hAnsi="宋体" w:eastAsia="宋体" w:cs="宋体"/>
                <w:sz w:val="20"/>
                <w:szCs w:val="20"/>
              </w:rPr>
            </w:pPr>
            <w:r>
              <w:rPr>
                <w:rFonts w:ascii="宋体" w:hAnsi="宋体" w:eastAsia="宋体" w:cs="宋体"/>
                <w:sz w:val="20"/>
                <w:szCs w:val="20"/>
              </w:rPr>
              <w:t>按支出性质分：</w:t>
            </w:r>
          </w:p>
        </w:tc>
      </w:tr>
      <w:tr w14:paraId="2D6089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cPr>
          <w:p w14:paraId="752DD0FF">
            <w:pPr>
              <w:pStyle w:val="8"/>
            </w:pPr>
          </w:p>
        </w:tc>
        <w:tc>
          <w:tcPr>
            <w:tcW w:w="4605" w:type="dxa"/>
            <w:gridSpan w:val="4"/>
          </w:tcPr>
          <w:p w14:paraId="38A338B4">
            <w:pPr>
              <w:spacing w:before="70" w:line="219" w:lineRule="auto"/>
              <w:ind w:left="331"/>
              <w:rPr>
                <w:rFonts w:ascii="宋体" w:hAnsi="宋体" w:eastAsia="宋体" w:cs="宋体"/>
                <w:sz w:val="20"/>
                <w:szCs w:val="20"/>
                <w:lang w:eastAsia="zh-CN"/>
              </w:rPr>
            </w:pPr>
            <w:r>
              <w:rPr>
                <w:rFonts w:ascii="宋体" w:hAnsi="宋体" w:eastAsia="宋体" w:cs="宋体"/>
                <w:spacing w:val="-3"/>
                <w:sz w:val="20"/>
                <w:szCs w:val="20"/>
                <w:lang w:eastAsia="zh-CN"/>
              </w:rPr>
              <w:t>其中：一般公共预算：</w:t>
            </w:r>
            <w:r>
              <w:rPr>
                <w:rFonts w:hint="eastAsia" w:ascii="宋体" w:hAnsi="宋体" w:eastAsia="宋体" w:cs="宋体"/>
                <w:spacing w:val="-3"/>
                <w:sz w:val="20"/>
                <w:szCs w:val="20"/>
                <w:lang w:eastAsia="zh-CN"/>
              </w:rPr>
              <w:t>1310.04</w:t>
            </w:r>
          </w:p>
        </w:tc>
        <w:tc>
          <w:tcPr>
            <w:tcW w:w="3563" w:type="dxa"/>
            <w:gridSpan w:val="4"/>
          </w:tcPr>
          <w:p w14:paraId="288A7894">
            <w:pPr>
              <w:spacing w:before="68" w:line="219" w:lineRule="auto"/>
              <w:ind w:left="95"/>
              <w:rPr>
                <w:rFonts w:ascii="宋体" w:hAnsi="宋体" w:eastAsia="宋体" w:cs="宋体"/>
                <w:sz w:val="20"/>
                <w:szCs w:val="20"/>
                <w:lang w:eastAsia="zh-CN"/>
              </w:rPr>
            </w:pPr>
            <w:r>
              <w:rPr>
                <w:rFonts w:ascii="宋体" w:hAnsi="宋体" w:eastAsia="宋体" w:cs="宋体"/>
                <w:sz w:val="20"/>
                <w:szCs w:val="20"/>
              </w:rPr>
              <w:t>其中：基本支出：</w:t>
            </w:r>
            <w:r>
              <w:rPr>
                <w:rFonts w:hint="eastAsia" w:ascii="宋体" w:hAnsi="宋体" w:eastAsia="宋体" w:cs="宋体"/>
                <w:spacing w:val="-1"/>
                <w:sz w:val="20"/>
                <w:szCs w:val="20"/>
                <w:lang w:eastAsia="zh-CN"/>
              </w:rPr>
              <w:t>957.04</w:t>
            </w:r>
          </w:p>
        </w:tc>
      </w:tr>
      <w:tr w14:paraId="3076BA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cPr>
          <w:p w14:paraId="269CE655">
            <w:pPr>
              <w:pStyle w:val="8"/>
            </w:pPr>
          </w:p>
        </w:tc>
        <w:tc>
          <w:tcPr>
            <w:tcW w:w="4605" w:type="dxa"/>
            <w:gridSpan w:val="4"/>
          </w:tcPr>
          <w:p w14:paraId="700E20F9">
            <w:pPr>
              <w:spacing w:before="69" w:line="219" w:lineRule="auto"/>
              <w:ind w:left="900"/>
              <w:rPr>
                <w:rFonts w:ascii="宋体" w:hAnsi="宋体" w:eastAsia="宋体" w:cs="宋体"/>
                <w:sz w:val="20"/>
                <w:szCs w:val="20"/>
              </w:rPr>
            </w:pPr>
            <w:r>
              <w:rPr>
                <w:rFonts w:ascii="宋体" w:hAnsi="宋体" w:eastAsia="宋体" w:cs="宋体"/>
                <w:sz w:val="20"/>
                <w:szCs w:val="20"/>
              </w:rPr>
              <w:t>政府性基金拨款：</w:t>
            </w:r>
          </w:p>
        </w:tc>
        <w:tc>
          <w:tcPr>
            <w:tcW w:w="3563" w:type="dxa"/>
            <w:gridSpan w:val="4"/>
          </w:tcPr>
          <w:p w14:paraId="292D4895">
            <w:pPr>
              <w:spacing w:before="70" w:line="220" w:lineRule="auto"/>
              <w:ind w:left="715"/>
              <w:rPr>
                <w:rFonts w:ascii="宋体" w:hAnsi="宋体" w:eastAsia="宋体" w:cs="宋体"/>
                <w:sz w:val="20"/>
                <w:szCs w:val="20"/>
                <w:lang w:eastAsia="zh-CN"/>
              </w:rPr>
            </w:pPr>
            <w:r>
              <w:rPr>
                <w:rFonts w:ascii="宋体" w:hAnsi="宋体" w:eastAsia="宋体" w:cs="宋体"/>
                <w:spacing w:val="-1"/>
                <w:sz w:val="20"/>
                <w:szCs w:val="20"/>
              </w:rPr>
              <w:t>项目支出：</w:t>
            </w:r>
            <w:r>
              <w:rPr>
                <w:rFonts w:hint="eastAsia" w:ascii="宋体" w:hAnsi="宋体" w:eastAsia="宋体" w:cs="宋体"/>
                <w:sz w:val="20"/>
                <w:szCs w:val="20"/>
                <w:lang w:eastAsia="zh-CN"/>
              </w:rPr>
              <w:t>353.00</w:t>
            </w:r>
          </w:p>
        </w:tc>
      </w:tr>
      <w:tr w14:paraId="4DEB8E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144" w:type="dxa"/>
            <w:vMerge w:val="continue"/>
            <w:tcBorders>
              <w:top w:val="nil"/>
              <w:bottom w:val="nil"/>
            </w:tcBorders>
          </w:tcPr>
          <w:p w14:paraId="65C755CD">
            <w:pPr>
              <w:pStyle w:val="8"/>
            </w:pPr>
          </w:p>
        </w:tc>
        <w:tc>
          <w:tcPr>
            <w:tcW w:w="4605" w:type="dxa"/>
            <w:gridSpan w:val="4"/>
          </w:tcPr>
          <w:p w14:paraId="6EF24AE8">
            <w:pPr>
              <w:spacing w:before="70" w:line="219" w:lineRule="auto"/>
              <w:ind w:left="331"/>
              <w:rPr>
                <w:rFonts w:ascii="宋体" w:hAnsi="宋体" w:eastAsia="宋体" w:cs="宋体"/>
                <w:sz w:val="20"/>
                <w:szCs w:val="20"/>
                <w:lang w:eastAsia="zh-CN"/>
              </w:rPr>
            </w:pPr>
            <w:r>
              <w:rPr>
                <w:rFonts w:ascii="宋体" w:hAnsi="宋体" w:eastAsia="宋体" w:cs="宋体"/>
                <w:spacing w:val="-1"/>
                <w:sz w:val="20"/>
                <w:szCs w:val="20"/>
                <w:lang w:eastAsia="zh-CN"/>
              </w:rPr>
              <w:t>纳入专户管理的非税收入拨款：</w:t>
            </w:r>
          </w:p>
        </w:tc>
        <w:tc>
          <w:tcPr>
            <w:tcW w:w="3563" w:type="dxa"/>
            <w:gridSpan w:val="4"/>
          </w:tcPr>
          <w:p w14:paraId="0C9123DC">
            <w:pPr>
              <w:pStyle w:val="8"/>
              <w:rPr>
                <w:lang w:eastAsia="zh-CN"/>
              </w:rPr>
            </w:pPr>
          </w:p>
        </w:tc>
      </w:tr>
      <w:tr w14:paraId="7CA15B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144" w:type="dxa"/>
            <w:vMerge w:val="continue"/>
            <w:tcBorders>
              <w:top w:val="nil"/>
            </w:tcBorders>
          </w:tcPr>
          <w:p w14:paraId="7B037EE8">
            <w:pPr>
              <w:pStyle w:val="8"/>
              <w:rPr>
                <w:lang w:eastAsia="zh-CN"/>
              </w:rPr>
            </w:pPr>
          </w:p>
        </w:tc>
        <w:tc>
          <w:tcPr>
            <w:tcW w:w="4605" w:type="dxa"/>
            <w:gridSpan w:val="4"/>
          </w:tcPr>
          <w:p w14:paraId="59693D5D">
            <w:pPr>
              <w:spacing w:before="41" w:line="202" w:lineRule="auto"/>
              <w:ind w:left="1521"/>
              <w:rPr>
                <w:rFonts w:ascii="宋体" w:hAnsi="宋体" w:eastAsia="宋体" w:cs="宋体"/>
                <w:sz w:val="20"/>
                <w:szCs w:val="20"/>
              </w:rPr>
            </w:pPr>
            <w:r>
              <w:rPr>
                <w:rFonts w:ascii="宋体" w:hAnsi="宋体" w:eastAsia="宋体" w:cs="宋体"/>
                <w:spacing w:val="-1"/>
                <w:sz w:val="20"/>
                <w:szCs w:val="20"/>
              </w:rPr>
              <w:t>其他资金：</w:t>
            </w:r>
          </w:p>
        </w:tc>
        <w:tc>
          <w:tcPr>
            <w:tcW w:w="3563" w:type="dxa"/>
            <w:gridSpan w:val="4"/>
          </w:tcPr>
          <w:p w14:paraId="73F642AD">
            <w:pPr>
              <w:pStyle w:val="8"/>
            </w:pPr>
          </w:p>
        </w:tc>
      </w:tr>
      <w:tr w14:paraId="1B91E7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144" w:type="dxa"/>
            <w:vMerge w:val="restart"/>
            <w:tcBorders>
              <w:bottom w:val="nil"/>
            </w:tcBorders>
          </w:tcPr>
          <w:p w14:paraId="1393D69C">
            <w:pPr>
              <w:spacing w:before="89" w:line="226" w:lineRule="auto"/>
              <w:ind w:left="364" w:right="177" w:hanging="200"/>
              <w:rPr>
                <w:rFonts w:ascii="宋体" w:hAnsi="宋体" w:eastAsia="宋体" w:cs="宋体"/>
                <w:sz w:val="20"/>
                <w:szCs w:val="20"/>
              </w:rPr>
            </w:pPr>
            <w:r>
              <w:rPr>
                <w:rFonts w:ascii="宋体" w:hAnsi="宋体" w:eastAsia="宋体" w:cs="宋体"/>
                <w:spacing w:val="-3"/>
                <w:sz w:val="20"/>
                <w:szCs w:val="20"/>
              </w:rPr>
              <w:t>年度总体</w:t>
            </w:r>
            <w:r>
              <w:rPr>
                <w:rFonts w:ascii="宋体" w:hAnsi="宋体" w:eastAsia="宋体" w:cs="宋体"/>
                <w:spacing w:val="8"/>
                <w:sz w:val="20"/>
                <w:szCs w:val="20"/>
              </w:rPr>
              <w:t>目标</w:t>
            </w:r>
          </w:p>
        </w:tc>
        <w:tc>
          <w:tcPr>
            <w:tcW w:w="4605" w:type="dxa"/>
            <w:gridSpan w:val="4"/>
          </w:tcPr>
          <w:p w14:paraId="269365A8">
            <w:pPr>
              <w:spacing w:before="70" w:line="220" w:lineRule="auto"/>
              <w:ind w:left="1920"/>
              <w:rPr>
                <w:rFonts w:ascii="宋体" w:hAnsi="宋体" w:eastAsia="宋体" w:cs="宋体"/>
                <w:sz w:val="20"/>
                <w:szCs w:val="20"/>
              </w:rPr>
            </w:pPr>
            <w:r>
              <w:rPr>
                <w:rFonts w:ascii="宋体" w:hAnsi="宋体" w:eastAsia="宋体" w:cs="宋体"/>
                <w:spacing w:val="-2"/>
                <w:sz w:val="20"/>
                <w:szCs w:val="20"/>
              </w:rPr>
              <w:t>预期目标</w:t>
            </w:r>
          </w:p>
        </w:tc>
        <w:tc>
          <w:tcPr>
            <w:tcW w:w="3563" w:type="dxa"/>
            <w:gridSpan w:val="4"/>
          </w:tcPr>
          <w:p w14:paraId="53D3031D">
            <w:pPr>
              <w:spacing w:before="70" w:line="219" w:lineRule="auto"/>
              <w:ind w:left="1165"/>
              <w:rPr>
                <w:rFonts w:ascii="宋体" w:hAnsi="宋体" w:eastAsia="宋体" w:cs="宋体"/>
                <w:sz w:val="20"/>
                <w:szCs w:val="20"/>
              </w:rPr>
            </w:pPr>
            <w:r>
              <w:rPr>
                <w:rFonts w:ascii="宋体" w:hAnsi="宋体" w:eastAsia="宋体" w:cs="宋体"/>
                <w:spacing w:val="1"/>
                <w:sz w:val="20"/>
                <w:szCs w:val="20"/>
              </w:rPr>
              <w:t>实际完成情况</w:t>
            </w:r>
          </w:p>
        </w:tc>
      </w:tr>
      <w:tr w14:paraId="676838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 w:hRule="atLeast"/>
        </w:trPr>
        <w:tc>
          <w:tcPr>
            <w:tcW w:w="1144" w:type="dxa"/>
            <w:vMerge w:val="continue"/>
            <w:tcBorders>
              <w:top w:val="nil"/>
            </w:tcBorders>
          </w:tcPr>
          <w:p w14:paraId="09007C17">
            <w:pPr>
              <w:pStyle w:val="8"/>
            </w:pPr>
          </w:p>
        </w:tc>
        <w:tc>
          <w:tcPr>
            <w:tcW w:w="4605" w:type="dxa"/>
            <w:gridSpan w:val="4"/>
          </w:tcPr>
          <w:p w14:paraId="7A0DFFF7">
            <w:pPr>
              <w:pStyle w:val="8"/>
              <w:spacing w:line="230" w:lineRule="exact"/>
              <w:rPr>
                <w:rFonts w:hint="eastAsia" w:eastAsia="宋体"/>
                <w:sz w:val="20"/>
                <w:lang w:eastAsia="zh-CN"/>
              </w:rPr>
            </w:pPr>
            <w:r>
              <w:rPr>
                <w:rFonts w:hint="eastAsia" w:eastAsia="宋体"/>
                <w:sz w:val="20"/>
                <w:lang w:eastAsia="zh-CN"/>
              </w:rPr>
              <w:t>黄岩管理处有效履职</w:t>
            </w:r>
          </w:p>
        </w:tc>
        <w:tc>
          <w:tcPr>
            <w:tcW w:w="3563" w:type="dxa"/>
            <w:gridSpan w:val="4"/>
          </w:tcPr>
          <w:p w14:paraId="0555F18B">
            <w:pPr>
              <w:pStyle w:val="8"/>
              <w:spacing w:line="230" w:lineRule="exact"/>
              <w:rPr>
                <w:rFonts w:hint="eastAsia" w:eastAsia="宋体"/>
                <w:sz w:val="20"/>
                <w:lang w:eastAsia="zh-CN"/>
              </w:rPr>
            </w:pPr>
            <w:r>
              <w:rPr>
                <w:rFonts w:hint="eastAsia" w:eastAsia="宋体"/>
                <w:sz w:val="20"/>
                <w:lang w:eastAsia="zh-CN"/>
              </w:rPr>
              <w:t>有效履职，服务群众水平得到提高</w:t>
            </w:r>
          </w:p>
        </w:tc>
      </w:tr>
      <w:tr w14:paraId="3B9772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9" w:hRule="atLeast"/>
        </w:trPr>
        <w:tc>
          <w:tcPr>
            <w:tcW w:w="1144" w:type="dxa"/>
            <w:vMerge w:val="restart"/>
            <w:tcBorders>
              <w:bottom w:val="nil"/>
            </w:tcBorders>
            <w:textDirection w:val="tbRlV"/>
          </w:tcPr>
          <w:p w14:paraId="1ACBA454">
            <w:pPr>
              <w:pStyle w:val="8"/>
              <w:spacing w:line="396" w:lineRule="auto"/>
            </w:pPr>
          </w:p>
          <w:p w14:paraId="1CB1A1D9">
            <w:pPr>
              <w:spacing w:before="67" w:line="202" w:lineRule="auto"/>
              <w:ind w:left="3063"/>
              <w:rPr>
                <w:rFonts w:ascii="宋体" w:hAnsi="宋体" w:eastAsia="宋体" w:cs="宋体"/>
                <w:sz w:val="20"/>
                <w:szCs w:val="20"/>
              </w:rPr>
            </w:pPr>
            <w:r>
              <w:rPr>
                <w:rFonts w:ascii="宋体" w:hAnsi="宋体" w:eastAsia="宋体" w:cs="宋体"/>
                <w:sz w:val="20"/>
                <w:szCs w:val="20"/>
              </w:rPr>
              <w:t>绩效指标</w:t>
            </w:r>
          </w:p>
        </w:tc>
        <w:tc>
          <w:tcPr>
            <w:tcW w:w="1169" w:type="dxa"/>
          </w:tcPr>
          <w:p w14:paraId="17EE1DD7">
            <w:pPr>
              <w:spacing w:before="261" w:line="220" w:lineRule="auto"/>
              <w:ind w:left="170"/>
              <w:rPr>
                <w:rFonts w:ascii="宋体" w:hAnsi="宋体" w:eastAsia="宋体" w:cs="宋体"/>
                <w:sz w:val="20"/>
                <w:szCs w:val="20"/>
              </w:rPr>
            </w:pPr>
            <w:r>
              <w:rPr>
                <w:rFonts w:ascii="宋体" w:hAnsi="宋体" w:eastAsia="宋体" w:cs="宋体"/>
                <w:spacing w:val="-3"/>
                <w:sz w:val="20"/>
                <w:szCs w:val="20"/>
              </w:rPr>
              <w:t>一级指标</w:t>
            </w:r>
          </w:p>
        </w:tc>
        <w:tc>
          <w:tcPr>
            <w:tcW w:w="1109" w:type="dxa"/>
          </w:tcPr>
          <w:p w14:paraId="2CAF2EAA">
            <w:pPr>
              <w:spacing w:before="261" w:line="220" w:lineRule="auto"/>
              <w:ind w:left="141"/>
              <w:rPr>
                <w:rFonts w:ascii="宋体" w:hAnsi="宋体" w:eastAsia="宋体" w:cs="宋体"/>
                <w:sz w:val="20"/>
                <w:szCs w:val="20"/>
              </w:rPr>
            </w:pPr>
            <w:r>
              <w:rPr>
                <w:rFonts w:ascii="宋体" w:hAnsi="宋体" w:eastAsia="宋体" w:cs="宋体"/>
                <w:spacing w:val="-3"/>
                <w:sz w:val="20"/>
                <w:szCs w:val="20"/>
              </w:rPr>
              <w:t>二级指标</w:t>
            </w:r>
          </w:p>
        </w:tc>
        <w:tc>
          <w:tcPr>
            <w:tcW w:w="1039" w:type="dxa"/>
          </w:tcPr>
          <w:p w14:paraId="6158DDAE">
            <w:pPr>
              <w:spacing w:before="261" w:line="220" w:lineRule="auto"/>
              <w:ind w:left="112"/>
              <w:rPr>
                <w:rFonts w:ascii="宋体" w:hAnsi="宋体" w:eastAsia="宋体" w:cs="宋体"/>
                <w:sz w:val="20"/>
                <w:szCs w:val="20"/>
              </w:rPr>
            </w:pPr>
            <w:r>
              <w:rPr>
                <w:rFonts w:ascii="宋体" w:hAnsi="宋体" w:eastAsia="宋体" w:cs="宋体"/>
                <w:spacing w:val="-2"/>
                <w:sz w:val="20"/>
                <w:szCs w:val="20"/>
              </w:rPr>
              <w:t>三级指标</w:t>
            </w:r>
          </w:p>
        </w:tc>
        <w:tc>
          <w:tcPr>
            <w:tcW w:w="1288" w:type="dxa"/>
          </w:tcPr>
          <w:p w14:paraId="438807D1">
            <w:pPr>
              <w:spacing w:before="141" w:line="220" w:lineRule="auto"/>
              <w:ind w:left="333" w:right="354" w:firstLine="99"/>
              <w:rPr>
                <w:rFonts w:ascii="宋体" w:hAnsi="宋体" w:eastAsia="宋体" w:cs="宋体"/>
                <w:sz w:val="20"/>
                <w:szCs w:val="20"/>
              </w:rPr>
            </w:pPr>
            <w:r>
              <w:rPr>
                <w:rFonts w:ascii="宋体" w:hAnsi="宋体" w:eastAsia="宋体" w:cs="宋体"/>
                <w:spacing w:val="5"/>
                <w:sz w:val="20"/>
                <w:szCs w:val="20"/>
              </w:rPr>
              <w:t>年度</w:t>
            </w:r>
            <w:r>
              <w:rPr>
                <w:rFonts w:ascii="宋体" w:hAnsi="宋体" w:eastAsia="宋体" w:cs="宋体"/>
                <w:spacing w:val="-4"/>
                <w:sz w:val="20"/>
                <w:szCs w:val="20"/>
              </w:rPr>
              <w:t>指标值</w:t>
            </w:r>
          </w:p>
        </w:tc>
        <w:tc>
          <w:tcPr>
            <w:tcW w:w="1129" w:type="dxa"/>
          </w:tcPr>
          <w:p w14:paraId="0D7FCAAF">
            <w:pPr>
              <w:spacing w:before="132" w:line="229" w:lineRule="auto"/>
              <w:ind w:left="255" w:right="272" w:firstLine="99"/>
              <w:rPr>
                <w:rFonts w:ascii="宋体" w:hAnsi="宋体" w:eastAsia="宋体" w:cs="宋体"/>
                <w:sz w:val="20"/>
                <w:szCs w:val="20"/>
              </w:rPr>
            </w:pPr>
            <w:r>
              <w:rPr>
                <w:rFonts w:ascii="宋体" w:hAnsi="宋体" w:eastAsia="宋体" w:cs="宋体"/>
                <w:spacing w:val="4"/>
                <w:sz w:val="20"/>
                <w:szCs w:val="20"/>
              </w:rPr>
              <w:t>实际</w:t>
            </w:r>
            <w:r>
              <w:rPr>
                <w:rFonts w:ascii="宋体" w:hAnsi="宋体" w:eastAsia="宋体" w:cs="宋体"/>
                <w:spacing w:val="-4"/>
                <w:sz w:val="20"/>
                <w:szCs w:val="20"/>
              </w:rPr>
              <w:t>完成值</w:t>
            </w:r>
          </w:p>
        </w:tc>
        <w:tc>
          <w:tcPr>
            <w:tcW w:w="699" w:type="dxa"/>
          </w:tcPr>
          <w:p w14:paraId="2FD88127">
            <w:pPr>
              <w:spacing w:before="261" w:line="219" w:lineRule="auto"/>
              <w:ind w:left="146"/>
              <w:rPr>
                <w:rFonts w:ascii="宋体" w:hAnsi="宋体" w:eastAsia="宋体" w:cs="宋体"/>
                <w:sz w:val="20"/>
                <w:szCs w:val="20"/>
              </w:rPr>
            </w:pPr>
            <w:r>
              <w:rPr>
                <w:rFonts w:ascii="宋体" w:hAnsi="宋体" w:eastAsia="宋体" w:cs="宋体"/>
                <w:spacing w:val="-3"/>
                <w:sz w:val="20"/>
                <w:szCs w:val="20"/>
              </w:rPr>
              <w:t>分值</w:t>
            </w:r>
          </w:p>
        </w:tc>
        <w:tc>
          <w:tcPr>
            <w:tcW w:w="449" w:type="dxa"/>
            <w:textDirection w:val="tbRlV"/>
          </w:tcPr>
          <w:p w14:paraId="2E94B8B2">
            <w:pPr>
              <w:spacing w:before="128" w:line="200" w:lineRule="auto"/>
              <w:ind w:left="142"/>
              <w:rPr>
                <w:rFonts w:ascii="宋体" w:hAnsi="宋体" w:eastAsia="宋体" w:cs="宋体"/>
                <w:sz w:val="20"/>
                <w:szCs w:val="20"/>
              </w:rPr>
            </w:pPr>
            <w:r>
              <w:rPr>
                <w:rFonts w:ascii="宋体" w:hAnsi="宋体" w:eastAsia="宋体" w:cs="宋体"/>
                <w:sz w:val="20"/>
                <w:szCs w:val="20"/>
              </w:rPr>
              <w:t>得分</w:t>
            </w:r>
          </w:p>
        </w:tc>
        <w:tc>
          <w:tcPr>
            <w:tcW w:w="1286" w:type="dxa"/>
          </w:tcPr>
          <w:p w14:paraId="55EAD999">
            <w:pPr>
              <w:spacing w:before="20" w:line="222" w:lineRule="auto"/>
              <w:ind w:left="288" w:right="174" w:hanging="100"/>
              <w:rPr>
                <w:rFonts w:ascii="宋体" w:hAnsi="宋体" w:eastAsia="宋体" w:cs="宋体"/>
                <w:sz w:val="20"/>
                <w:szCs w:val="20"/>
                <w:lang w:eastAsia="zh-CN"/>
              </w:rPr>
            </w:pPr>
            <w:r>
              <w:rPr>
                <w:rFonts w:ascii="宋体" w:hAnsi="宋体" w:eastAsia="宋体" w:cs="宋体"/>
                <w:spacing w:val="5"/>
                <w:sz w:val="20"/>
                <w:szCs w:val="20"/>
                <w:lang w:eastAsia="zh-CN"/>
              </w:rPr>
              <w:t>偏差原因</w:t>
            </w:r>
            <w:r>
              <w:rPr>
                <w:rFonts w:ascii="宋体" w:hAnsi="宋体" w:eastAsia="宋体" w:cs="宋体"/>
                <w:spacing w:val="3"/>
                <w:sz w:val="20"/>
                <w:szCs w:val="20"/>
                <w:lang w:eastAsia="zh-CN"/>
              </w:rPr>
              <w:t>分析及</w:t>
            </w:r>
          </w:p>
          <w:p w14:paraId="19A0BCD5">
            <w:pPr>
              <w:spacing w:line="182" w:lineRule="auto"/>
              <w:ind w:left="188"/>
              <w:rPr>
                <w:rFonts w:ascii="宋体" w:hAnsi="宋体" w:eastAsia="宋体" w:cs="宋体"/>
                <w:sz w:val="20"/>
                <w:szCs w:val="20"/>
                <w:lang w:eastAsia="zh-CN"/>
              </w:rPr>
            </w:pPr>
            <w:r>
              <w:rPr>
                <w:rFonts w:ascii="宋体" w:hAnsi="宋体" w:eastAsia="宋体" w:cs="宋体"/>
                <w:spacing w:val="2"/>
                <w:sz w:val="20"/>
                <w:szCs w:val="20"/>
                <w:lang w:eastAsia="zh-CN"/>
              </w:rPr>
              <w:t>改进措施</w:t>
            </w:r>
          </w:p>
        </w:tc>
      </w:tr>
      <w:tr w14:paraId="12A677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0" w:hRule="atLeast"/>
        </w:trPr>
        <w:tc>
          <w:tcPr>
            <w:tcW w:w="1144" w:type="dxa"/>
            <w:vMerge w:val="continue"/>
            <w:tcBorders>
              <w:top w:val="nil"/>
              <w:bottom w:val="nil"/>
            </w:tcBorders>
            <w:textDirection w:val="tbRlV"/>
          </w:tcPr>
          <w:p w14:paraId="23BA7A7E">
            <w:pPr>
              <w:pStyle w:val="8"/>
              <w:rPr>
                <w:lang w:eastAsia="zh-CN"/>
              </w:rPr>
            </w:pPr>
          </w:p>
        </w:tc>
        <w:tc>
          <w:tcPr>
            <w:tcW w:w="1169" w:type="dxa"/>
            <w:vMerge w:val="restart"/>
            <w:tcBorders>
              <w:bottom w:val="nil"/>
            </w:tcBorders>
          </w:tcPr>
          <w:p w14:paraId="3048FA67">
            <w:pPr>
              <w:pStyle w:val="8"/>
              <w:spacing w:line="277" w:lineRule="auto"/>
              <w:rPr>
                <w:lang w:eastAsia="zh-CN"/>
              </w:rPr>
            </w:pPr>
          </w:p>
          <w:p w14:paraId="204E63B2">
            <w:pPr>
              <w:pStyle w:val="8"/>
              <w:spacing w:line="277" w:lineRule="auto"/>
              <w:rPr>
                <w:lang w:eastAsia="zh-CN"/>
              </w:rPr>
            </w:pPr>
          </w:p>
          <w:p w14:paraId="713347BC">
            <w:pPr>
              <w:pStyle w:val="8"/>
              <w:spacing w:line="278" w:lineRule="auto"/>
              <w:rPr>
                <w:lang w:eastAsia="zh-CN"/>
              </w:rPr>
            </w:pPr>
          </w:p>
          <w:p w14:paraId="68FA4957">
            <w:pPr>
              <w:pStyle w:val="8"/>
              <w:spacing w:line="278" w:lineRule="auto"/>
              <w:rPr>
                <w:lang w:eastAsia="zh-CN"/>
              </w:rPr>
            </w:pPr>
          </w:p>
          <w:p w14:paraId="37A5C286">
            <w:pPr>
              <w:spacing w:before="65" w:line="219" w:lineRule="auto"/>
              <w:ind w:left="170"/>
              <w:rPr>
                <w:rFonts w:ascii="宋体" w:hAnsi="宋体" w:eastAsia="宋体" w:cs="宋体"/>
                <w:sz w:val="20"/>
                <w:szCs w:val="20"/>
              </w:rPr>
            </w:pPr>
            <w:r>
              <w:rPr>
                <w:rFonts w:ascii="宋体" w:hAnsi="宋体" w:eastAsia="宋体" w:cs="宋体"/>
                <w:spacing w:val="-2"/>
                <w:sz w:val="20"/>
                <w:szCs w:val="20"/>
              </w:rPr>
              <w:t>产出指标</w:t>
            </w:r>
          </w:p>
          <w:p w14:paraId="3A0166E4">
            <w:pPr>
              <w:spacing w:before="33" w:line="220" w:lineRule="auto"/>
              <w:ind w:left="270"/>
              <w:rPr>
                <w:rFonts w:ascii="宋体" w:hAnsi="宋体" w:eastAsia="宋体" w:cs="宋体"/>
                <w:sz w:val="20"/>
                <w:szCs w:val="20"/>
              </w:rPr>
            </w:pPr>
            <w:r>
              <w:rPr>
                <w:rFonts w:ascii="宋体" w:hAnsi="宋体" w:eastAsia="宋体" w:cs="宋体"/>
                <w:spacing w:val="8"/>
                <w:sz w:val="20"/>
                <w:szCs w:val="20"/>
              </w:rPr>
              <w:t>(50分)</w:t>
            </w:r>
          </w:p>
        </w:tc>
        <w:tc>
          <w:tcPr>
            <w:tcW w:w="1109" w:type="dxa"/>
            <w:tcBorders>
              <w:bottom w:val="nil"/>
            </w:tcBorders>
          </w:tcPr>
          <w:p w14:paraId="3F5E7998">
            <w:pPr>
              <w:spacing w:before="161" w:line="212" w:lineRule="auto"/>
              <w:ind w:left="341" w:right="366"/>
              <w:rPr>
                <w:rFonts w:ascii="宋体" w:hAnsi="宋体" w:eastAsia="宋体" w:cs="宋体"/>
                <w:sz w:val="20"/>
                <w:szCs w:val="20"/>
              </w:rPr>
            </w:pPr>
            <w:r>
              <w:rPr>
                <w:rFonts w:ascii="宋体" w:hAnsi="宋体" w:eastAsia="宋体" w:cs="宋体"/>
                <w:spacing w:val="-5"/>
                <w:sz w:val="20"/>
                <w:szCs w:val="20"/>
              </w:rPr>
              <w:t>数量</w:t>
            </w:r>
            <w:r>
              <w:rPr>
                <w:rFonts w:ascii="宋体" w:hAnsi="宋体" w:eastAsia="宋体" w:cs="宋体"/>
                <w:spacing w:val="-6"/>
                <w:sz w:val="20"/>
                <w:szCs w:val="20"/>
              </w:rPr>
              <w:t>指标</w:t>
            </w:r>
          </w:p>
        </w:tc>
        <w:tc>
          <w:tcPr>
            <w:tcW w:w="1039" w:type="dxa"/>
            <w:vAlign w:val="center"/>
          </w:tcPr>
          <w:p w14:paraId="72B1749E">
            <w:pPr>
              <w:keepNext w:val="0"/>
              <w:keepLines w:val="0"/>
              <w:widowControl/>
              <w:suppressLineNumbers w:val="0"/>
              <w:spacing w:before="0" w:beforeAutospacing="0" w:after="0" w:afterAutospacing="0" w:line="240" w:lineRule="exact"/>
              <w:ind w:left="0" w:leftChars="0" w:right="0" w:rightChars="0"/>
              <w:jc w:val="center"/>
            </w:pPr>
            <w:r>
              <w:rPr>
                <w:rFonts w:hint="eastAsia" w:ascii="Times New Roman" w:hAnsi="Times New Roman" w:eastAsia="仿宋_GB2312" w:cs="仿宋_GB2312"/>
                <w:snapToGrid w:val="0"/>
                <w:color w:val="000000"/>
                <w:kern w:val="2"/>
                <w:sz w:val="20"/>
                <w:szCs w:val="20"/>
                <w:lang w:val="en-US" w:eastAsia="zh-CN" w:bidi="ar"/>
              </w:rPr>
              <w:t>全额完成本级行政区域工作任务</w:t>
            </w:r>
          </w:p>
        </w:tc>
        <w:tc>
          <w:tcPr>
            <w:tcW w:w="1288" w:type="dxa"/>
            <w:vAlign w:val="center"/>
          </w:tcPr>
          <w:p w14:paraId="115E7629">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default" w:ascii="Times New Roman" w:hAnsi="Times New Roman" w:eastAsia="仿宋_GB2312" w:cs="仿宋_GB2312"/>
                <w:snapToGrid w:val="0"/>
                <w:color w:val="000000"/>
                <w:kern w:val="2"/>
                <w:sz w:val="20"/>
                <w:szCs w:val="20"/>
                <w:lang w:val="en-US" w:eastAsia="zh-CN" w:bidi="ar"/>
              </w:rPr>
              <w:t>100%</w:t>
            </w:r>
          </w:p>
        </w:tc>
        <w:tc>
          <w:tcPr>
            <w:tcW w:w="1129" w:type="dxa"/>
            <w:vAlign w:val="center"/>
          </w:tcPr>
          <w:p w14:paraId="5F61C23B">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default" w:ascii="Times New Roman" w:hAnsi="Times New Roman" w:eastAsia="仿宋_GB2312" w:cs="仿宋_GB2312"/>
                <w:snapToGrid w:val="0"/>
                <w:color w:val="000000"/>
                <w:kern w:val="2"/>
                <w:sz w:val="20"/>
                <w:szCs w:val="20"/>
                <w:lang w:val="en-US" w:eastAsia="zh-CN" w:bidi="ar"/>
              </w:rPr>
              <w:t>100%</w:t>
            </w:r>
          </w:p>
        </w:tc>
        <w:tc>
          <w:tcPr>
            <w:tcW w:w="699" w:type="dxa"/>
            <w:vAlign w:val="center"/>
          </w:tcPr>
          <w:p w14:paraId="0244DEBE">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default" w:ascii="Times New Roman" w:hAnsi="Times New Roman" w:eastAsia="仿宋_GB2312" w:cs="仿宋_GB2312"/>
                <w:snapToGrid w:val="0"/>
                <w:color w:val="000000"/>
                <w:kern w:val="2"/>
                <w:sz w:val="20"/>
                <w:szCs w:val="20"/>
                <w:lang w:val="en-US" w:eastAsia="zh-CN" w:bidi="ar"/>
              </w:rPr>
              <w:t>10</w:t>
            </w:r>
          </w:p>
        </w:tc>
        <w:tc>
          <w:tcPr>
            <w:tcW w:w="449" w:type="dxa"/>
            <w:vAlign w:val="center"/>
          </w:tcPr>
          <w:p w14:paraId="27FFC677">
            <w:pPr>
              <w:keepNext w:val="0"/>
              <w:keepLines w:val="0"/>
              <w:widowControl/>
              <w:suppressLineNumbers w:val="0"/>
              <w:spacing w:before="0" w:beforeAutospacing="0" w:after="0" w:afterAutospacing="0" w:line="240" w:lineRule="exact"/>
              <w:ind w:left="0" w:leftChars="0" w:right="0" w:rightChars="0"/>
              <w:jc w:val="center"/>
              <w:rPr>
                <w:rFonts w:hint="default"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10</w:t>
            </w:r>
          </w:p>
        </w:tc>
        <w:tc>
          <w:tcPr>
            <w:tcW w:w="1286" w:type="dxa"/>
          </w:tcPr>
          <w:p w14:paraId="727F7E3F">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p>
        </w:tc>
      </w:tr>
      <w:tr w14:paraId="5B5266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9" w:hRule="atLeast"/>
        </w:trPr>
        <w:tc>
          <w:tcPr>
            <w:tcW w:w="1144" w:type="dxa"/>
            <w:vMerge w:val="continue"/>
            <w:tcBorders>
              <w:top w:val="nil"/>
              <w:bottom w:val="nil"/>
            </w:tcBorders>
            <w:textDirection w:val="tbRlV"/>
          </w:tcPr>
          <w:p w14:paraId="6FC8DBDA">
            <w:pPr>
              <w:pStyle w:val="8"/>
            </w:pPr>
          </w:p>
        </w:tc>
        <w:tc>
          <w:tcPr>
            <w:tcW w:w="1169" w:type="dxa"/>
            <w:vMerge w:val="continue"/>
            <w:tcBorders>
              <w:top w:val="nil"/>
              <w:bottom w:val="nil"/>
            </w:tcBorders>
          </w:tcPr>
          <w:p w14:paraId="5C7E47E3">
            <w:pPr>
              <w:pStyle w:val="8"/>
            </w:pPr>
          </w:p>
        </w:tc>
        <w:tc>
          <w:tcPr>
            <w:tcW w:w="1109" w:type="dxa"/>
            <w:tcBorders>
              <w:bottom w:val="nil"/>
            </w:tcBorders>
          </w:tcPr>
          <w:p w14:paraId="6B5A0DA9">
            <w:pPr>
              <w:spacing w:before="132" w:line="221" w:lineRule="auto"/>
              <w:ind w:left="341" w:right="365"/>
              <w:rPr>
                <w:rFonts w:ascii="宋体" w:hAnsi="宋体" w:eastAsia="宋体" w:cs="宋体"/>
                <w:sz w:val="20"/>
                <w:szCs w:val="20"/>
              </w:rPr>
            </w:pPr>
            <w:r>
              <w:rPr>
                <w:rFonts w:ascii="宋体" w:hAnsi="宋体" w:eastAsia="宋体" w:cs="宋体"/>
                <w:spacing w:val="-5"/>
                <w:sz w:val="20"/>
                <w:szCs w:val="20"/>
              </w:rPr>
              <w:t>质量</w:t>
            </w:r>
            <w:r>
              <w:rPr>
                <w:rFonts w:ascii="宋体" w:hAnsi="宋体" w:eastAsia="宋体" w:cs="宋体"/>
                <w:spacing w:val="-6"/>
                <w:sz w:val="20"/>
                <w:szCs w:val="20"/>
              </w:rPr>
              <w:t>指标</w:t>
            </w:r>
          </w:p>
        </w:tc>
        <w:tc>
          <w:tcPr>
            <w:tcW w:w="1039" w:type="dxa"/>
            <w:vAlign w:val="center"/>
          </w:tcPr>
          <w:p w14:paraId="5633816D">
            <w:pPr>
              <w:keepNext w:val="0"/>
              <w:keepLines w:val="0"/>
              <w:widowControl/>
              <w:suppressLineNumbers w:val="0"/>
              <w:spacing w:before="0" w:beforeAutospacing="0" w:after="0" w:afterAutospacing="0" w:line="240" w:lineRule="exact"/>
              <w:ind w:left="0" w:leftChars="0" w:right="0" w:rightChars="0"/>
              <w:jc w:val="center"/>
            </w:pPr>
            <w:r>
              <w:rPr>
                <w:rFonts w:hint="eastAsia" w:ascii="Times New Roman" w:hAnsi="Times New Roman" w:eastAsia="仿宋_GB2312" w:cs="仿宋_GB2312"/>
                <w:snapToGrid w:val="0"/>
                <w:color w:val="000000"/>
                <w:kern w:val="2"/>
                <w:sz w:val="20"/>
                <w:szCs w:val="20"/>
                <w:lang w:val="en-US" w:eastAsia="zh-CN" w:bidi="ar"/>
              </w:rPr>
              <w:t>按照年初绩效目标，合理安排资金使用</w:t>
            </w:r>
          </w:p>
        </w:tc>
        <w:tc>
          <w:tcPr>
            <w:tcW w:w="1288" w:type="dxa"/>
            <w:vAlign w:val="center"/>
          </w:tcPr>
          <w:p w14:paraId="367B495E">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合理</w:t>
            </w:r>
          </w:p>
        </w:tc>
        <w:tc>
          <w:tcPr>
            <w:tcW w:w="1129" w:type="dxa"/>
            <w:vAlign w:val="center"/>
          </w:tcPr>
          <w:p w14:paraId="08D1C4C5">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严格按照资金用途，在预算范围内合理支出</w:t>
            </w:r>
          </w:p>
        </w:tc>
        <w:tc>
          <w:tcPr>
            <w:tcW w:w="699" w:type="dxa"/>
            <w:vAlign w:val="center"/>
          </w:tcPr>
          <w:p w14:paraId="0B047315">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default" w:ascii="Times New Roman" w:hAnsi="Times New Roman" w:eastAsia="仿宋_GB2312" w:cs="仿宋_GB2312"/>
                <w:snapToGrid w:val="0"/>
                <w:color w:val="000000"/>
                <w:kern w:val="2"/>
                <w:sz w:val="20"/>
                <w:szCs w:val="20"/>
                <w:lang w:val="en-US" w:eastAsia="zh-CN" w:bidi="ar"/>
              </w:rPr>
              <w:t>20</w:t>
            </w:r>
          </w:p>
        </w:tc>
        <w:tc>
          <w:tcPr>
            <w:tcW w:w="449" w:type="dxa"/>
            <w:vAlign w:val="center"/>
          </w:tcPr>
          <w:p w14:paraId="01F967F1">
            <w:pPr>
              <w:keepNext w:val="0"/>
              <w:keepLines w:val="0"/>
              <w:widowControl/>
              <w:suppressLineNumbers w:val="0"/>
              <w:spacing w:before="0" w:beforeAutospacing="0" w:after="0" w:afterAutospacing="0" w:line="240" w:lineRule="exact"/>
              <w:ind w:left="0" w:leftChars="0" w:right="0" w:rightChars="0"/>
              <w:jc w:val="center"/>
              <w:rPr>
                <w:rFonts w:hint="default"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20</w:t>
            </w:r>
          </w:p>
        </w:tc>
        <w:tc>
          <w:tcPr>
            <w:tcW w:w="1286" w:type="dxa"/>
          </w:tcPr>
          <w:p w14:paraId="3ADF4A55">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p>
        </w:tc>
      </w:tr>
      <w:tr w14:paraId="6201FE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1144" w:type="dxa"/>
            <w:vMerge w:val="continue"/>
            <w:tcBorders>
              <w:top w:val="nil"/>
              <w:bottom w:val="nil"/>
            </w:tcBorders>
            <w:textDirection w:val="tbRlV"/>
          </w:tcPr>
          <w:p w14:paraId="537A8319">
            <w:pPr>
              <w:pStyle w:val="8"/>
            </w:pPr>
          </w:p>
        </w:tc>
        <w:tc>
          <w:tcPr>
            <w:tcW w:w="1169" w:type="dxa"/>
            <w:vMerge w:val="continue"/>
            <w:tcBorders>
              <w:top w:val="nil"/>
              <w:bottom w:val="nil"/>
            </w:tcBorders>
          </w:tcPr>
          <w:p w14:paraId="5D758026">
            <w:pPr>
              <w:pStyle w:val="8"/>
            </w:pPr>
          </w:p>
        </w:tc>
        <w:tc>
          <w:tcPr>
            <w:tcW w:w="1109" w:type="dxa"/>
            <w:tcBorders>
              <w:bottom w:val="nil"/>
            </w:tcBorders>
          </w:tcPr>
          <w:p w14:paraId="145E517C">
            <w:pPr>
              <w:spacing w:before="134" w:line="216" w:lineRule="auto"/>
              <w:ind w:left="341" w:right="348"/>
              <w:rPr>
                <w:rFonts w:ascii="宋体" w:hAnsi="宋体" w:eastAsia="宋体" w:cs="宋体"/>
                <w:sz w:val="20"/>
                <w:szCs w:val="20"/>
              </w:rPr>
            </w:pPr>
            <w:r>
              <w:rPr>
                <w:rFonts w:ascii="宋体" w:hAnsi="宋体" w:eastAsia="宋体" w:cs="宋体"/>
                <w:spacing w:val="4"/>
                <w:sz w:val="20"/>
                <w:szCs w:val="20"/>
              </w:rPr>
              <w:t>时效</w:t>
            </w:r>
            <w:r>
              <w:rPr>
                <w:rFonts w:ascii="宋体" w:hAnsi="宋体" w:eastAsia="宋体" w:cs="宋体"/>
                <w:spacing w:val="-3"/>
                <w:sz w:val="20"/>
                <w:szCs w:val="20"/>
              </w:rPr>
              <w:t>指标</w:t>
            </w:r>
          </w:p>
        </w:tc>
        <w:tc>
          <w:tcPr>
            <w:tcW w:w="1039" w:type="dxa"/>
            <w:vAlign w:val="center"/>
          </w:tcPr>
          <w:p w14:paraId="38F6655E">
            <w:pPr>
              <w:keepNext w:val="0"/>
              <w:keepLines w:val="0"/>
              <w:widowControl/>
              <w:suppressLineNumbers w:val="0"/>
              <w:spacing w:before="0" w:beforeAutospacing="0" w:after="0" w:afterAutospacing="0" w:line="240" w:lineRule="exact"/>
              <w:ind w:left="0" w:leftChars="0" w:right="0" w:rightChars="0"/>
              <w:jc w:val="center"/>
            </w:pPr>
            <w:r>
              <w:rPr>
                <w:rFonts w:hint="eastAsia" w:ascii="Times New Roman" w:hAnsi="Times New Roman" w:eastAsia="仿宋_GB2312" w:cs="仿宋_GB2312"/>
                <w:snapToGrid w:val="0"/>
                <w:color w:val="000000"/>
                <w:kern w:val="2"/>
                <w:sz w:val="20"/>
                <w:szCs w:val="20"/>
                <w:lang w:val="en-US" w:eastAsia="zh-CN" w:bidi="ar"/>
              </w:rPr>
              <w:t>规定时间前完成任务</w:t>
            </w:r>
          </w:p>
        </w:tc>
        <w:tc>
          <w:tcPr>
            <w:tcW w:w="1288" w:type="dxa"/>
            <w:vAlign w:val="center"/>
          </w:tcPr>
          <w:p w14:paraId="03FBDB7C">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default" w:ascii="Times New Roman" w:hAnsi="Times New Roman" w:eastAsia="仿宋_GB2312" w:cs="仿宋_GB2312"/>
                <w:snapToGrid w:val="0"/>
                <w:color w:val="000000"/>
                <w:kern w:val="2"/>
                <w:sz w:val="20"/>
                <w:szCs w:val="20"/>
                <w:lang w:val="en-US" w:eastAsia="zh-CN" w:bidi="ar"/>
              </w:rPr>
              <w:t>202</w:t>
            </w:r>
            <w:r>
              <w:rPr>
                <w:rFonts w:hint="eastAsia" w:ascii="Times New Roman" w:hAnsi="Times New Roman" w:eastAsia="仿宋_GB2312" w:cs="仿宋_GB2312"/>
                <w:snapToGrid w:val="0"/>
                <w:color w:val="000000"/>
                <w:kern w:val="2"/>
                <w:sz w:val="20"/>
                <w:szCs w:val="20"/>
                <w:lang w:val="en-US" w:eastAsia="zh-CN" w:bidi="ar"/>
              </w:rPr>
              <w:t>3</w:t>
            </w:r>
            <w:r>
              <w:rPr>
                <w:rFonts w:hint="default" w:ascii="Times New Roman" w:hAnsi="Times New Roman" w:eastAsia="仿宋_GB2312" w:cs="仿宋_GB2312"/>
                <w:snapToGrid w:val="0"/>
                <w:color w:val="000000"/>
                <w:kern w:val="2"/>
                <w:sz w:val="20"/>
                <w:szCs w:val="20"/>
                <w:lang w:val="en-US" w:eastAsia="zh-CN" w:bidi="ar"/>
              </w:rPr>
              <w:t>.12.31</w:t>
            </w:r>
          </w:p>
        </w:tc>
        <w:tc>
          <w:tcPr>
            <w:tcW w:w="1129" w:type="dxa"/>
            <w:vAlign w:val="center"/>
          </w:tcPr>
          <w:p w14:paraId="2E9AF409">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default" w:ascii="Times New Roman" w:hAnsi="Times New Roman" w:eastAsia="仿宋_GB2312" w:cs="仿宋_GB2312"/>
                <w:snapToGrid w:val="0"/>
                <w:color w:val="000000"/>
                <w:kern w:val="2"/>
                <w:sz w:val="20"/>
                <w:szCs w:val="20"/>
                <w:lang w:val="en-US" w:eastAsia="zh-CN" w:bidi="ar"/>
              </w:rPr>
              <w:t>202</w:t>
            </w:r>
            <w:r>
              <w:rPr>
                <w:rFonts w:hint="eastAsia" w:ascii="Times New Roman" w:hAnsi="Times New Roman" w:eastAsia="仿宋_GB2312" w:cs="仿宋_GB2312"/>
                <w:snapToGrid w:val="0"/>
                <w:color w:val="000000"/>
                <w:kern w:val="2"/>
                <w:sz w:val="20"/>
                <w:szCs w:val="20"/>
                <w:lang w:val="en-US" w:eastAsia="zh-CN" w:bidi="ar"/>
              </w:rPr>
              <w:t>3</w:t>
            </w:r>
            <w:r>
              <w:rPr>
                <w:rFonts w:hint="default" w:ascii="Times New Roman" w:hAnsi="Times New Roman" w:eastAsia="仿宋_GB2312" w:cs="仿宋_GB2312"/>
                <w:snapToGrid w:val="0"/>
                <w:color w:val="000000"/>
                <w:kern w:val="2"/>
                <w:sz w:val="20"/>
                <w:szCs w:val="20"/>
                <w:lang w:val="en-US" w:eastAsia="zh-CN" w:bidi="ar"/>
              </w:rPr>
              <w:t>.12.31</w:t>
            </w:r>
          </w:p>
        </w:tc>
        <w:tc>
          <w:tcPr>
            <w:tcW w:w="699" w:type="dxa"/>
            <w:vAlign w:val="center"/>
          </w:tcPr>
          <w:p w14:paraId="3F149A6B">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default" w:ascii="Times New Roman" w:hAnsi="Times New Roman" w:eastAsia="仿宋_GB2312" w:cs="仿宋_GB2312"/>
                <w:snapToGrid w:val="0"/>
                <w:color w:val="000000"/>
                <w:kern w:val="2"/>
                <w:sz w:val="20"/>
                <w:szCs w:val="20"/>
                <w:lang w:val="en-US" w:eastAsia="zh-CN" w:bidi="ar"/>
              </w:rPr>
              <w:t>10</w:t>
            </w:r>
          </w:p>
        </w:tc>
        <w:tc>
          <w:tcPr>
            <w:tcW w:w="449" w:type="dxa"/>
            <w:vAlign w:val="center"/>
          </w:tcPr>
          <w:p w14:paraId="63DD2FB8">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8</w:t>
            </w:r>
          </w:p>
        </w:tc>
        <w:tc>
          <w:tcPr>
            <w:tcW w:w="1286" w:type="dxa"/>
          </w:tcPr>
          <w:p w14:paraId="346525B1">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偏差原因：部分支付未在年内完成</w:t>
            </w:r>
          </w:p>
          <w:p w14:paraId="6CFB9615">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改进措施：加快支付进度</w:t>
            </w:r>
          </w:p>
        </w:tc>
      </w:tr>
      <w:tr w14:paraId="670BEF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9" w:hRule="atLeast"/>
        </w:trPr>
        <w:tc>
          <w:tcPr>
            <w:tcW w:w="1144" w:type="dxa"/>
            <w:vMerge w:val="continue"/>
            <w:tcBorders>
              <w:top w:val="nil"/>
              <w:bottom w:val="nil"/>
            </w:tcBorders>
            <w:textDirection w:val="tbRlV"/>
          </w:tcPr>
          <w:p w14:paraId="7CFA4F6A">
            <w:pPr>
              <w:pStyle w:val="8"/>
            </w:pPr>
          </w:p>
        </w:tc>
        <w:tc>
          <w:tcPr>
            <w:tcW w:w="1169" w:type="dxa"/>
            <w:vMerge w:val="continue"/>
            <w:tcBorders>
              <w:top w:val="nil"/>
              <w:bottom w:val="nil"/>
            </w:tcBorders>
          </w:tcPr>
          <w:p w14:paraId="474658E8">
            <w:pPr>
              <w:pStyle w:val="8"/>
            </w:pPr>
          </w:p>
        </w:tc>
        <w:tc>
          <w:tcPr>
            <w:tcW w:w="1109" w:type="dxa"/>
            <w:tcBorders>
              <w:bottom w:val="nil"/>
            </w:tcBorders>
          </w:tcPr>
          <w:p w14:paraId="001BA380">
            <w:pPr>
              <w:spacing w:before="143" w:line="221" w:lineRule="auto"/>
              <w:ind w:left="341" w:right="366"/>
              <w:rPr>
                <w:rFonts w:ascii="宋体" w:hAnsi="宋体" w:eastAsia="宋体" w:cs="宋体"/>
                <w:sz w:val="20"/>
                <w:szCs w:val="20"/>
              </w:rPr>
            </w:pPr>
            <w:r>
              <w:rPr>
                <w:rFonts w:ascii="宋体" w:hAnsi="宋体" w:eastAsia="宋体" w:cs="宋体"/>
                <w:spacing w:val="-5"/>
                <w:sz w:val="20"/>
                <w:szCs w:val="20"/>
              </w:rPr>
              <w:t>成本</w:t>
            </w:r>
            <w:r>
              <w:rPr>
                <w:rFonts w:ascii="宋体" w:hAnsi="宋体" w:eastAsia="宋体" w:cs="宋体"/>
                <w:spacing w:val="-6"/>
                <w:sz w:val="20"/>
                <w:szCs w:val="20"/>
              </w:rPr>
              <w:t>指标</w:t>
            </w:r>
          </w:p>
        </w:tc>
        <w:tc>
          <w:tcPr>
            <w:tcW w:w="1039" w:type="dxa"/>
            <w:vAlign w:val="center"/>
          </w:tcPr>
          <w:p w14:paraId="2B7CE743">
            <w:pPr>
              <w:keepNext w:val="0"/>
              <w:keepLines w:val="0"/>
              <w:widowControl/>
              <w:suppressLineNumbers w:val="0"/>
              <w:spacing w:before="0" w:beforeAutospacing="0" w:after="0" w:afterAutospacing="0" w:line="240" w:lineRule="exact"/>
              <w:ind w:left="0" w:leftChars="0" w:right="0" w:rightChars="0"/>
              <w:jc w:val="center"/>
            </w:pPr>
            <w:r>
              <w:rPr>
                <w:rFonts w:hint="eastAsia" w:ascii="Times New Roman" w:hAnsi="Times New Roman" w:eastAsia="仿宋_GB2312" w:cs="仿宋_GB2312"/>
                <w:snapToGrid w:val="0"/>
                <w:color w:val="000000"/>
                <w:kern w:val="2"/>
                <w:sz w:val="20"/>
                <w:szCs w:val="20"/>
                <w:lang w:val="en-US" w:eastAsia="zh-CN" w:bidi="ar"/>
              </w:rPr>
              <w:t>不超过全年预算数</w:t>
            </w:r>
          </w:p>
        </w:tc>
        <w:tc>
          <w:tcPr>
            <w:tcW w:w="1288" w:type="dxa"/>
            <w:vAlign w:val="center"/>
          </w:tcPr>
          <w:p w14:paraId="342F061A">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w:t>
            </w:r>
            <w:r>
              <w:rPr>
                <w:rFonts w:hint="default" w:ascii="Times New Roman" w:hAnsi="Times New Roman" w:eastAsia="仿宋_GB2312" w:cs="仿宋_GB2312"/>
                <w:snapToGrid w:val="0"/>
                <w:color w:val="000000"/>
                <w:kern w:val="2"/>
                <w:sz w:val="20"/>
                <w:szCs w:val="20"/>
                <w:lang w:val="en-US" w:eastAsia="zh-CN" w:bidi="ar"/>
              </w:rPr>
              <w:t>100%</w:t>
            </w:r>
          </w:p>
        </w:tc>
        <w:tc>
          <w:tcPr>
            <w:tcW w:w="1129" w:type="dxa"/>
            <w:vAlign w:val="center"/>
          </w:tcPr>
          <w:p w14:paraId="79ED6141">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w:t>
            </w:r>
            <w:r>
              <w:rPr>
                <w:rFonts w:hint="default" w:ascii="Times New Roman" w:hAnsi="Times New Roman" w:eastAsia="仿宋_GB2312" w:cs="仿宋_GB2312"/>
                <w:snapToGrid w:val="0"/>
                <w:color w:val="000000"/>
                <w:kern w:val="2"/>
                <w:sz w:val="20"/>
                <w:szCs w:val="20"/>
                <w:lang w:val="en-US" w:eastAsia="zh-CN" w:bidi="ar"/>
              </w:rPr>
              <w:t>100%</w:t>
            </w:r>
          </w:p>
        </w:tc>
        <w:tc>
          <w:tcPr>
            <w:tcW w:w="699" w:type="dxa"/>
            <w:vAlign w:val="center"/>
          </w:tcPr>
          <w:p w14:paraId="32741895">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default" w:ascii="Times New Roman" w:hAnsi="Times New Roman" w:eastAsia="仿宋_GB2312" w:cs="仿宋_GB2312"/>
                <w:snapToGrid w:val="0"/>
                <w:color w:val="000000"/>
                <w:kern w:val="2"/>
                <w:sz w:val="20"/>
                <w:szCs w:val="20"/>
                <w:lang w:val="en-US" w:eastAsia="zh-CN" w:bidi="ar"/>
              </w:rPr>
              <w:t>10</w:t>
            </w:r>
          </w:p>
        </w:tc>
        <w:tc>
          <w:tcPr>
            <w:tcW w:w="449" w:type="dxa"/>
            <w:vAlign w:val="center"/>
          </w:tcPr>
          <w:p w14:paraId="35F09161">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default" w:ascii="Times New Roman" w:hAnsi="Times New Roman" w:eastAsia="仿宋_GB2312" w:cs="仿宋_GB2312"/>
                <w:snapToGrid w:val="0"/>
                <w:color w:val="000000"/>
                <w:kern w:val="2"/>
                <w:sz w:val="20"/>
                <w:szCs w:val="20"/>
                <w:lang w:val="en-US" w:eastAsia="zh-CN" w:bidi="ar"/>
              </w:rPr>
              <w:t>10</w:t>
            </w:r>
          </w:p>
        </w:tc>
        <w:tc>
          <w:tcPr>
            <w:tcW w:w="1286" w:type="dxa"/>
            <w:vAlign w:val="center"/>
          </w:tcPr>
          <w:p w14:paraId="2F49E951">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p>
        </w:tc>
      </w:tr>
      <w:tr w14:paraId="7AFCAF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9" w:hRule="atLeast"/>
        </w:trPr>
        <w:tc>
          <w:tcPr>
            <w:tcW w:w="1144" w:type="dxa"/>
            <w:vMerge w:val="continue"/>
            <w:tcBorders>
              <w:top w:val="nil"/>
              <w:bottom w:val="nil"/>
            </w:tcBorders>
            <w:textDirection w:val="tbRlV"/>
          </w:tcPr>
          <w:p w14:paraId="1AAC3B20">
            <w:pPr>
              <w:pStyle w:val="8"/>
            </w:pPr>
          </w:p>
        </w:tc>
        <w:tc>
          <w:tcPr>
            <w:tcW w:w="1169" w:type="dxa"/>
            <w:vMerge w:val="restart"/>
            <w:tcBorders>
              <w:bottom w:val="nil"/>
            </w:tcBorders>
          </w:tcPr>
          <w:p w14:paraId="03B9A03D">
            <w:pPr>
              <w:pStyle w:val="8"/>
              <w:spacing w:line="270" w:lineRule="auto"/>
            </w:pPr>
          </w:p>
          <w:p w14:paraId="058708D5">
            <w:pPr>
              <w:pStyle w:val="8"/>
              <w:spacing w:line="271" w:lineRule="auto"/>
            </w:pPr>
          </w:p>
          <w:p w14:paraId="18CAFCB3">
            <w:pPr>
              <w:pStyle w:val="8"/>
              <w:spacing w:line="271" w:lineRule="auto"/>
            </w:pPr>
          </w:p>
          <w:p w14:paraId="4D4BD3D2">
            <w:pPr>
              <w:pStyle w:val="8"/>
              <w:spacing w:line="271" w:lineRule="auto"/>
            </w:pPr>
          </w:p>
          <w:p w14:paraId="01C6C2AC">
            <w:pPr>
              <w:spacing w:before="65" w:line="220" w:lineRule="auto"/>
              <w:ind w:left="170"/>
              <w:rPr>
                <w:rFonts w:ascii="宋体" w:hAnsi="宋体" w:eastAsia="宋体" w:cs="宋体"/>
                <w:sz w:val="20"/>
                <w:szCs w:val="20"/>
              </w:rPr>
            </w:pPr>
            <w:r>
              <w:rPr>
                <w:rFonts w:ascii="宋体" w:hAnsi="宋体" w:eastAsia="宋体" w:cs="宋体"/>
                <w:spacing w:val="1"/>
                <w:sz w:val="20"/>
                <w:szCs w:val="20"/>
              </w:rPr>
              <w:t>效益指标</w:t>
            </w:r>
          </w:p>
          <w:p w14:paraId="06621B18">
            <w:pPr>
              <w:spacing w:before="11" w:line="220" w:lineRule="auto"/>
              <w:ind w:left="270"/>
              <w:rPr>
                <w:rFonts w:ascii="宋体" w:hAnsi="宋体" w:eastAsia="宋体" w:cs="宋体"/>
                <w:sz w:val="20"/>
                <w:szCs w:val="20"/>
              </w:rPr>
            </w:pPr>
            <w:r>
              <w:rPr>
                <w:rFonts w:ascii="宋体" w:hAnsi="宋体" w:eastAsia="宋体" w:cs="宋体"/>
                <w:spacing w:val="8"/>
                <w:sz w:val="20"/>
                <w:szCs w:val="20"/>
              </w:rPr>
              <w:t>(30分)</w:t>
            </w:r>
          </w:p>
        </w:tc>
        <w:tc>
          <w:tcPr>
            <w:tcW w:w="1109" w:type="dxa"/>
            <w:tcBorders>
              <w:bottom w:val="nil"/>
            </w:tcBorders>
          </w:tcPr>
          <w:p w14:paraId="2BF388FE">
            <w:pPr>
              <w:spacing w:before="145" w:line="216" w:lineRule="auto"/>
              <w:ind w:left="241" w:right="266"/>
              <w:rPr>
                <w:rFonts w:ascii="宋体" w:hAnsi="宋体" w:eastAsia="宋体" w:cs="宋体"/>
                <w:sz w:val="20"/>
                <w:szCs w:val="20"/>
              </w:rPr>
            </w:pPr>
            <w:r>
              <w:rPr>
                <w:rFonts w:ascii="宋体" w:hAnsi="宋体" w:eastAsia="宋体" w:cs="宋体"/>
                <w:spacing w:val="-4"/>
                <w:sz w:val="20"/>
                <w:szCs w:val="20"/>
              </w:rPr>
              <w:t>经济效益指标</w:t>
            </w:r>
          </w:p>
        </w:tc>
        <w:tc>
          <w:tcPr>
            <w:tcW w:w="1039" w:type="dxa"/>
            <w:vAlign w:val="center"/>
          </w:tcPr>
          <w:p w14:paraId="49E1CA11">
            <w:pPr>
              <w:keepNext w:val="0"/>
              <w:keepLines w:val="0"/>
              <w:widowControl/>
              <w:suppressLineNumbers w:val="0"/>
              <w:spacing w:before="0" w:beforeAutospacing="0" w:after="0" w:afterAutospacing="0" w:line="240" w:lineRule="exact"/>
              <w:ind w:left="0" w:leftChars="0" w:right="0" w:rightChars="0"/>
              <w:jc w:val="center"/>
            </w:pPr>
            <w:r>
              <w:rPr>
                <w:rFonts w:hint="eastAsia" w:ascii="Times New Roman" w:hAnsi="Times New Roman" w:eastAsia="仿宋_GB2312" w:cs="仿宋_GB2312"/>
                <w:snapToGrid w:val="0"/>
                <w:color w:val="000000"/>
                <w:kern w:val="2"/>
                <w:sz w:val="20"/>
                <w:szCs w:val="20"/>
                <w:lang w:val="en-US" w:eastAsia="zh-CN" w:bidi="ar"/>
              </w:rPr>
              <w:t>本级行政区域内村集体经济提高</w:t>
            </w:r>
          </w:p>
        </w:tc>
        <w:tc>
          <w:tcPr>
            <w:tcW w:w="1288" w:type="dxa"/>
            <w:vAlign w:val="center"/>
          </w:tcPr>
          <w:p w14:paraId="7F148312">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w:t>
            </w:r>
            <w:r>
              <w:rPr>
                <w:rFonts w:hint="default" w:ascii="Times New Roman" w:hAnsi="Times New Roman" w:eastAsia="仿宋_GB2312" w:cs="仿宋_GB2312"/>
                <w:snapToGrid w:val="0"/>
                <w:color w:val="000000"/>
                <w:kern w:val="2"/>
                <w:sz w:val="20"/>
                <w:szCs w:val="20"/>
                <w:lang w:val="en-US" w:eastAsia="zh-CN" w:bidi="ar"/>
              </w:rPr>
              <w:t>10</w:t>
            </w:r>
            <w:r>
              <w:rPr>
                <w:rFonts w:hint="eastAsia" w:ascii="Times New Roman" w:hAnsi="Times New Roman" w:eastAsia="仿宋_GB2312" w:cs="仿宋_GB2312"/>
                <w:snapToGrid w:val="0"/>
                <w:color w:val="000000"/>
                <w:kern w:val="2"/>
                <w:sz w:val="20"/>
                <w:szCs w:val="20"/>
                <w:lang w:val="en-US" w:eastAsia="zh-CN" w:bidi="ar"/>
              </w:rPr>
              <w:t>万</w:t>
            </w:r>
          </w:p>
        </w:tc>
        <w:tc>
          <w:tcPr>
            <w:tcW w:w="1129" w:type="dxa"/>
            <w:vAlign w:val="center"/>
          </w:tcPr>
          <w:p w14:paraId="6A0FAF87">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w:t>
            </w:r>
            <w:r>
              <w:rPr>
                <w:rFonts w:hint="default" w:ascii="Times New Roman" w:hAnsi="Times New Roman" w:eastAsia="仿宋_GB2312" w:cs="仿宋_GB2312"/>
                <w:snapToGrid w:val="0"/>
                <w:color w:val="000000"/>
                <w:kern w:val="2"/>
                <w:sz w:val="20"/>
                <w:szCs w:val="20"/>
                <w:lang w:val="en-US" w:eastAsia="zh-CN" w:bidi="ar"/>
              </w:rPr>
              <w:t>10</w:t>
            </w:r>
            <w:r>
              <w:rPr>
                <w:rFonts w:hint="eastAsia" w:ascii="Times New Roman" w:hAnsi="Times New Roman" w:eastAsia="仿宋_GB2312" w:cs="仿宋_GB2312"/>
                <w:snapToGrid w:val="0"/>
                <w:color w:val="000000"/>
                <w:kern w:val="2"/>
                <w:sz w:val="20"/>
                <w:szCs w:val="20"/>
                <w:lang w:val="en-US" w:eastAsia="zh-CN" w:bidi="ar"/>
              </w:rPr>
              <w:t>万</w:t>
            </w:r>
          </w:p>
        </w:tc>
        <w:tc>
          <w:tcPr>
            <w:tcW w:w="699" w:type="dxa"/>
            <w:vAlign w:val="center"/>
          </w:tcPr>
          <w:p w14:paraId="713D7803">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default" w:ascii="Times New Roman" w:hAnsi="Times New Roman" w:eastAsia="仿宋_GB2312" w:cs="仿宋_GB2312"/>
                <w:snapToGrid w:val="0"/>
                <w:color w:val="000000"/>
                <w:kern w:val="2"/>
                <w:sz w:val="20"/>
                <w:szCs w:val="20"/>
                <w:lang w:val="en-US" w:eastAsia="zh-CN" w:bidi="ar"/>
              </w:rPr>
              <w:t>10</w:t>
            </w:r>
          </w:p>
        </w:tc>
        <w:tc>
          <w:tcPr>
            <w:tcW w:w="449" w:type="dxa"/>
            <w:vAlign w:val="center"/>
          </w:tcPr>
          <w:p w14:paraId="2D0DCC4E">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default" w:ascii="Times New Roman" w:hAnsi="Times New Roman" w:eastAsia="仿宋_GB2312" w:cs="仿宋_GB2312"/>
                <w:snapToGrid w:val="0"/>
                <w:color w:val="000000"/>
                <w:kern w:val="2"/>
                <w:sz w:val="20"/>
                <w:szCs w:val="20"/>
                <w:lang w:val="en-US" w:eastAsia="zh-CN" w:bidi="ar"/>
              </w:rPr>
              <w:t>10</w:t>
            </w:r>
          </w:p>
        </w:tc>
        <w:tc>
          <w:tcPr>
            <w:tcW w:w="1286" w:type="dxa"/>
          </w:tcPr>
          <w:p w14:paraId="42ADBC70">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p>
        </w:tc>
      </w:tr>
      <w:tr w14:paraId="3F05C6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9" w:hRule="atLeast"/>
        </w:trPr>
        <w:tc>
          <w:tcPr>
            <w:tcW w:w="1144" w:type="dxa"/>
            <w:vMerge w:val="continue"/>
            <w:tcBorders>
              <w:top w:val="nil"/>
              <w:bottom w:val="nil"/>
            </w:tcBorders>
            <w:textDirection w:val="tbRlV"/>
          </w:tcPr>
          <w:p w14:paraId="3FD58E26">
            <w:pPr>
              <w:pStyle w:val="8"/>
            </w:pPr>
          </w:p>
        </w:tc>
        <w:tc>
          <w:tcPr>
            <w:tcW w:w="1169" w:type="dxa"/>
            <w:vMerge w:val="continue"/>
            <w:tcBorders>
              <w:top w:val="nil"/>
              <w:bottom w:val="nil"/>
            </w:tcBorders>
          </w:tcPr>
          <w:p w14:paraId="2ABB277D">
            <w:pPr>
              <w:pStyle w:val="8"/>
            </w:pPr>
          </w:p>
        </w:tc>
        <w:tc>
          <w:tcPr>
            <w:tcW w:w="1109" w:type="dxa"/>
            <w:tcBorders>
              <w:bottom w:val="nil"/>
            </w:tcBorders>
          </w:tcPr>
          <w:p w14:paraId="0BD9EDA5">
            <w:pPr>
              <w:spacing w:before="124" w:line="226" w:lineRule="auto"/>
              <w:ind w:left="241" w:right="266"/>
              <w:rPr>
                <w:rFonts w:ascii="宋体" w:hAnsi="宋体" w:eastAsia="宋体" w:cs="宋体"/>
                <w:sz w:val="20"/>
                <w:szCs w:val="20"/>
              </w:rPr>
            </w:pPr>
            <w:r>
              <w:rPr>
                <w:rFonts w:ascii="宋体" w:hAnsi="宋体" w:eastAsia="宋体" w:cs="宋体"/>
                <w:spacing w:val="-4"/>
                <w:sz w:val="20"/>
                <w:szCs w:val="20"/>
              </w:rPr>
              <w:t>社会效益指标</w:t>
            </w:r>
          </w:p>
        </w:tc>
        <w:tc>
          <w:tcPr>
            <w:tcW w:w="1039" w:type="dxa"/>
            <w:vAlign w:val="center"/>
          </w:tcPr>
          <w:p w14:paraId="0550605B">
            <w:pPr>
              <w:keepNext w:val="0"/>
              <w:keepLines w:val="0"/>
              <w:widowControl/>
              <w:suppressLineNumbers w:val="0"/>
              <w:spacing w:before="0" w:beforeAutospacing="0" w:after="0" w:afterAutospacing="0" w:line="240" w:lineRule="exact"/>
              <w:ind w:left="0" w:leftChars="0" w:right="0" w:rightChars="0"/>
              <w:jc w:val="center"/>
            </w:pPr>
            <w:r>
              <w:rPr>
                <w:rFonts w:hint="eastAsia" w:ascii="Times New Roman" w:hAnsi="Times New Roman" w:eastAsia="仿宋_GB2312" w:cs="仿宋_GB2312"/>
                <w:snapToGrid w:val="0"/>
                <w:color w:val="000000"/>
                <w:kern w:val="2"/>
                <w:sz w:val="20"/>
                <w:szCs w:val="20"/>
                <w:lang w:val="en-US" w:eastAsia="zh-CN" w:bidi="ar"/>
              </w:rPr>
              <w:t>本级行政区域居民生活有效改善</w:t>
            </w:r>
          </w:p>
        </w:tc>
        <w:tc>
          <w:tcPr>
            <w:tcW w:w="1288" w:type="dxa"/>
            <w:vAlign w:val="center"/>
          </w:tcPr>
          <w:p w14:paraId="710F4097">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效果明显</w:t>
            </w:r>
          </w:p>
        </w:tc>
        <w:tc>
          <w:tcPr>
            <w:tcW w:w="1129" w:type="dxa"/>
            <w:vAlign w:val="center"/>
          </w:tcPr>
          <w:p w14:paraId="4796C437">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本级行政区域居民生活水平提高</w:t>
            </w:r>
          </w:p>
        </w:tc>
        <w:tc>
          <w:tcPr>
            <w:tcW w:w="699" w:type="dxa"/>
            <w:vAlign w:val="center"/>
          </w:tcPr>
          <w:p w14:paraId="54EB95E0">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default" w:ascii="Times New Roman" w:hAnsi="Times New Roman" w:eastAsia="仿宋_GB2312" w:cs="仿宋_GB2312"/>
                <w:snapToGrid w:val="0"/>
                <w:color w:val="000000"/>
                <w:kern w:val="2"/>
                <w:sz w:val="20"/>
                <w:szCs w:val="20"/>
                <w:lang w:val="en-US" w:eastAsia="zh-CN" w:bidi="ar"/>
              </w:rPr>
              <w:t>10</w:t>
            </w:r>
          </w:p>
        </w:tc>
        <w:tc>
          <w:tcPr>
            <w:tcW w:w="449" w:type="dxa"/>
            <w:vAlign w:val="center"/>
          </w:tcPr>
          <w:p w14:paraId="30991010">
            <w:pPr>
              <w:keepNext w:val="0"/>
              <w:keepLines w:val="0"/>
              <w:widowControl/>
              <w:suppressLineNumbers w:val="0"/>
              <w:spacing w:before="0" w:beforeAutospacing="0" w:after="0" w:afterAutospacing="0" w:line="240" w:lineRule="exact"/>
              <w:ind w:left="0" w:leftChars="0" w:right="0" w:rightChars="0"/>
              <w:jc w:val="center"/>
              <w:rPr>
                <w:rFonts w:hint="default"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10</w:t>
            </w:r>
          </w:p>
        </w:tc>
        <w:tc>
          <w:tcPr>
            <w:tcW w:w="1286" w:type="dxa"/>
          </w:tcPr>
          <w:p w14:paraId="44062DD6">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p>
        </w:tc>
      </w:tr>
      <w:tr w14:paraId="49B7D3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9" w:hRule="atLeast"/>
        </w:trPr>
        <w:tc>
          <w:tcPr>
            <w:tcW w:w="1144" w:type="dxa"/>
            <w:vMerge w:val="continue"/>
            <w:tcBorders>
              <w:top w:val="nil"/>
              <w:bottom w:val="nil"/>
            </w:tcBorders>
            <w:textDirection w:val="tbRlV"/>
          </w:tcPr>
          <w:p w14:paraId="4B08171A">
            <w:pPr>
              <w:pStyle w:val="8"/>
            </w:pPr>
          </w:p>
        </w:tc>
        <w:tc>
          <w:tcPr>
            <w:tcW w:w="1169" w:type="dxa"/>
            <w:vMerge w:val="continue"/>
            <w:tcBorders>
              <w:top w:val="nil"/>
              <w:bottom w:val="nil"/>
            </w:tcBorders>
          </w:tcPr>
          <w:p w14:paraId="53DBA150">
            <w:pPr>
              <w:pStyle w:val="8"/>
            </w:pPr>
          </w:p>
        </w:tc>
        <w:tc>
          <w:tcPr>
            <w:tcW w:w="1109" w:type="dxa"/>
            <w:tcBorders>
              <w:bottom w:val="nil"/>
            </w:tcBorders>
          </w:tcPr>
          <w:p w14:paraId="4C98ADFA">
            <w:pPr>
              <w:spacing w:before="145" w:line="212" w:lineRule="auto"/>
              <w:ind w:left="241" w:right="266"/>
              <w:rPr>
                <w:rFonts w:ascii="宋体" w:hAnsi="宋体" w:eastAsia="宋体" w:cs="宋体"/>
                <w:sz w:val="20"/>
                <w:szCs w:val="20"/>
              </w:rPr>
            </w:pPr>
            <w:r>
              <w:rPr>
                <w:rFonts w:ascii="宋体" w:hAnsi="宋体" w:eastAsia="宋体" w:cs="宋体"/>
                <w:spacing w:val="-4"/>
                <w:sz w:val="20"/>
                <w:szCs w:val="20"/>
              </w:rPr>
              <w:t>生态效益指标</w:t>
            </w:r>
          </w:p>
        </w:tc>
        <w:tc>
          <w:tcPr>
            <w:tcW w:w="1039" w:type="dxa"/>
            <w:vAlign w:val="center"/>
          </w:tcPr>
          <w:p w14:paraId="1333583E">
            <w:pPr>
              <w:keepNext w:val="0"/>
              <w:keepLines w:val="0"/>
              <w:widowControl/>
              <w:suppressLineNumbers w:val="0"/>
              <w:spacing w:before="0" w:beforeAutospacing="0" w:after="0" w:afterAutospacing="0" w:line="240" w:lineRule="exact"/>
              <w:ind w:left="0" w:leftChars="0" w:right="0" w:rightChars="0"/>
              <w:jc w:val="center"/>
            </w:pPr>
            <w:r>
              <w:rPr>
                <w:rFonts w:hint="eastAsia" w:ascii="Times New Roman" w:hAnsi="Times New Roman" w:eastAsia="仿宋_GB2312" w:cs="仿宋_GB2312"/>
                <w:snapToGrid w:val="0"/>
                <w:color w:val="000000"/>
                <w:kern w:val="2"/>
                <w:sz w:val="20"/>
                <w:szCs w:val="20"/>
                <w:lang w:val="en-US" w:eastAsia="zh-CN" w:bidi="ar"/>
              </w:rPr>
              <w:t>本级行政区域环境有效改善</w:t>
            </w:r>
          </w:p>
        </w:tc>
        <w:tc>
          <w:tcPr>
            <w:tcW w:w="1288" w:type="dxa"/>
            <w:vAlign w:val="center"/>
          </w:tcPr>
          <w:p w14:paraId="500085EC">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效果明显</w:t>
            </w:r>
          </w:p>
        </w:tc>
        <w:tc>
          <w:tcPr>
            <w:tcW w:w="1129" w:type="dxa"/>
            <w:vAlign w:val="center"/>
          </w:tcPr>
          <w:p w14:paraId="7455AC47">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本级行政区域环境明显改善，人居环境建设水平提高</w:t>
            </w:r>
          </w:p>
        </w:tc>
        <w:tc>
          <w:tcPr>
            <w:tcW w:w="699" w:type="dxa"/>
            <w:vAlign w:val="center"/>
          </w:tcPr>
          <w:p w14:paraId="78367B7F">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default" w:ascii="Times New Roman" w:hAnsi="Times New Roman" w:eastAsia="仿宋_GB2312" w:cs="仿宋_GB2312"/>
                <w:snapToGrid w:val="0"/>
                <w:color w:val="000000"/>
                <w:kern w:val="2"/>
                <w:sz w:val="20"/>
                <w:szCs w:val="20"/>
                <w:lang w:val="en-US" w:eastAsia="zh-CN" w:bidi="ar"/>
              </w:rPr>
              <w:t>10</w:t>
            </w:r>
          </w:p>
        </w:tc>
        <w:tc>
          <w:tcPr>
            <w:tcW w:w="449" w:type="dxa"/>
            <w:vAlign w:val="center"/>
          </w:tcPr>
          <w:p w14:paraId="4E0B791C">
            <w:pPr>
              <w:keepNext w:val="0"/>
              <w:keepLines w:val="0"/>
              <w:widowControl/>
              <w:suppressLineNumbers w:val="0"/>
              <w:spacing w:before="0" w:beforeAutospacing="0" w:after="0" w:afterAutospacing="0" w:line="240" w:lineRule="exact"/>
              <w:ind w:left="0" w:leftChars="0" w:right="0" w:rightChars="0"/>
              <w:jc w:val="center"/>
              <w:rPr>
                <w:rFonts w:hint="default"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10</w:t>
            </w:r>
          </w:p>
        </w:tc>
        <w:tc>
          <w:tcPr>
            <w:tcW w:w="1286" w:type="dxa"/>
          </w:tcPr>
          <w:p w14:paraId="7305EFF4">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p>
        </w:tc>
      </w:tr>
      <w:tr w14:paraId="6761F7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9" w:hRule="atLeast"/>
        </w:trPr>
        <w:tc>
          <w:tcPr>
            <w:tcW w:w="1144" w:type="dxa"/>
            <w:vMerge w:val="continue"/>
            <w:tcBorders>
              <w:top w:val="nil"/>
              <w:bottom w:val="nil"/>
            </w:tcBorders>
            <w:textDirection w:val="tbRlV"/>
          </w:tcPr>
          <w:p w14:paraId="662960A2">
            <w:pPr>
              <w:pStyle w:val="8"/>
            </w:pPr>
          </w:p>
        </w:tc>
        <w:tc>
          <w:tcPr>
            <w:tcW w:w="1169" w:type="dxa"/>
            <w:vMerge w:val="continue"/>
            <w:tcBorders>
              <w:top w:val="nil"/>
              <w:bottom w:val="nil"/>
            </w:tcBorders>
          </w:tcPr>
          <w:p w14:paraId="6D084585">
            <w:pPr>
              <w:pStyle w:val="8"/>
            </w:pPr>
          </w:p>
        </w:tc>
        <w:tc>
          <w:tcPr>
            <w:tcW w:w="1109" w:type="dxa"/>
            <w:tcBorders>
              <w:bottom w:val="nil"/>
            </w:tcBorders>
          </w:tcPr>
          <w:p w14:paraId="2DCFC398">
            <w:pPr>
              <w:spacing w:before="87" w:line="219" w:lineRule="auto"/>
              <w:ind w:left="141"/>
              <w:rPr>
                <w:rFonts w:ascii="宋体" w:hAnsi="宋体" w:eastAsia="宋体" w:cs="宋体"/>
                <w:sz w:val="20"/>
                <w:szCs w:val="20"/>
              </w:rPr>
            </w:pPr>
            <w:r>
              <w:rPr>
                <w:rFonts w:ascii="宋体" w:hAnsi="宋体" w:eastAsia="宋体" w:cs="宋体"/>
                <w:spacing w:val="-2"/>
                <w:sz w:val="20"/>
                <w:szCs w:val="20"/>
              </w:rPr>
              <w:t>可持续影</w:t>
            </w:r>
          </w:p>
          <w:p w14:paraId="516256D9">
            <w:pPr>
              <w:spacing w:before="23" w:line="220" w:lineRule="auto"/>
              <w:ind w:left="241"/>
              <w:rPr>
                <w:rFonts w:ascii="宋体" w:hAnsi="宋体" w:eastAsia="宋体" w:cs="宋体"/>
                <w:sz w:val="20"/>
                <w:szCs w:val="20"/>
              </w:rPr>
            </w:pPr>
            <w:r>
              <w:rPr>
                <w:rFonts w:ascii="宋体" w:hAnsi="宋体" w:eastAsia="宋体" w:cs="宋体"/>
                <w:spacing w:val="2"/>
                <w:sz w:val="20"/>
                <w:szCs w:val="20"/>
              </w:rPr>
              <w:t>响指标</w:t>
            </w:r>
          </w:p>
        </w:tc>
        <w:tc>
          <w:tcPr>
            <w:tcW w:w="1039" w:type="dxa"/>
          </w:tcPr>
          <w:p w14:paraId="6AE4D4D5">
            <w:pPr>
              <w:pStyle w:val="8"/>
              <w:jc w:val="center"/>
              <w:rPr>
                <w:rFonts w:hint="eastAsia"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持续提高服务职能水平</w:t>
            </w:r>
          </w:p>
        </w:tc>
        <w:tc>
          <w:tcPr>
            <w:tcW w:w="1288" w:type="dxa"/>
          </w:tcPr>
          <w:p w14:paraId="24480EC7">
            <w:pPr>
              <w:pStyle w:val="8"/>
              <w:keepNext w:val="0"/>
              <w:keepLines w:val="0"/>
              <w:pageBreakBefore w:val="0"/>
              <w:widowControl/>
              <w:kinsoku w:val="0"/>
              <w:wordWrap/>
              <w:overflowPunct/>
              <w:topLinePunct w:val="0"/>
              <w:autoSpaceDE w:val="0"/>
              <w:autoSpaceDN w:val="0"/>
              <w:bidi w:val="0"/>
              <w:adjustRightInd w:val="0"/>
              <w:snapToGrid w:val="0"/>
              <w:spacing w:before="120"/>
              <w:jc w:val="center"/>
              <w:textAlignment w:val="baseline"/>
              <w:rPr>
                <w:rFonts w:hint="eastAsia"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效果明显</w:t>
            </w:r>
          </w:p>
        </w:tc>
        <w:tc>
          <w:tcPr>
            <w:tcW w:w="1129" w:type="dxa"/>
          </w:tcPr>
          <w:p w14:paraId="1110E5B1">
            <w:pPr>
              <w:pStyle w:val="8"/>
              <w:jc w:val="center"/>
              <w:rPr>
                <w:rFonts w:hint="eastAsia"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持续提高服务职能水平</w:t>
            </w:r>
          </w:p>
        </w:tc>
        <w:tc>
          <w:tcPr>
            <w:tcW w:w="699" w:type="dxa"/>
          </w:tcPr>
          <w:p w14:paraId="1ACF2760">
            <w:pPr>
              <w:pStyle w:val="8"/>
              <w:keepNext w:val="0"/>
              <w:keepLines w:val="0"/>
              <w:pageBreakBefore w:val="0"/>
              <w:widowControl/>
              <w:kinsoku w:val="0"/>
              <w:wordWrap/>
              <w:overflowPunct/>
              <w:topLinePunct w:val="0"/>
              <w:autoSpaceDE w:val="0"/>
              <w:autoSpaceDN w:val="0"/>
              <w:bidi w:val="0"/>
              <w:adjustRightInd w:val="0"/>
              <w:snapToGrid w:val="0"/>
              <w:spacing w:before="120"/>
              <w:jc w:val="center"/>
              <w:textAlignment w:val="baseline"/>
              <w:rPr>
                <w:rFonts w:hint="default"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10</w:t>
            </w:r>
          </w:p>
        </w:tc>
        <w:tc>
          <w:tcPr>
            <w:tcW w:w="449" w:type="dxa"/>
          </w:tcPr>
          <w:p w14:paraId="61473D72">
            <w:pPr>
              <w:pStyle w:val="8"/>
              <w:keepNext w:val="0"/>
              <w:keepLines w:val="0"/>
              <w:pageBreakBefore w:val="0"/>
              <w:widowControl/>
              <w:kinsoku w:val="0"/>
              <w:wordWrap/>
              <w:overflowPunct/>
              <w:topLinePunct w:val="0"/>
              <w:autoSpaceDE w:val="0"/>
              <w:autoSpaceDN w:val="0"/>
              <w:bidi w:val="0"/>
              <w:adjustRightInd w:val="0"/>
              <w:snapToGrid w:val="0"/>
              <w:spacing w:before="120"/>
              <w:jc w:val="center"/>
              <w:textAlignment w:val="baseline"/>
              <w:rPr>
                <w:rFonts w:hint="default"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10</w:t>
            </w:r>
          </w:p>
        </w:tc>
        <w:tc>
          <w:tcPr>
            <w:tcW w:w="1286" w:type="dxa"/>
          </w:tcPr>
          <w:p w14:paraId="3AACD8C7">
            <w:pPr>
              <w:pStyle w:val="8"/>
              <w:jc w:val="center"/>
              <w:rPr>
                <w:rFonts w:hint="eastAsia" w:ascii="Times New Roman" w:hAnsi="Times New Roman" w:eastAsia="仿宋_GB2312" w:cs="仿宋_GB2312"/>
                <w:snapToGrid w:val="0"/>
                <w:color w:val="000000"/>
                <w:kern w:val="2"/>
                <w:sz w:val="20"/>
                <w:szCs w:val="20"/>
                <w:lang w:val="en-US" w:eastAsia="zh-CN" w:bidi="ar"/>
              </w:rPr>
            </w:pPr>
          </w:p>
        </w:tc>
      </w:tr>
      <w:tr w14:paraId="40E940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0" w:hRule="atLeast"/>
        </w:trPr>
        <w:tc>
          <w:tcPr>
            <w:tcW w:w="1144" w:type="dxa"/>
            <w:vMerge w:val="continue"/>
            <w:tcBorders>
              <w:top w:val="nil"/>
              <w:bottom w:val="nil"/>
            </w:tcBorders>
            <w:textDirection w:val="tbRlV"/>
          </w:tcPr>
          <w:p w14:paraId="60DBC349">
            <w:pPr>
              <w:pStyle w:val="8"/>
            </w:pPr>
          </w:p>
        </w:tc>
        <w:tc>
          <w:tcPr>
            <w:tcW w:w="1169" w:type="dxa"/>
            <w:tcBorders>
              <w:bottom w:val="nil"/>
            </w:tcBorders>
          </w:tcPr>
          <w:p w14:paraId="73C05C14">
            <w:pPr>
              <w:spacing w:before="48" w:line="219" w:lineRule="auto"/>
              <w:ind w:left="270"/>
              <w:rPr>
                <w:rFonts w:ascii="宋体" w:hAnsi="宋体" w:eastAsia="宋体" w:cs="宋体"/>
                <w:sz w:val="20"/>
                <w:szCs w:val="20"/>
              </w:rPr>
            </w:pPr>
            <w:r>
              <w:rPr>
                <w:rFonts w:ascii="宋体" w:hAnsi="宋体" w:eastAsia="宋体" w:cs="宋体"/>
                <w:spacing w:val="-2"/>
                <w:sz w:val="20"/>
                <w:szCs w:val="20"/>
              </w:rPr>
              <w:t>满意度</w:t>
            </w:r>
          </w:p>
          <w:p w14:paraId="3562AA07">
            <w:pPr>
              <w:spacing w:before="2" w:line="185" w:lineRule="auto"/>
              <w:ind w:left="370"/>
              <w:rPr>
                <w:rFonts w:ascii="宋体" w:hAnsi="宋体" w:eastAsia="宋体" w:cs="宋体"/>
                <w:sz w:val="20"/>
                <w:szCs w:val="20"/>
              </w:rPr>
            </w:pPr>
            <w:r>
              <w:rPr>
                <w:rFonts w:ascii="宋体" w:hAnsi="宋体" w:eastAsia="宋体" w:cs="宋体"/>
                <w:spacing w:val="-3"/>
                <w:sz w:val="20"/>
                <w:szCs w:val="20"/>
              </w:rPr>
              <w:t>指标</w:t>
            </w:r>
          </w:p>
          <w:p w14:paraId="528A1EDC">
            <w:pPr>
              <w:spacing w:before="1" w:line="194" w:lineRule="auto"/>
              <w:ind w:left="270"/>
              <w:rPr>
                <w:rFonts w:ascii="宋体" w:hAnsi="宋体" w:eastAsia="宋体" w:cs="宋体"/>
                <w:sz w:val="20"/>
                <w:szCs w:val="20"/>
              </w:rPr>
            </w:pPr>
            <w:r>
              <w:rPr>
                <w:rFonts w:ascii="宋体" w:hAnsi="宋体" w:eastAsia="宋体" w:cs="宋体"/>
                <w:spacing w:val="8"/>
                <w:sz w:val="20"/>
                <w:szCs w:val="20"/>
              </w:rPr>
              <w:t>(10分)</w:t>
            </w:r>
          </w:p>
        </w:tc>
        <w:tc>
          <w:tcPr>
            <w:tcW w:w="1109" w:type="dxa"/>
            <w:tcBorders>
              <w:bottom w:val="nil"/>
            </w:tcBorders>
          </w:tcPr>
          <w:p w14:paraId="22AA35ED">
            <w:pPr>
              <w:spacing w:before="28" w:line="219" w:lineRule="auto"/>
              <w:ind w:left="141"/>
              <w:rPr>
                <w:rFonts w:ascii="宋体" w:hAnsi="宋体" w:eastAsia="宋体" w:cs="宋体"/>
                <w:sz w:val="20"/>
                <w:szCs w:val="20"/>
              </w:rPr>
            </w:pPr>
            <w:r>
              <w:rPr>
                <w:rFonts w:ascii="宋体" w:hAnsi="宋体" w:eastAsia="宋体" w:cs="宋体"/>
                <w:spacing w:val="-2"/>
                <w:sz w:val="20"/>
                <w:szCs w:val="20"/>
              </w:rPr>
              <w:t>服务对象</w:t>
            </w:r>
          </w:p>
          <w:p w14:paraId="7650F135">
            <w:pPr>
              <w:spacing w:before="12" w:line="204" w:lineRule="auto"/>
              <w:ind w:left="141"/>
              <w:rPr>
                <w:rFonts w:ascii="宋体" w:hAnsi="宋体" w:eastAsia="宋体" w:cs="宋体"/>
                <w:sz w:val="20"/>
                <w:szCs w:val="20"/>
              </w:rPr>
            </w:pPr>
            <w:r>
              <w:rPr>
                <w:rFonts w:ascii="宋体" w:hAnsi="宋体" w:eastAsia="宋体" w:cs="宋体"/>
                <w:spacing w:val="3"/>
                <w:sz w:val="20"/>
                <w:szCs w:val="20"/>
              </w:rPr>
              <w:t>满意度指</w:t>
            </w:r>
          </w:p>
          <w:p w14:paraId="05E5754E">
            <w:pPr>
              <w:spacing w:line="185" w:lineRule="auto"/>
              <w:ind w:left="441"/>
              <w:rPr>
                <w:rFonts w:ascii="宋体" w:hAnsi="宋体" w:eastAsia="宋体" w:cs="宋体"/>
                <w:sz w:val="20"/>
                <w:szCs w:val="20"/>
              </w:rPr>
            </w:pPr>
            <w:r>
              <w:rPr>
                <w:rFonts w:ascii="宋体" w:hAnsi="宋体" w:eastAsia="宋体" w:cs="宋体"/>
                <w:sz w:val="20"/>
                <w:szCs w:val="20"/>
              </w:rPr>
              <w:t>标</w:t>
            </w:r>
          </w:p>
        </w:tc>
        <w:tc>
          <w:tcPr>
            <w:tcW w:w="1039" w:type="dxa"/>
            <w:vAlign w:val="center"/>
          </w:tcPr>
          <w:p w14:paraId="7AB86040">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本级行政区域内全体居民满意度</w:t>
            </w:r>
          </w:p>
        </w:tc>
        <w:tc>
          <w:tcPr>
            <w:tcW w:w="1288" w:type="dxa"/>
            <w:vAlign w:val="center"/>
          </w:tcPr>
          <w:p w14:paraId="708F977C">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　</w:t>
            </w:r>
            <w:r>
              <w:rPr>
                <w:rFonts w:hint="default" w:ascii="Times New Roman" w:hAnsi="Times New Roman" w:eastAsia="仿宋_GB2312" w:cs="仿宋_GB2312"/>
                <w:snapToGrid w:val="0"/>
                <w:color w:val="000000"/>
                <w:kern w:val="2"/>
                <w:sz w:val="20"/>
                <w:szCs w:val="20"/>
                <w:lang w:val="en-US" w:eastAsia="zh-CN" w:bidi="ar"/>
              </w:rPr>
              <w:t>90%</w:t>
            </w:r>
          </w:p>
        </w:tc>
        <w:tc>
          <w:tcPr>
            <w:tcW w:w="1129" w:type="dxa"/>
            <w:vAlign w:val="center"/>
          </w:tcPr>
          <w:p w14:paraId="05B707C9">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　</w:t>
            </w:r>
            <w:r>
              <w:rPr>
                <w:rFonts w:hint="default" w:ascii="Times New Roman" w:hAnsi="Times New Roman" w:eastAsia="仿宋_GB2312" w:cs="仿宋_GB2312"/>
                <w:snapToGrid w:val="0"/>
                <w:color w:val="000000"/>
                <w:kern w:val="2"/>
                <w:sz w:val="20"/>
                <w:szCs w:val="20"/>
                <w:lang w:val="en-US" w:eastAsia="zh-CN" w:bidi="ar"/>
              </w:rPr>
              <w:t>95%</w:t>
            </w:r>
          </w:p>
        </w:tc>
        <w:tc>
          <w:tcPr>
            <w:tcW w:w="699" w:type="dxa"/>
            <w:vAlign w:val="center"/>
          </w:tcPr>
          <w:p w14:paraId="304FB9E0">
            <w:pPr>
              <w:keepNext w:val="0"/>
              <w:keepLines w:val="0"/>
              <w:widowControl/>
              <w:suppressLineNumbers w:val="0"/>
              <w:spacing w:before="0" w:beforeAutospacing="0" w:after="0" w:afterAutospacing="0" w:line="240" w:lineRule="exact"/>
              <w:ind w:left="0" w:leftChars="0" w:right="0" w:rightChars="0"/>
              <w:jc w:val="both"/>
              <w:rPr>
                <w:rFonts w:hint="eastAsia"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　</w:t>
            </w:r>
            <w:r>
              <w:rPr>
                <w:rFonts w:hint="default" w:ascii="Times New Roman" w:hAnsi="Times New Roman" w:eastAsia="仿宋_GB2312" w:cs="仿宋_GB2312"/>
                <w:snapToGrid w:val="0"/>
                <w:color w:val="000000"/>
                <w:kern w:val="2"/>
                <w:sz w:val="20"/>
                <w:szCs w:val="20"/>
                <w:lang w:val="en-US" w:eastAsia="zh-CN" w:bidi="ar"/>
              </w:rPr>
              <w:t>10</w:t>
            </w:r>
          </w:p>
        </w:tc>
        <w:tc>
          <w:tcPr>
            <w:tcW w:w="449" w:type="dxa"/>
            <w:vAlign w:val="center"/>
          </w:tcPr>
          <w:p w14:paraId="740A9075">
            <w:pPr>
              <w:keepNext w:val="0"/>
              <w:keepLines w:val="0"/>
              <w:widowControl/>
              <w:suppressLineNumbers w:val="0"/>
              <w:spacing w:before="0" w:beforeAutospacing="0" w:after="0" w:afterAutospacing="0" w:line="240" w:lineRule="exact"/>
              <w:ind w:left="0" w:leftChars="0" w:right="0" w:rightChars="0"/>
              <w:jc w:val="both"/>
              <w:rPr>
                <w:rFonts w:hint="eastAsia" w:ascii="Times New Roman" w:hAnsi="Times New Roman" w:eastAsia="仿宋_GB2312" w:cs="仿宋_GB2312"/>
                <w:snapToGrid w:val="0"/>
                <w:color w:val="000000"/>
                <w:kern w:val="2"/>
                <w:sz w:val="20"/>
                <w:szCs w:val="20"/>
                <w:lang w:val="en-US" w:eastAsia="zh-CN" w:bidi="ar"/>
              </w:rPr>
            </w:pPr>
            <w:r>
              <w:rPr>
                <w:rFonts w:hint="eastAsia" w:ascii="Times New Roman" w:hAnsi="Times New Roman" w:eastAsia="仿宋_GB2312" w:cs="仿宋_GB2312"/>
                <w:snapToGrid w:val="0"/>
                <w:color w:val="000000"/>
                <w:kern w:val="2"/>
                <w:sz w:val="20"/>
                <w:szCs w:val="20"/>
                <w:lang w:val="en-US" w:eastAsia="zh-CN" w:bidi="ar"/>
              </w:rPr>
              <w:t>　</w:t>
            </w:r>
            <w:r>
              <w:rPr>
                <w:rFonts w:hint="default" w:ascii="Times New Roman" w:hAnsi="Times New Roman" w:eastAsia="仿宋_GB2312" w:cs="仿宋_GB2312"/>
                <w:snapToGrid w:val="0"/>
                <w:color w:val="000000"/>
                <w:kern w:val="2"/>
                <w:sz w:val="20"/>
                <w:szCs w:val="20"/>
                <w:lang w:val="en-US" w:eastAsia="zh-CN" w:bidi="ar"/>
              </w:rPr>
              <w:t>10</w:t>
            </w:r>
          </w:p>
        </w:tc>
        <w:tc>
          <w:tcPr>
            <w:tcW w:w="1286" w:type="dxa"/>
          </w:tcPr>
          <w:p w14:paraId="0582A6B4">
            <w:pPr>
              <w:keepNext w:val="0"/>
              <w:keepLines w:val="0"/>
              <w:widowControl/>
              <w:suppressLineNumbers w:val="0"/>
              <w:spacing w:before="0" w:beforeAutospacing="0" w:after="0" w:afterAutospacing="0" w:line="240" w:lineRule="exact"/>
              <w:ind w:left="0" w:leftChars="0" w:right="0" w:rightChars="0"/>
              <w:jc w:val="center"/>
              <w:rPr>
                <w:rFonts w:hint="eastAsia" w:ascii="Times New Roman" w:hAnsi="Times New Roman" w:eastAsia="仿宋_GB2312" w:cs="仿宋_GB2312"/>
                <w:snapToGrid w:val="0"/>
                <w:color w:val="000000"/>
                <w:kern w:val="2"/>
                <w:sz w:val="20"/>
                <w:szCs w:val="20"/>
                <w:lang w:val="en-US" w:eastAsia="zh-CN" w:bidi="ar"/>
              </w:rPr>
            </w:pPr>
          </w:p>
        </w:tc>
      </w:tr>
      <w:tr w14:paraId="6FED26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6878" w:type="dxa"/>
            <w:gridSpan w:val="6"/>
          </w:tcPr>
          <w:p w14:paraId="3341A3D8">
            <w:pPr>
              <w:spacing w:before="78" w:line="220" w:lineRule="auto"/>
              <w:ind w:left="3254"/>
              <w:rPr>
                <w:rFonts w:ascii="宋体" w:hAnsi="宋体" w:eastAsia="宋体" w:cs="宋体"/>
                <w:sz w:val="20"/>
                <w:szCs w:val="20"/>
              </w:rPr>
            </w:pPr>
            <w:r>
              <w:rPr>
                <w:rFonts w:ascii="宋体" w:hAnsi="宋体" w:eastAsia="宋体" w:cs="宋体"/>
                <w:spacing w:val="4"/>
                <w:sz w:val="20"/>
                <w:szCs w:val="20"/>
              </w:rPr>
              <w:t>总分</w:t>
            </w:r>
          </w:p>
        </w:tc>
        <w:tc>
          <w:tcPr>
            <w:tcW w:w="699" w:type="dxa"/>
          </w:tcPr>
          <w:p w14:paraId="39204901">
            <w:pPr>
              <w:spacing w:before="128" w:line="184" w:lineRule="auto"/>
              <w:ind w:left="196"/>
              <w:rPr>
                <w:rFonts w:ascii="宋体" w:hAnsi="宋体" w:eastAsia="宋体" w:cs="宋体"/>
                <w:sz w:val="20"/>
                <w:szCs w:val="20"/>
              </w:rPr>
            </w:pPr>
            <w:r>
              <w:rPr>
                <w:rFonts w:ascii="宋体" w:hAnsi="宋体" w:eastAsia="宋体" w:cs="宋体"/>
                <w:spacing w:val="-6"/>
                <w:sz w:val="20"/>
                <w:szCs w:val="20"/>
              </w:rPr>
              <w:t>100</w:t>
            </w:r>
          </w:p>
        </w:tc>
        <w:tc>
          <w:tcPr>
            <w:tcW w:w="449" w:type="dxa"/>
          </w:tcPr>
          <w:p w14:paraId="2AC46B93">
            <w:pPr>
              <w:pStyle w:val="8"/>
              <w:keepNext w:val="0"/>
              <w:keepLines w:val="0"/>
              <w:pageBreakBefore w:val="0"/>
              <w:widowControl/>
              <w:kinsoku w:val="0"/>
              <w:wordWrap/>
              <w:overflowPunct/>
              <w:topLinePunct w:val="0"/>
              <w:autoSpaceDE w:val="0"/>
              <w:autoSpaceDN w:val="0"/>
              <w:bidi w:val="0"/>
              <w:adjustRightInd w:val="0"/>
              <w:snapToGrid w:val="0"/>
              <w:spacing w:before="80"/>
              <w:jc w:val="center"/>
              <w:textAlignment w:val="baseline"/>
              <w:rPr>
                <w:rFonts w:hint="default" w:eastAsia="宋体"/>
                <w:lang w:val="en-US" w:eastAsia="zh-CN"/>
              </w:rPr>
            </w:pPr>
            <w:r>
              <w:rPr>
                <w:rFonts w:hint="eastAsia" w:ascii="宋体" w:hAnsi="宋体" w:eastAsia="宋体" w:cs="宋体"/>
                <w:snapToGrid w:val="0"/>
                <w:color w:val="000000"/>
                <w:spacing w:val="-6"/>
                <w:sz w:val="20"/>
                <w:szCs w:val="20"/>
                <w:lang w:val="en-US" w:eastAsia="zh-CN" w:bidi="ar-SA"/>
              </w:rPr>
              <w:t>98</w:t>
            </w:r>
          </w:p>
        </w:tc>
        <w:tc>
          <w:tcPr>
            <w:tcW w:w="1286" w:type="dxa"/>
          </w:tcPr>
          <w:p w14:paraId="2453746E">
            <w:pPr>
              <w:pStyle w:val="8"/>
            </w:pPr>
          </w:p>
        </w:tc>
      </w:tr>
    </w:tbl>
    <w:p w14:paraId="6716C7A3">
      <w:pPr>
        <w:pStyle w:val="2"/>
        <w:keepNext w:val="0"/>
        <w:keepLines w:val="0"/>
        <w:pageBreakBefore w:val="0"/>
        <w:widowControl/>
        <w:kinsoku w:val="0"/>
        <w:wordWrap/>
        <w:overflowPunct/>
        <w:topLinePunct w:val="0"/>
        <w:autoSpaceDE w:val="0"/>
        <w:autoSpaceDN w:val="0"/>
        <w:bidi w:val="0"/>
        <w:adjustRightInd w:val="0"/>
        <w:snapToGrid w:val="0"/>
        <w:spacing w:before="12" w:line="286" w:lineRule="auto"/>
        <w:ind w:right="283" w:firstLine="420" w:firstLineChars="200"/>
        <w:textAlignment w:val="baseline"/>
        <w:rPr>
          <w:lang w:eastAsia="zh-CN"/>
        </w:rPr>
      </w:pPr>
      <w:r>
        <w:rPr>
          <w:rFonts w:ascii="宋体" w:hAnsi="宋体" w:eastAsia="宋体" w:cs="宋体"/>
          <w:sz w:val="21"/>
          <w:szCs w:val="21"/>
          <w:lang w:eastAsia="zh-CN"/>
        </w:rPr>
        <w:t>填表人：</w:t>
      </w:r>
      <w:r>
        <w:rPr>
          <w:rFonts w:hint="eastAsia" w:ascii="宋体" w:hAnsi="宋体" w:eastAsia="宋体" w:cs="宋体"/>
          <w:sz w:val="21"/>
          <w:szCs w:val="21"/>
          <w:lang w:eastAsia="zh-CN"/>
        </w:rPr>
        <w:t>丁乙</w:t>
      </w:r>
      <w:r>
        <w:rPr>
          <w:rFonts w:hint="eastAsia" w:ascii="宋体" w:hAnsi="宋体" w:eastAsia="宋体" w:cs="宋体"/>
          <w:sz w:val="21"/>
          <w:szCs w:val="21"/>
          <w:lang w:val="en-US" w:eastAsia="zh-CN"/>
        </w:rPr>
        <w:t xml:space="preserve">   </w:t>
      </w:r>
      <w:r>
        <w:rPr>
          <w:rFonts w:ascii="宋体" w:hAnsi="宋体" w:eastAsia="宋体" w:cs="宋体"/>
          <w:sz w:val="21"/>
          <w:szCs w:val="21"/>
          <w:lang w:eastAsia="zh-CN"/>
        </w:rPr>
        <w:t>填报日期：</w:t>
      </w:r>
      <w:r>
        <w:rPr>
          <w:rFonts w:hint="eastAsia" w:ascii="宋体" w:hAnsi="宋体" w:eastAsia="宋体" w:cs="宋体"/>
          <w:sz w:val="21"/>
          <w:szCs w:val="21"/>
          <w:lang w:val="en-US" w:eastAsia="zh-CN"/>
        </w:rPr>
        <w:t xml:space="preserve">2024年10月15日  </w:t>
      </w:r>
      <w:r>
        <w:rPr>
          <w:rFonts w:ascii="宋体" w:hAnsi="宋体" w:eastAsia="宋体" w:cs="宋体"/>
          <w:sz w:val="21"/>
          <w:szCs w:val="21"/>
          <w:lang w:eastAsia="zh-CN"/>
        </w:rPr>
        <w:t>联系电话：</w:t>
      </w:r>
      <w:r>
        <w:rPr>
          <w:rFonts w:hint="eastAsia" w:ascii="宋体" w:hAnsi="宋体" w:eastAsia="宋体" w:cs="宋体"/>
          <w:sz w:val="21"/>
          <w:szCs w:val="21"/>
          <w:lang w:val="en-US" w:eastAsia="zh-CN"/>
        </w:rPr>
        <w:t>15259181837</w:t>
      </w:r>
    </w:p>
    <w:p w14:paraId="2D39DA5F">
      <w:pPr>
        <w:pStyle w:val="2"/>
        <w:spacing w:before="104" w:line="222" w:lineRule="auto"/>
        <w:rPr>
          <w:spacing w:val="30"/>
          <w:sz w:val="32"/>
          <w:szCs w:val="32"/>
          <w:lang w:eastAsia="zh-CN"/>
        </w:rPr>
        <w:sectPr>
          <w:footerReference r:id="rId5" w:type="default"/>
          <w:pgSz w:w="11900" w:h="16838"/>
          <w:pgMar w:top="1417" w:right="1474" w:bottom="1417" w:left="1474" w:header="0" w:footer="947" w:gutter="0"/>
          <w:pgNumType w:fmt="numberInDash"/>
          <w:cols w:space="0" w:num="1"/>
        </w:sectPr>
      </w:pPr>
    </w:p>
    <w:p w14:paraId="68426CC5">
      <w:pPr>
        <w:pStyle w:val="2"/>
        <w:spacing w:before="104" w:line="222" w:lineRule="auto"/>
        <w:rPr>
          <w:sz w:val="32"/>
          <w:szCs w:val="32"/>
          <w:lang w:eastAsia="zh-CN"/>
        </w:rPr>
      </w:pPr>
      <w:r>
        <w:rPr>
          <w:spacing w:val="30"/>
          <w:sz w:val="32"/>
          <w:szCs w:val="32"/>
          <w:lang w:eastAsia="zh-CN"/>
        </w:rPr>
        <w:t>附件2</w:t>
      </w:r>
    </w:p>
    <w:p w14:paraId="748B8BA3">
      <w:pPr>
        <w:spacing w:before="292" w:line="218" w:lineRule="auto"/>
        <w:jc w:val="center"/>
        <w:rPr>
          <w:rFonts w:ascii="宋体" w:hAnsi="宋体" w:eastAsia="宋体" w:cs="宋体"/>
          <w:sz w:val="44"/>
          <w:szCs w:val="44"/>
          <w:lang w:eastAsia="zh-CN"/>
        </w:rPr>
      </w:pPr>
      <w:r>
        <w:rPr>
          <w:rFonts w:hint="eastAsia" w:ascii="宋体" w:hAnsi="宋体" w:eastAsia="宋体" w:cs="宋体"/>
          <w:b/>
          <w:bCs/>
          <w:spacing w:val="-7"/>
          <w:sz w:val="44"/>
          <w:szCs w:val="44"/>
          <w:lang w:eastAsia="zh-CN"/>
        </w:rPr>
        <w:t>2023年度黄岩旅游度假区管理处</w:t>
      </w:r>
      <w:r>
        <w:rPr>
          <w:rFonts w:ascii="宋体" w:hAnsi="宋体" w:eastAsia="宋体" w:cs="宋体"/>
          <w:b/>
          <w:bCs/>
          <w:spacing w:val="-7"/>
          <w:sz w:val="44"/>
          <w:szCs w:val="44"/>
          <w:lang w:eastAsia="zh-CN"/>
        </w:rPr>
        <w:t>项目支出绩效自评报告</w:t>
      </w:r>
    </w:p>
    <w:p w14:paraId="24A8D514">
      <w:pPr>
        <w:spacing w:line="273" w:lineRule="auto"/>
        <w:rPr>
          <w:lang w:eastAsia="zh-CN"/>
        </w:rPr>
      </w:pPr>
    </w:p>
    <w:p w14:paraId="14A8DA07">
      <w:pPr>
        <w:spacing w:before="84" w:line="219" w:lineRule="auto"/>
        <w:ind w:left="3623"/>
        <w:rPr>
          <w:rFonts w:ascii="宋体" w:hAnsi="宋体" w:eastAsia="宋体" w:cs="宋体"/>
          <w:sz w:val="26"/>
          <w:szCs w:val="26"/>
        </w:rPr>
      </w:pPr>
    </w:p>
    <w:p w14:paraId="6B099289">
      <w:pPr>
        <w:widowControl w:val="0"/>
        <w:numPr>
          <w:ilvl w:val="0"/>
          <w:numId w:val="2"/>
        </w:numPr>
        <w:kinsoku/>
        <w:overflowPunct w:val="0"/>
        <w:autoSpaceDE/>
        <w:autoSpaceDN/>
        <w:spacing w:line="360" w:lineRule="auto"/>
        <w:ind w:firstLine="599" w:firstLineChars="200"/>
        <w:outlineLvl w:val="1"/>
        <w:rPr>
          <w:rFonts w:ascii="黑体" w:hAnsi="黑体" w:eastAsia="黑体" w:cs="黑体"/>
          <w:b/>
          <w:bCs/>
          <w:spacing w:val="-11"/>
          <w:sz w:val="32"/>
          <w:szCs w:val="32"/>
        </w:rPr>
      </w:pPr>
      <w:r>
        <w:rPr>
          <w:rFonts w:ascii="黑体" w:hAnsi="黑体" w:eastAsia="黑体" w:cs="黑体"/>
          <w:b/>
          <w:bCs/>
          <w:spacing w:val="-11"/>
          <w:sz w:val="32"/>
          <w:szCs w:val="32"/>
        </w:rPr>
        <w:t>项目基本情况</w:t>
      </w:r>
    </w:p>
    <w:p w14:paraId="20F7F596">
      <w:pPr>
        <w:widowControl w:val="0"/>
        <w:kinsoku/>
        <w:overflowPunct w:val="0"/>
        <w:autoSpaceDE/>
        <w:autoSpaceDN/>
        <w:spacing w:line="360" w:lineRule="auto"/>
        <w:ind w:firstLine="695" w:firstLineChars="200"/>
        <w:outlineLvl w:val="1"/>
        <w:rPr>
          <w:rFonts w:ascii="楷体" w:hAnsi="楷体" w:eastAsia="楷体" w:cs="楷体"/>
          <w:sz w:val="32"/>
          <w:szCs w:val="32"/>
        </w:rPr>
      </w:pPr>
      <w:r>
        <w:rPr>
          <w:rFonts w:ascii="楷体" w:hAnsi="楷体" w:eastAsia="楷体" w:cs="楷体"/>
          <w:b/>
          <w:bCs/>
          <w:spacing w:val="13"/>
          <w:sz w:val="32"/>
          <w:szCs w:val="32"/>
        </w:rPr>
        <w:t>(一)项目概况</w:t>
      </w:r>
    </w:p>
    <w:p w14:paraId="29EC89F3">
      <w:pPr>
        <w:pStyle w:val="2"/>
        <w:widowControl w:val="0"/>
        <w:kinsoku/>
        <w:overflowPunct w:val="0"/>
        <w:autoSpaceDE/>
        <w:autoSpaceDN/>
        <w:spacing w:line="360" w:lineRule="auto"/>
        <w:ind w:firstLine="596" w:firstLineChars="200"/>
        <w:rPr>
          <w:spacing w:val="-11"/>
          <w:sz w:val="32"/>
          <w:szCs w:val="32"/>
        </w:rPr>
      </w:pPr>
      <w:r>
        <w:rPr>
          <w:rFonts w:ascii="宋体" w:hAnsi="宋体" w:eastAsia="宋体" w:cs="宋体"/>
          <w:spacing w:val="-11"/>
          <w:sz w:val="32"/>
          <w:szCs w:val="32"/>
        </w:rPr>
        <w:t>1.</w:t>
      </w:r>
      <w:r>
        <w:rPr>
          <w:spacing w:val="-11"/>
          <w:sz w:val="32"/>
          <w:szCs w:val="32"/>
        </w:rPr>
        <w:t>项目决策背景</w:t>
      </w:r>
    </w:p>
    <w:p w14:paraId="6081ABF0">
      <w:pPr>
        <w:pStyle w:val="2"/>
        <w:keepNext w:val="0"/>
        <w:keepLines w:val="0"/>
        <w:pageBreakBefore w:val="0"/>
        <w:widowControl w:val="0"/>
        <w:kinsoku/>
        <w:wordWrap/>
        <w:overflowPunct w:val="0"/>
        <w:topLinePunct w:val="0"/>
        <w:autoSpaceDE/>
        <w:autoSpaceDN/>
        <w:bidi w:val="0"/>
        <w:adjustRightInd w:val="0"/>
        <w:snapToGrid w:val="0"/>
        <w:spacing w:line="360" w:lineRule="auto"/>
        <w:ind w:firstLine="596" w:firstLineChars="200"/>
        <w:textAlignment w:val="baseline"/>
        <w:rPr>
          <w:rFonts w:hint="eastAsia" w:eastAsia="仿宋"/>
          <w:spacing w:val="-11"/>
          <w:sz w:val="32"/>
          <w:szCs w:val="32"/>
          <w:lang w:eastAsia="zh-CN"/>
        </w:rPr>
      </w:pPr>
      <w:r>
        <w:rPr>
          <w:rFonts w:hint="eastAsia"/>
          <w:spacing w:val="-11"/>
          <w:sz w:val="32"/>
          <w:szCs w:val="32"/>
          <w:lang w:eastAsia="zh-CN"/>
        </w:rPr>
        <w:t>为了保障村级组织正常运转，提升村级基层治理水平，设立村级运转经费项目；为了保障乡镇财政所日常开支，提升服务水平，设立村级财政所信息化建设经费项目。</w:t>
      </w:r>
    </w:p>
    <w:p w14:paraId="4968286A">
      <w:pPr>
        <w:pStyle w:val="2"/>
        <w:widowControl w:val="0"/>
        <w:kinsoku/>
        <w:overflowPunct w:val="0"/>
        <w:autoSpaceDE/>
        <w:autoSpaceDN/>
        <w:spacing w:line="360" w:lineRule="auto"/>
        <w:ind w:firstLine="612" w:firstLineChars="200"/>
        <w:rPr>
          <w:spacing w:val="-7"/>
          <w:sz w:val="32"/>
          <w:szCs w:val="32"/>
        </w:rPr>
      </w:pPr>
      <w:r>
        <w:rPr>
          <w:spacing w:val="-7"/>
          <w:sz w:val="32"/>
          <w:szCs w:val="32"/>
        </w:rPr>
        <w:t>2.项目主要内容</w:t>
      </w:r>
    </w:p>
    <w:p w14:paraId="2B310C0B">
      <w:pPr>
        <w:pStyle w:val="2"/>
        <w:widowControl w:val="0"/>
        <w:kinsoku/>
        <w:overflowPunct w:val="0"/>
        <w:autoSpaceDE/>
        <w:autoSpaceDN/>
        <w:spacing w:line="360" w:lineRule="auto"/>
        <w:ind w:firstLine="612" w:firstLineChars="200"/>
        <w:rPr>
          <w:rFonts w:hint="eastAsia"/>
          <w:spacing w:val="-7"/>
          <w:sz w:val="32"/>
          <w:szCs w:val="32"/>
          <w:lang w:eastAsia="zh-CN"/>
        </w:rPr>
      </w:pPr>
      <w:r>
        <w:rPr>
          <w:rFonts w:hint="eastAsia"/>
          <w:spacing w:val="-7"/>
          <w:sz w:val="32"/>
          <w:szCs w:val="32"/>
          <w:lang w:eastAsia="zh-CN"/>
        </w:rPr>
        <w:t>（</w:t>
      </w:r>
      <w:r>
        <w:rPr>
          <w:rFonts w:hint="eastAsia"/>
          <w:spacing w:val="-7"/>
          <w:sz w:val="32"/>
          <w:szCs w:val="32"/>
          <w:lang w:val="en-US" w:eastAsia="zh-CN"/>
        </w:rPr>
        <w:t>1</w:t>
      </w:r>
      <w:r>
        <w:rPr>
          <w:rFonts w:hint="eastAsia"/>
          <w:spacing w:val="-7"/>
          <w:sz w:val="32"/>
          <w:szCs w:val="32"/>
          <w:lang w:eastAsia="zh-CN"/>
        </w:rPr>
        <w:t>）村级运转经费。</w:t>
      </w:r>
    </w:p>
    <w:p w14:paraId="6A113CA0">
      <w:pPr>
        <w:pStyle w:val="2"/>
        <w:widowControl w:val="0"/>
        <w:kinsoku/>
        <w:overflowPunct w:val="0"/>
        <w:autoSpaceDE/>
        <w:autoSpaceDN/>
        <w:spacing w:line="360" w:lineRule="auto"/>
        <w:ind w:firstLine="612" w:firstLineChars="200"/>
        <w:rPr>
          <w:rFonts w:hint="eastAsia" w:eastAsia="仿宋"/>
          <w:spacing w:val="-7"/>
          <w:sz w:val="32"/>
          <w:szCs w:val="32"/>
          <w:lang w:eastAsia="zh-CN"/>
        </w:rPr>
      </w:pPr>
      <w:r>
        <w:rPr>
          <w:rFonts w:hint="eastAsia"/>
          <w:spacing w:val="-7"/>
          <w:sz w:val="32"/>
          <w:szCs w:val="32"/>
          <w:lang w:eastAsia="zh-CN"/>
        </w:rPr>
        <w:t>（</w:t>
      </w:r>
      <w:r>
        <w:rPr>
          <w:rFonts w:hint="eastAsia"/>
          <w:spacing w:val="-7"/>
          <w:sz w:val="32"/>
          <w:szCs w:val="32"/>
          <w:lang w:val="en-US" w:eastAsia="zh-CN"/>
        </w:rPr>
        <w:t>2</w:t>
      </w:r>
      <w:r>
        <w:rPr>
          <w:rFonts w:hint="eastAsia"/>
          <w:spacing w:val="-7"/>
          <w:sz w:val="32"/>
          <w:szCs w:val="32"/>
          <w:lang w:eastAsia="zh-CN"/>
        </w:rPr>
        <w:t>）乡镇财政所信息化建设经费。</w:t>
      </w:r>
    </w:p>
    <w:p w14:paraId="2EA1E46A">
      <w:pPr>
        <w:pStyle w:val="2"/>
        <w:widowControl w:val="0"/>
        <w:kinsoku/>
        <w:overflowPunct w:val="0"/>
        <w:autoSpaceDE/>
        <w:autoSpaceDN/>
        <w:spacing w:line="360" w:lineRule="auto"/>
        <w:ind w:firstLine="632" w:firstLineChars="200"/>
        <w:rPr>
          <w:spacing w:val="-2"/>
          <w:sz w:val="32"/>
          <w:szCs w:val="32"/>
        </w:rPr>
      </w:pPr>
      <w:r>
        <w:rPr>
          <w:spacing w:val="-2"/>
          <w:sz w:val="32"/>
          <w:szCs w:val="32"/>
        </w:rPr>
        <w:t>3.项目组织管理机构</w:t>
      </w:r>
    </w:p>
    <w:p w14:paraId="2E8DC5BF">
      <w:pPr>
        <w:pStyle w:val="2"/>
        <w:widowControl w:val="0"/>
        <w:kinsoku/>
        <w:overflowPunct w:val="0"/>
        <w:autoSpaceDE/>
        <w:autoSpaceDN/>
        <w:spacing w:line="360" w:lineRule="auto"/>
        <w:ind w:firstLine="632" w:firstLineChars="200"/>
        <w:rPr>
          <w:spacing w:val="-2"/>
          <w:sz w:val="32"/>
          <w:szCs w:val="32"/>
        </w:rPr>
      </w:pPr>
      <w:r>
        <w:rPr>
          <w:rFonts w:hint="eastAsia"/>
          <w:spacing w:val="-2"/>
          <w:sz w:val="32"/>
          <w:szCs w:val="32"/>
        </w:rPr>
        <w:t>成立项目管理小组，由单位领导担任组长，各相关部门负责人为成员，负责项目的统筹规划、资金分配、监督执行等工作。</w:t>
      </w:r>
    </w:p>
    <w:p w14:paraId="6232C2CC">
      <w:pPr>
        <w:widowControl w:val="0"/>
        <w:kinsoku/>
        <w:overflowPunct w:val="0"/>
        <w:autoSpaceDE/>
        <w:autoSpaceDN/>
        <w:spacing w:line="360" w:lineRule="auto"/>
        <w:ind w:firstLine="667" w:firstLineChars="200"/>
        <w:outlineLvl w:val="0"/>
        <w:rPr>
          <w:rFonts w:ascii="楷体" w:hAnsi="楷体" w:eastAsia="楷体" w:cs="楷体"/>
          <w:sz w:val="32"/>
          <w:szCs w:val="32"/>
          <w:lang w:eastAsia="zh-CN"/>
        </w:rPr>
      </w:pPr>
      <w:r>
        <w:rPr>
          <w:rFonts w:ascii="楷体" w:hAnsi="楷体" w:eastAsia="楷体" w:cs="楷体"/>
          <w:b/>
          <w:bCs/>
          <w:spacing w:val="6"/>
          <w:sz w:val="32"/>
          <w:szCs w:val="32"/>
          <w:lang w:eastAsia="zh-CN"/>
        </w:rPr>
        <w:t>(二)预算资金使用管理情况</w:t>
      </w:r>
    </w:p>
    <w:p w14:paraId="5FAC580C">
      <w:pPr>
        <w:pStyle w:val="2"/>
        <w:widowControl w:val="0"/>
        <w:kinsoku/>
        <w:overflowPunct w:val="0"/>
        <w:autoSpaceDE/>
        <w:autoSpaceDN/>
        <w:spacing w:line="360" w:lineRule="auto"/>
        <w:ind w:firstLine="628" w:firstLineChars="200"/>
        <w:rPr>
          <w:sz w:val="32"/>
          <w:szCs w:val="32"/>
          <w:lang w:eastAsia="zh-CN"/>
        </w:rPr>
      </w:pPr>
      <w:r>
        <w:rPr>
          <w:rFonts w:ascii="宋体" w:hAnsi="宋体" w:eastAsia="宋体" w:cs="宋体"/>
          <w:spacing w:val="-3"/>
          <w:sz w:val="32"/>
          <w:szCs w:val="32"/>
          <w:lang w:eastAsia="zh-CN"/>
        </w:rPr>
        <w:t>1.</w:t>
      </w:r>
      <w:r>
        <w:rPr>
          <w:spacing w:val="-3"/>
          <w:sz w:val="32"/>
          <w:szCs w:val="32"/>
          <w:lang w:eastAsia="zh-CN"/>
        </w:rPr>
        <w:t>预算资金安排及管理情况</w:t>
      </w:r>
    </w:p>
    <w:p w14:paraId="3BFF6666">
      <w:pPr>
        <w:pStyle w:val="2"/>
        <w:widowControl w:val="0"/>
        <w:kinsoku/>
        <w:overflowPunct w:val="0"/>
        <w:autoSpaceDE/>
        <w:autoSpaceDN/>
        <w:spacing w:line="360" w:lineRule="auto"/>
        <w:ind w:firstLine="688" w:firstLineChars="200"/>
        <w:rPr>
          <w:spacing w:val="12"/>
          <w:sz w:val="32"/>
          <w:szCs w:val="32"/>
          <w:lang w:eastAsia="zh-CN"/>
        </w:rPr>
      </w:pPr>
      <w:r>
        <w:rPr>
          <w:spacing w:val="12"/>
          <w:sz w:val="32"/>
          <w:szCs w:val="32"/>
          <w:lang w:eastAsia="zh-CN"/>
        </w:rPr>
        <w:t>(1)资金来源及拨付流程</w:t>
      </w:r>
    </w:p>
    <w:p w14:paraId="433A9198">
      <w:pPr>
        <w:pStyle w:val="2"/>
        <w:widowControl w:val="0"/>
        <w:kinsoku/>
        <w:overflowPunct w:val="0"/>
        <w:autoSpaceDE/>
        <w:autoSpaceDN/>
        <w:spacing w:line="360" w:lineRule="auto"/>
        <w:ind w:firstLine="688" w:firstLineChars="200"/>
        <w:rPr>
          <w:spacing w:val="12"/>
          <w:sz w:val="32"/>
          <w:szCs w:val="32"/>
          <w:lang w:eastAsia="zh-CN"/>
        </w:rPr>
      </w:pPr>
      <w:r>
        <w:rPr>
          <w:rFonts w:hint="eastAsia"/>
          <w:spacing w:val="12"/>
          <w:sz w:val="32"/>
          <w:szCs w:val="32"/>
          <w:lang w:eastAsia="zh-CN"/>
        </w:rPr>
        <w:t>资金全部来源于财政拨款，村级运转经费拨付到村级账户，财政所信息化建设经费按开支据实拨付。</w:t>
      </w:r>
    </w:p>
    <w:p w14:paraId="3BF36E09">
      <w:pPr>
        <w:pStyle w:val="2"/>
        <w:widowControl w:val="0"/>
        <w:numPr>
          <w:ilvl w:val="0"/>
          <w:numId w:val="3"/>
        </w:numPr>
        <w:kinsoku/>
        <w:overflowPunct w:val="0"/>
        <w:autoSpaceDE/>
        <w:autoSpaceDN/>
        <w:spacing w:line="360" w:lineRule="auto"/>
        <w:ind w:firstLine="700" w:firstLineChars="200"/>
        <w:rPr>
          <w:spacing w:val="15"/>
          <w:sz w:val="32"/>
          <w:szCs w:val="32"/>
          <w:lang w:eastAsia="zh-CN"/>
        </w:rPr>
      </w:pPr>
      <w:r>
        <w:rPr>
          <w:spacing w:val="15"/>
          <w:sz w:val="32"/>
          <w:szCs w:val="32"/>
          <w:lang w:eastAsia="zh-CN"/>
        </w:rPr>
        <w:t>资金到位情况</w:t>
      </w:r>
    </w:p>
    <w:p w14:paraId="786E46BC">
      <w:pPr>
        <w:pStyle w:val="2"/>
        <w:keepNext w:val="0"/>
        <w:keepLines w:val="0"/>
        <w:pageBreakBefore w:val="0"/>
        <w:widowControl w:val="0"/>
        <w:numPr>
          <w:ilvl w:val="0"/>
          <w:numId w:val="0"/>
        </w:numPr>
        <w:kinsoku/>
        <w:wordWrap/>
        <w:overflowPunct w:val="0"/>
        <w:topLinePunct w:val="0"/>
        <w:autoSpaceDE/>
        <w:autoSpaceDN/>
        <w:bidi w:val="0"/>
        <w:adjustRightInd w:val="0"/>
        <w:snapToGrid w:val="0"/>
        <w:spacing w:line="360" w:lineRule="auto"/>
        <w:ind w:firstLine="700" w:firstLineChars="200"/>
        <w:textAlignment w:val="baseline"/>
        <w:rPr>
          <w:spacing w:val="15"/>
          <w:sz w:val="32"/>
          <w:szCs w:val="32"/>
          <w:lang w:eastAsia="zh-CN"/>
        </w:rPr>
      </w:pPr>
      <w:r>
        <w:rPr>
          <w:rFonts w:hint="eastAsia"/>
          <w:spacing w:val="15"/>
          <w:sz w:val="32"/>
          <w:szCs w:val="32"/>
          <w:lang w:eastAsia="zh-CN"/>
        </w:rPr>
        <w:t>资金指标于年初下达到位。</w:t>
      </w:r>
    </w:p>
    <w:p w14:paraId="201B1459">
      <w:pPr>
        <w:pStyle w:val="2"/>
        <w:widowControl w:val="0"/>
        <w:numPr>
          <w:ilvl w:val="0"/>
          <w:numId w:val="3"/>
        </w:numPr>
        <w:kinsoku/>
        <w:overflowPunct w:val="0"/>
        <w:autoSpaceDE/>
        <w:autoSpaceDN/>
        <w:spacing w:line="360" w:lineRule="auto"/>
        <w:ind w:left="0" w:leftChars="0" w:firstLine="700" w:firstLineChars="200"/>
        <w:rPr>
          <w:spacing w:val="15"/>
          <w:sz w:val="32"/>
          <w:szCs w:val="32"/>
          <w:lang w:eastAsia="zh-CN"/>
        </w:rPr>
      </w:pPr>
      <w:r>
        <w:rPr>
          <w:spacing w:val="15"/>
          <w:sz w:val="32"/>
          <w:szCs w:val="32"/>
          <w:lang w:eastAsia="zh-CN"/>
        </w:rPr>
        <w:t>资金使用情况</w:t>
      </w:r>
    </w:p>
    <w:p w14:paraId="4F466510">
      <w:pPr>
        <w:pStyle w:val="2"/>
        <w:keepNext w:val="0"/>
        <w:keepLines w:val="0"/>
        <w:pageBreakBefore w:val="0"/>
        <w:widowControl w:val="0"/>
        <w:numPr>
          <w:ilvl w:val="0"/>
          <w:numId w:val="0"/>
        </w:numPr>
        <w:kinsoku/>
        <w:wordWrap/>
        <w:overflowPunct w:val="0"/>
        <w:topLinePunct w:val="0"/>
        <w:autoSpaceDE/>
        <w:autoSpaceDN/>
        <w:bidi w:val="0"/>
        <w:adjustRightInd w:val="0"/>
        <w:snapToGrid w:val="0"/>
        <w:spacing w:line="360" w:lineRule="auto"/>
        <w:ind w:firstLine="700" w:firstLineChars="200"/>
        <w:textAlignment w:val="baseline"/>
        <w:rPr>
          <w:spacing w:val="15"/>
          <w:sz w:val="32"/>
          <w:szCs w:val="32"/>
          <w:lang w:eastAsia="zh-CN"/>
        </w:rPr>
      </w:pPr>
      <w:r>
        <w:rPr>
          <w:rFonts w:hint="eastAsia"/>
          <w:spacing w:val="15"/>
          <w:sz w:val="32"/>
          <w:szCs w:val="32"/>
          <w:lang w:eastAsia="zh-CN"/>
        </w:rPr>
        <w:t>各项目资金均按照预算用途使用，无挪用、截留等情况，均已拨付完毕。</w:t>
      </w:r>
    </w:p>
    <w:p w14:paraId="230DC62A">
      <w:pPr>
        <w:pStyle w:val="2"/>
        <w:widowControl w:val="0"/>
        <w:numPr>
          <w:ilvl w:val="0"/>
          <w:numId w:val="3"/>
        </w:numPr>
        <w:kinsoku/>
        <w:overflowPunct w:val="0"/>
        <w:autoSpaceDE/>
        <w:autoSpaceDN/>
        <w:spacing w:line="360" w:lineRule="auto"/>
        <w:ind w:left="0" w:leftChars="0" w:firstLine="676" w:firstLineChars="200"/>
        <w:rPr>
          <w:spacing w:val="9"/>
          <w:sz w:val="32"/>
          <w:szCs w:val="32"/>
          <w:lang w:eastAsia="zh-CN"/>
        </w:rPr>
      </w:pPr>
      <w:r>
        <w:rPr>
          <w:spacing w:val="9"/>
          <w:sz w:val="32"/>
          <w:szCs w:val="32"/>
          <w:lang w:eastAsia="zh-CN"/>
        </w:rPr>
        <w:t>资金管理制度及执行情况</w:t>
      </w:r>
    </w:p>
    <w:p w14:paraId="4AF7F626">
      <w:pPr>
        <w:pStyle w:val="2"/>
        <w:keepNext w:val="0"/>
        <w:keepLines w:val="0"/>
        <w:pageBreakBefore w:val="0"/>
        <w:widowControl w:val="0"/>
        <w:numPr>
          <w:ilvl w:val="0"/>
          <w:numId w:val="0"/>
        </w:numPr>
        <w:kinsoku/>
        <w:wordWrap/>
        <w:overflowPunct w:val="0"/>
        <w:topLinePunct w:val="0"/>
        <w:autoSpaceDE/>
        <w:autoSpaceDN/>
        <w:bidi w:val="0"/>
        <w:adjustRightInd w:val="0"/>
        <w:snapToGrid w:val="0"/>
        <w:spacing w:line="360" w:lineRule="auto"/>
        <w:ind w:firstLine="676" w:firstLineChars="200"/>
        <w:textAlignment w:val="baseline"/>
        <w:rPr>
          <w:spacing w:val="9"/>
          <w:sz w:val="32"/>
          <w:szCs w:val="32"/>
          <w:lang w:eastAsia="zh-CN"/>
        </w:rPr>
      </w:pPr>
      <w:r>
        <w:rPr>
          <w:rFonts w:hint="eastAsia"/>
          <w:spacing w:val="9"/>
          <w:sz w:val="32"/>
          <w:szCs w:val="32"/>
          <w:lang w:eastAsia="zh-CN"/>
        </w:rPr>
        <w:t>村级运转经费拨付到村账后按村级财务报账制度支付，按要求支付完毕；财政所信息化建设经费开支按单位财务制度支付，按要求支付完毕。</w:t>
      </w:r>
    </w:p>
    <w:p w14:paraId="5FCDD944">
      <w:pPr>
        <w:pStyle w:val="2"/>
        <w:widowControl w:val="0"/>
        <w:kinsoku/>
        <w:overflowPunct w:val="0"/>
        <w:autoSpaceDE/>
        <w:autoSpaceDN/>
        <w:spacing w:line="360" w:lineRule="auto"/>
        <w:ind w:firstLine="628" w:firstLineChars="200"/>
        <w:rPr>
          <w:spacing w:val="-3"/>
          <w:sz w:val="32"/>
          <w:szCs w:val="32"/>
          <w:lang w:eastAsia="zh-CN"/>
        </w:rPr>
      </w:pPr>
      <w:r>
        <w:rPr>
          <w:spacing w:val="-3"/>
          <w:sz w:val="32"/>
          <w:szCs w:val="32"/>
          <w:lang w:eastAsia="zh-CN"/>
        </w:rPr>
        <w:t>2.项目组织实施管理情况</w:t>
      </w:r>
    </w:p>
    <w:p w14:paraId="09C3CBF9">
      <w:pPr>
        <w:pStyle w:val="2"/>
        <w:widowControl w:val="0"/>
        <w:kinsoku/>
        <w:overflowPunct w:val="0"/>
        <w:autoSpaceDE/>
        <w:autoSpaceDN/>
        <w:spacing w:line="360" w:lineRule="auto"/>
        <w:ind w:firstLine="628" w:firstLineChars="200"/>
        <w:rPr>
          <w:spacing w:val="-3"/>
          <w:sz w:val="32"/>
          <w:szCs w:val="32"/>
          <w:lang w:eastAsia="zh-CN"/>
        </w:rPr>
      </w:pPr>
      <w:r>
        <w:rPr>
          <w:rFonts w:hint="eastAsia"/>
          <w:spacing w:val="-3"/>
          <w:sz w:val="32"/>
          <w:szCs w:val="32"/>
          <w:lang w:eastAsia="zh-CN"/>
        </w:rPr>
        <w:t>制定了严格的资金管理制度，规范资金投入和使用情况，管理效果良好。</w:t>
      </w:r>
    </w:p>
    <w:p w14:paraId="71D56534">
      <w:pPr>
        <w:widowControl w:val="0"/>
        <w:kinsoku/>
        <w:overflowPunct w:val="0"/>
        <w:autoSpaceDE/>
        <w:autoSpaceDN/>
        <w:spacing w:line="360" w:lineRule="auto"/>
        <w:ind w:firstLine="675" w:firstLineChars="200"/>
        <w:outlineLvl w:val="0"/>
        <w:rPr>
          <w:rFonts w:ascii="楷体" w:hAnsi="楷体" w:eastAsia="楷体" w:cs="楷体"/>
          <w:sz w:val="32"/>
          <w:szCs w:val="32"/>
          <w:lang w:eastAsia="zh-CN"/>
        </w:rPr>
      </w:pPr>
      <w:r>
        <w:rPr>
          <w:rFonts w:ascii="楷体" w:hAnsi="楷体" w:eastAsia="楷体" w:cs="楷体"/>
          <w:b/>
          <w:bCs/>
          <w:spacing w:val="8"/>
          <w:sz w:val="32"/>
          <w:szCs w:val="32"/>
          <w:lang w:eastAsia="zh-CN"/>
        </w:rPr>
        <w:t>(三)预算绩效目标情况</w:t>
      </w:r>
    </w:p>
    <w:p w14:paraId="3A153612">
      <w:pPr>
        <w:pStyle w:val="2"/>
        <w:widowControl w:val="0"/>
        <w:kinsoku/>
        <w:overflowPunct w:val="0"/>
        <w:autoSpaceDE/>
        <w:autoSpaceDN/>
        <w:spacing w:line="360" w:lineRule="auto"/>
        <w:ind w:firstLine="612" w:firstLineChars="200"/>
        <w:rPr>
          <w:spacing w:val="-7"/>
          <w:sz w:val="32"/>
          <w:szCs w:val="32"/>
          <w:lang w:eastAsia="zh-CN"/>
        </w:rPr>
      </w:pPr>
      <w:r>
        <w:rPr>
          <w:rFonts w:ascii="宋体" w:hAnsi="宋体" w:eastAsia="宋体" w:cs="宋体"/>
          <w:spacing w:val="-7"/>
          <w:sz w:val="32"/>
          <w:szCs w:val="32"/>
          <w:lang w:eastAsia="zh-CN"/>
        </w:rPr>
        <w:t>1.</w:t>
      </w:r>
      <w:r>
        <w:rPr>
          <w:spacing w:val="-7"/>
          <w:sz w:val="32"/>
          <w:szCs w:val="32"/>
          <w:lang w:eastAsia="zh-CN"/>
        </w:rPr>
        <w:t>绩效目标</w:t>
      </w:r>
    </w:p>
    <w:p w14:paraId="384D2F77">
      <w:pPr>
        <w:pStyle w:val="2"/>
        <w:widowControl w:val="0"/>
        <w:kinsoku/>
        <w:overflowPunct w:val="0"/>
        <w:autoSpaceDE/>
        <w:autoSpaceDN/>
        <w:spacing w:line="360" w:lineRule="auto"/>
        <w:ind w:firstLine="612" w:firstLineChars="200"/>
        <w:rPr>
          <w:spacing w:val="-7"/>
          <w:sz w:val="32"/>
          <w:szCs w:val="32"/>
          <w:lang w:eastAsia="zh-CN"/>
        </w:rPr>
      </w:pPr>
      <w:r>
        <w:rPr>
          <w:rFonts w:hint="eastAsia"/>
          <w:spacing w:val="-7"/>
          <w:sz w:val="32"/>
          <w:szCs w:val="32"/>
          <w:lang w:eastAsia="zh-CN"/>
        </w:rPr>
        <w:t>村级办公及服务群众专项经费绩效目标为保障村级组织正常运转，更好地服务群众；财政所信息化建设经费绩效目标为保障财政所正常运转，提高信息化建设水平。</w:t>
      </w:r>
    </w:p>
    <w:p w14:paraId="5064BEDF">
      <w:pPr>
        <w:pStyle w:val="2"/>
        <w:widowControl w:val="0"/>
        <w:kinsoku/>
        <w:overflowPunct w:val="0"/>
        <w:autoSpaceDE/>
        <w:autoSpaceDN/>
        <w:spacing w:line="360" w:lineRule="auto"/>
        <w:ind w:firstLine="628" w:firstLineChars="200"/>
        <w:rPr>
          <w:spacing w:val="-3"/>
          <w:sz w:val="32"/>
          <w:szCs w:val="32"/>
          <w:lang w:eastAsia="zh-CN"/>
        </w:rPr>
      </w:pPr>
      <w:r>
        <w:rPr>
          <w:spacing w:val="-3"/>
          <w:sz w:val="32"/>
          <w:szCs w:val="32"/>
          <w:lang w:eastAsia="zh-CN"/>
        </w:rPr>
        <w:t>2.绩效指标</w:t>
      </w:r>
    </w:p>
    <w:p w14:paraId="011CEEB3">
      <w:pPr>
        <w:pStyle w:val="2"/>
        <w:widowControl w:val="0"/>
        <w:kinsoku/>
        <w:overflowPunct w:val="0"/>
        <w:autoSpaceDE/>
        <w:autoSpaceDN/>
        <w:spacing w:line="360" w:lineRule="auto"/>
        <w:ind w:firstLine="628" w:firstLineChars="200"/>
        <w:rPr>
          <w:rFonts w:hint="eastAsia"/>
          <w:spacing w:val="-3"/>
          <w:sz w:val="32"/>
          <w:szCs w:val="32"/>
          <w:lang w:val="en-US" w:eastAsia="zh-CN"/>
        </w:rPr>
      </w:pPr>
      <w:r>
        <w:rPr>
          <w:rFonts w:hint="eastAsia"/>
          <w:spacing w:val="-3"/>
          <w:sz w:val="32"/>
          <w:szCs w:val="32"/>
          <w:lang w:eastAsia="zh-CN"/>
        </w:rPr>
        <w:t>村级运转经费</w:t>
      </w:r>
      <w:r>
        <w:rPr>
          <w:rFonts w:hint="eastAsia"/>
          <w:spacing w:val="-3"/>
          <w:sz w:val="32"/>
          <w:szCs w:val="32"/>
          <w:lang w:val="en-US" w:eastAsia="zh-CN"/>
        </w:rPr>
        <w:t>绩效目标评价设</w:t>
      </w:r>
      <w:r>
        <w:rPr>
          <w:rFonts w:hint="eastAsia"/>
          <w:spacing w:val="-3"/>
          <w:sz w:val="32"/>
          <w:szCs w:val="32"/>
          <w:lang w:eastAsia="zh-CN"/>
        </w:rPr>
        <w:t>成本指标、产出指标、效益指标、满意度指标。成本指标二级指标为经济成本指标，三级指标为不超支，指标值为</w:t>
      </w:r>
      <w:r>
        <w:rPr>
          <w:rFonts w:hint="eastAsia"/>
          <w:spacing w:val="-3"/>
          <w:sz w:val="32"/>
          <w:szCs w:val="32"/>
          <w:lang w:val="en-US" w:eastAsia="zh-CN"/>
        </w:rPr>
        <w:t>10万元，指标值内容为支出不超过10万元；产出指标二级指标为质量指标和时效指标，质量指标三级指标为村级运转和服务群众情况，指标值内容为情况良好，时效指标三级指标为日期，指标值内容为在2023年12月31日前完成；效益指标二级指标为社会效益指标，指标值内容为对黄岩社会发展起到促进作用；满意度指标二级指标为服务对象满意度，指标值内容为服务群众满意度高于90%。</w:t>
      </w:r>
    </w:p>
    <w:p w14:paraId="1F974A3A">
      <w:pPr>
        <w:pStyle w:val="2"/>
        <w:widowControl w:val="0"/>
        <w:kinsoku/>
        <w:overflowPunct w:val="0"/>
        <w:autoSpaceDE/>
        <w:autoSpaceDN/>
        <w:spacing w:line="360" w:lineRule="auto"/>
        <w:ind w:firstLine="628" w:firstLineChars="200"/>
        <w:rPr>
          <w:rFonts w:hint="default"/>
          <w:spacing w:val="-3"/>
          <w:sz w:val="32"/>
          <w:szCs w:val="32"/>
          <w:lang w:val="en-US" w:eastAsia="zh-CN"/>
        </w:rPr>
      </w:pPr>
      <w:r>
        <w:rPr>
          <w:rFonts w:hint="eastAsia"/>
          <w:spacing w:val="-3"/>
          <w:sz w:val="32"/>
          <w:szCs w:val="32"/>
          <w:lang w:val="en-US" w:eastAsia="zh-CN"/>
        </w:rPr>
        <w:t>财政所信息化建设经费绩效目标评价设</w:t>
      </w:r>
      <w:r>
        <w:rPr>
          <w:rFonts w:hint="eastAsia"/>
          <w:spacing w:val="-3"/>
          <w:sz w:val="32"/>
          <w:szCs w:val="32"/>
          <w:lang w:eastAsia="zh-CN"/>
        </w:rPr>
        <w:t>成本指标、产出指标、效益指标、满意度指标。成本指标二级指标为经济成本指标，三级指标为不超支，指标值为</w:t>
      </w:r>
      <w:r>
        <w:rPr>
          <w:rFonts w:hint="eastAsia"/>
          <w:spacing w:val="-3"/>
          <w:sz w:val="32"/>
          <w:szCs w:val="32"/>
          <w:lang w:val="en-US" w:eastAsia="zh-CN"/>
        </w:rPr>
        <w:t>4万元，指标值内容为支出不超过4万元；产出指标二级指标为质量指标和时效指标，质量指标三级指标为财政所日常运转和服务水平，指标值内容为运转及水平良好，时效指标三级指标为日期，指标值内容为在2023年12月31日前完成；效益指标二级指标为社会效益指标，指标值内容为对黄岩社会经济起到正向影响；满意度指标二级指标为服务对象满意度，指标值内容为服务对象满意度高于90%。</w:t>
      </w:r>
    </w:p>
    <w:p w14:paraId="777AD235">
      <w:pPr>
        <w:widowControl w:val="0"/>
        <w:kinsoku/>
        <w:overflowPunct w:val="0"/>
        <w:autoSpaceDE/>
        <w:autoSpaceDN/>
        <w:spacing w:line="360" w:lineRule="auto"/>
        <w:ind w:firstLine="611" w:firstLineChars="200"/>
        <w:outlineLvl w:val="0"/>
        <w:rPr>
          <w:rFonts w:ascii="黑体" w:hAnsi="黑体" w:eastAsia="黑体" w:cs="黑体"/>
          <w:sz w:val="32"/>
          <w:szCs w:val="32"/>
          <w:lang w:eastAsia="zh-CN"/>
        </w:rPr>
      </w:pPr>
      <w:r>
        <w:rPr>
          <w:rFonts w:ascii="黑体" w:hAnsi="黑体" w:eastAsia="黑体" w:cs="黑体"/>
          <w:b/>
          <w:bCs/>
          <w:spacing w:val="-8"/>
          <w:sz w:val="32"/>
          <w:szCs w:val="32"/>
          <w:lang w:eastAsia="zh-CN"/>
        </w:rPr>
        <w:t>二、绩效评价工作情况</w:t>
      </w:r>
    </w:p>
    <w:p w14:paraId="3EB0667C">
      <w:pPr>
        <w:widowControl w:val="0"/>
        <w:kinsoku/>
        <w:overflowPunct w:val="0"/>
        <w:autoSpaceDE/>
        <w:autoSpaceDN/>
        <w:spacing w:line="360" w:lineRule="auto"/>
        <w:ind w:firstLine="683" w:firstLineChars="200"/>
        <w:outlineLvl w:val="0"/>
        <w:rPr>
          <w:rFonts w:ascii="楷体" w:hAnsi="楷体" w:eastAsia="楷体" w:cs="楷体"/>
          <w:b/>
          <w:bCs/>
          <w:spacing w:val="10"/>
          <w:sz w:val="32"/>
          <w:szCs w:val="32"/>
          <w:lang w:eastAsia="zh-CN"/>
        </w:rPr>
      </w:pPr>
      <w:r>
        <w:rPr>
          <w:rFonts w:ascii="楷体" w:hAnsi="楷体" w:eastAsia="楷体" w:cs="楷体"/>
          <w:b/>
          <w:bCs/>
          <w:spacing w:val="10"/>
          <w:sz w:val="32"/>
          <w:szCs w:val="32"/>
          <w:lang w:eastAsia="zh-CN"/>
        </w:rPr>
        <w:t>(一)绩效评价目的</w:t>
      </w:r>
    </w:p>
    <w:p w14:paraId="42C6505E">
      <w:pPr>
        <w:widowControl w:val="0"/>
        <w:kinsoku/>
        <w:overflowPunct w:val="0"/>
        <w:autoSpaceDE/>
        <w:autoSpaceDN/>
        <w:spacing w:line="360" w:lineRule="auto"/>
        <w:ind w:firstLine="628" w:firstLineChars="200"/>
        <w:outlineLvl w:val="0"/>
        <w:rPr>
          <w:rFonts w:hint="eastAsia" w:ascii="仿宋" w:hAnsi="仿宋" w:eastAsia="仿宋" w:cs="仿宋"/>
          <w:snapToGrid w:val="0"/>
          <w:color w:val="000000"/>
          <w:spacing w:val="-3"/>
          <w:sz w:val="32"/>
          <w:szCs w:val="32"/>
          <w:lang w:val="en-US" w:eastAsia="zh-CN" w:bidi="ar-SA"/>
        </w:rPr>
      </w:pPr>
      <w:r>
        <w:rPr>
          <w:rFonts w:hint="eastAsia" w:ascii="仿宋" w:hAnsi="仿宋" w:eastAsia="仿宋" w:cs="仿宋"/>
          <w:snapToGrid w:val="0"/>
          <w:color w:val="000000"/>
          <w:spacing w:val="-3"/>
          <w:sz w:val="32"/>
          <w:szCs w:val="32"/>
          <w:lang w:val="en-US" w:eastAsia="zh-CN" w:bidi="ar-SA"/>
        </w:rPr>
        <w:t>进一步规范财政专项资金管理，强化项目支出绩效理念和责任意识，提高项目资金使用效益。</w:t>
      </w:r>
    </w:p>
    <w:p w14:paraId="6BF435D5">
      <w:pPr>
        <w:widowControl w:val="0"/>
        <w:kinsoku/>
        <w:overflowPunct w:val="0"/>
        <w:autoSpaceDE/>
        <w:autoSpaceDN/>
        <w:spacing w:line="360" w:lineRule="auto"/>
        <w:ind w:firstLine="655" w:firstLineChars="200"/>
        <w:outlineLvl w:val="0"/>
        <w:rPr>
          <w:rFonts w:ascii="楷体" w:hAnsi="楷体" w:eastAsia="楷体" w:cs="楷体"/>
          <w:b/>
          <w:bCs/>
          <w:spacing w:val="3"/>
          <w:sz w:val="32"/>
          <w:szCs w:val="32"/>
          <w:lang w:eastAsia="zh-CN"/>
        </w:rPr>
      </w:pPr>
      <w:r>
        <w:rPr>
          <w:rFonts w:ascii="楷体" w:hAnsi="楷体" w:eastAsia="楷体" w:cs="楷体"/>
          <w:b/>
          <w:bCs/>
          <w:spacing w:val="3"/>
          <w:sz w:val="32"/>
          <w:szCs w:val="32"/>
          <w:lang w:eastAsia="zh-CN"/>
        </w:rPr>
        <w:t>(二)被评价单位、绩效评价范围与时段</w:t>
      </w:r>
    </w:p>
    <w:p w14:paraId="4A92CAD2">
      <w:pPr>
        <w:widowControl w:val="0"/>
        <w:kinsoku/>
        <w:overflowPunct w:val="0"/>
        <w:autoSpaceDE/>
        <w:autoSpaceDN/>
        <w:spacing w:line="360" w:lineRule="auto"/>
        <w:ind w:firstLine="628" w:firstLineChars="200"/>
        <w:outlineLvl w:val="0"/>
        <w:rPr>
          <w:rFonts w:hint="default" w:ascii="仿宋" w:hAnsi="仿宋" w:eastAsia="仿宋" w:cs="仿宋"/>
          <w:snapToGrid w:val="0"/>
          <w:color w:val="000000"/>
          <w:spacing w:val="-3"/>
          <w:sz w:val="32"/>
          <w:szCs w:val="32"/>
          <w:lang w:val="en-US" w:eastAsia="zh-CN" w:bidi="ar-SA"/>
        </w:rPr>
      </w:pPr>
      <w:r>
        <w:rPr>
          <w:rFonts w:hint="eastAsia" w:ascii="仿宋" w:hAnsi="仿宋" w:eastAsia="仿宋" w:cs="仿宋"/>
          <w:snapToGrid w:val="0"/>
          <w:color w:val="000000"/>
          <w:spacing w:val="-3"/>
          <w:sz w:val="32"/>
          <w:szCs w:val="32"/>
          <w:lang w:val="en-US" w:eastAsia="zh-CN" w:bidi="ar-SA"/>
        </w:rPr>
        <w:t>被评价单位为使用项目资金的村级组织及财政所；绩效评价的范围为绩效目标涵盖的范围，时段为使用项目资金全过程。</w:t>
      </w:r>
    </w:p>
    <w:p w14:paraId="37B66829">
      <w:pPr>
        <w:widowControl w:val="0"/>
        <w:kinsoku/>
        <w:overflowPunct w:val="0"/>
        <w:autoSpaceDE/>
        <w:autoSpaceDN/>
        <w:spacing w:line="360" w:lineRule="auto"/>
        <w:ind w:firstLine="651" w:firstLineChars="200"/>
        <w:outlineLvl w:val="0"/>
        <w:rPr>
          <w:rFonts w:ascii="楷体" w:hAnsi="楷体" w:eastAsia="楷体" w:cs="楷体"/>
          <w:b/>
          <w:bCs/>
          <w:spacing w:val="2"/>
          <w:sz w:val="32"/>
          <w:szCs w:val="32"/>
          <w:lang w:eastAsia="zh-CN"/>
        </w:rPr>
      </w:pPr>
      <w:r>
        <w:rPr>
          <w:rFonts w:ascii="楷体" w:hAnsi="楷体" w:eastAsia="楷体" w:cs="楷体"/>
          <w:b/>
          <w:bCs/>
          <w:spacing w:val="2"/>
          <w:sz w:val="32"/>
          <w:szCs w:val="32"/>
          <w:lang w:eastAsia="zh-CN"/>
        </w:rPr>
        <w:t>(三)绩效评价原则、评价指标体系、评价方法</w:t>
      </w:r>
    </w:p>
    <w:p w14:paraId="0E15629B">
      <w:pPr>
        <w:keepNext w:val="0"/>
        <w:keepLines w:val="0"/>
        <w:pageBreakBefore w:val="0"/>
        <w:widowControl w:val="0"/>
        <w:kinsoku/>
        <w:wordWrap/>
        <w:overflowPunct w:val="0"/>
        <w:topLinePunct w:val="0"/>
        <w:autoSpaceDE/>
        <w:autoSpaceDN/>
        <w:bidi w:val="0"/>
        <w:adjustRightInd w:val="0"/>
        <w:snapToGrid w:val="0"/>
        <w:spacing w:line="360" w:lineRule="auto"/>
        <w:ind w:firstLine="628" w:firstLineChars="200"/>
        <w:textAlignment w:val="baseline"/>
        <w:outlineLvl w:val="0"/>
        <w:rPr>
          <w:rFonts w:hint="eastAsia" w:ascii="仿宋" w:hAnsi="仿宋" w:eastAsia="仿宋" w:cs="仿宋"/>
          <w:snapToGrid w:val="0"/>
          <w:color w:val="000000"/>
          <w:spacing w:val="-3"/>
          <w:sz w:val="32"/>
          <w:szCs w:val="32"/>
          <w:lang w:val="en-US" w:eastAsia="zh-CN" w:bidi="ar-SA"/>
        </w:rPr>
      </w:pPr>
      <w:r>
        <w:rPr>
          <w:rFonts w:hint="eastAsia" w:ascii="仿宋" w:hAnsi="仿宋" w:eastAsia="仿宋" w:cs="仿宋"/>
          <w:snapToGrid w:val="0"/>
          <w:color w:val="000000"/>
          <w:spacing w:val="-3"/>
          <w:sz w:val="32"/>
          <w:szCs w:val="32"/>
          <w:lang w:val="en-US" w:eastAsia="zh-CN" w:bidi="ar-SA"/>
        </w:rPr>
        <w:t>绩效评价原则是科学、合理、客观；评价指标体系以湖南省预算支出绩效评价管理办法为指导，以项目业务实际内容为基础，结合项目实施单位职能职责、年度预算绩效目标和专项资金管理办法综合制定评价体系；评价方法则是运用科学、合理、考虑实际情况的绩效评价方法。</w:t>
      </w:r>
    </w:p>
    <w:p w14:paraId="21A4D01C">
      <w:pPr>
        <w:spacing w:line="242" w:lineRule="auto"/>
        <w:ind w:firstLine="619" w:firstLineChars="200"/>
        <w:rPr>
          <w:lang w:eastAsia="zh-CN"/>
        </w:rPr>
      </w:pPr>
      <w:r>
        <w:rPr>
          <w:rFonts w:ascii="黑体" w:hAnsi="黑体" w:eastAsia="黑体" w:cs="黑体"/>
          <w:b/>
          <w:bCs/>
          <w:spacing w:val="-6"/>
          <w:sz w:val="32"/>
          <w:szCs w:val="32"/>
          <w:lang w:eastAsia="zh-CN"/>
        </w:rPr>
        <w:t>三、主要绩效及评价结论</w:t>
      </w:r>
    </w:p>
    <w:p w14:paraId="604B91E6">
      <w:pPr>
        <w:spacing w:line="242" w:lineRule="auto"/>
        <w:rPr>
          <w:lang w:eastAsia="zh-CN"/>
        </w:rPr>
      </w:pPr>
    </w:p>
    <w:p w14:paraId="727BF888">
      <w:pPr>
        <w:keepNext w:val="0"/>
        <w:keepLines w:val="0"/>
        <w:pageBreakBefore w:val="0"/>
        <w:wordWrap/>
        <w:topLinePunct w:val="0"/>
        <w:bidi w:val="0"/>
        <w:adjustRightInd w:val="0"/>
        <w:snapToGrid w:val="0"/>
        <w:spacing w:before="107" w:line="360" w:lineRule="auto"/>
        <w:ind w:left="849"/>
        <w:textAlignment w:val="baseline"/>
        <w:rPr>
          <w:rFonts w:hint="eastAsia" w:ascii="仿宋" w:hAnsi="仿宋" w:eastAsia="仿宋" w:cs="仿宋"/>
          <w:snapToGrid w:val="0"/>
          <w:color w:val="000000"/>
          <w:spacing w:val="-3"/>
          <w:sz w:val="32"/>
          <w:szCs w:val="32"/>
          <w:lang w:val="en-US" w:eastAsia="zh-CN" w:bidi="ar-SA"/>
        </w:rPr>
      </w:pPr>
      <w:r>
        <w:rPr>
          <w:rFonts w:hint="eastAsia" w:ascii="仿宋" w:hAnsi="仿宋" w:eastAsia="仿宋" w:cs="仿宋"/>
          <w:snapToGrid w:val="0"/>
          <w:color w:val="000000"/>
          <w:spacing w:val="-3"/>
          <w:sz w:val="32"/>
          <w:szCs w:val="32"/>
          <w:lang w:val="en-US" w:eastAsia="zh-CN" w:bidi="ar-SA"/>
        </w:rPr>
        <w:t>(一)社会效益</w:t>
      </w:r>
    </w:p>
    <w:p w14:paraId="425780B6">
      <w:pPr>
        <w:keepNext w:val="0"/>
        <w:keepLines w:val="0"/>
        <w:pageBreakBefore w:val="0"/>
        <w:widowControl/>
        <w:kinsoku w:val="0"/>
        <w:wordWrap/>
        <w:overflowPunct/>
        <w:topLinePunct w:val="0"/>
        <w:autoSpaceDE w:val="0"/>
        <w:autoSpaceDN w:val="0"/>
        <w:bidi w:val="0"/>
        <w:adjustRightInd w:val="0"/>
        <w:snapToGrid w:val="0"/>
        <w:spacing w:before="107" w:line="360" w:lineRule="auto"/>
        <w:ind w:firstLine="628" w:firstLineChars="200"/>
        <w:textAlignment w:val="baseline"/>
        <w:rPr>
          <w:rFonts w:hint="eastAsia" w:ascii="仿宋" w:hAnsi="仿宋" w:eastAsia="仿宋" w:cs="仿宋"/>
          <w:snapToGrid w:val="0"/>
          <w:color w:val="000000"/>
          <w:spacing w:val="-3"/>
          <w:sz w:val="32"/>
          <w:szCs w:val="32"/>
          <w:lang w:val="en-US" w:eastAsia="zh-CN" w:bidi="ar-SA"/>
        </w:rPr>
      </w:pPr>
      <w:r>
        <w:rPr>
          <w:rFonts w:hint="eastAsia" w:ascii="仿宋" w:hAnsi="仿宋" w:eastAsia="仿宋" w:cs="仿宋"/>
          <w:snapToGrid w:val="0"/>
          <w:color w:val="000000"/>
          <w:spacing w:val="-3"/>
          <w:sz w:val="32"/>
          <w:szCs w:val="32"/>
          <w:lang w:val="en-US" w:eastAsia="zh-CN" w:bidi="ar-SA"/>
        </w:rPr>
        <w:t>村级运转经费的使用保障了村级组织运转，提高服务村民水平，对社会发展起到促进作用；财政所信息化建设经费保障财政所日常运作，提高财政所服务乡镇水平，对黄岩社会经济发展发挥正向影响作用。</w:t>
      </w:r>
    </w:p>
    <w:p w14:paraId="515AFAB3">
      <w:pPr>
        <w:keepNext w:val="0"/>
        <w:keepLines w:val="0"/>
        <w:pageBreakBefore w:val="0"/>
        <w:wordWrap/>
        <w:topLinePunct w:val="0"/>
        <w:bidi w:val="0"/>
        <w:adjustRightInd w:val="0"/>
        <w:snapToGrid w:val="0"/>
        <w:spacing w:before="113" w:line="360" w:lineRule="auto"/>
        <w:ind w:left="849"/>
        <w:textAlignment w:val="baseline"/>
        <w:rPr>
          <w:rFonts w:hint="eastAsia" w:ascii="仿宋" w:hAnsi="仿宋" w:eastAsia="仿宋" w:cs="仿宋"/>
          <w:snapToGrid w:val="0"/>
          <w:color w:val="000000"/>
          <w:spacing w:val="-3"/>
          <w:sz w:val="32"/>
          <w:szCs w:val="32"/>
          <w:lang w:val="en-US" w:eastAsia="zh-CN" w:bidi="ar-SA"/>
        </w:rPr>
      </w:pPr>
      <w:r>
        <w:rPr>
          <w:rFonts w:hint="eastAsia" w:ascii="仿宋" w:hAnsi="仿宋" w:eastAsia="仿宋" w:cs="仿宋"/>
          <w:snapToGrid w:val="0"/>
          <w:color w:val="000000"/>
          <w:spacing w:val="-3"/>
          <w:sz w:val="32"/>
          <w:szCs w:val="32"/>
          <w:lang w:val="en-US" w:eastAsia="zh-CN" w:bidi="ar-SA"/>
        </w:rPr>
        <w:t>(二)生态效益</w:t>
      </w:r>
    </w:p>
    <w:p w14:paraId="1F7F8D7E">
      <w:pPr>
        <w:keepNext w:val="0"/>
        <w:keepLines w:val="0"/>
        <w:pageBreakBefore w:val="0"/>
        <w:widowControl/>
        <w:kinsoku w:val="0"/>
        <w:wordWrap/>
        <w:overflowPunct/>
        <w:topLinePunct w:val="0"/>
        <w:autoSpaceDE w:val="0"/>
        <w:autoSpaceDN w:val="0"/>
        <w:bidi w:val="0"/>
        <w:adjustRightInd w:val="0"/>
        <w:snapToGrid w:val="0"/>
        <w:spacing w:before="107" w:line="360" w:lineRule="auto"/>
        <w:ind w:firstLine="628" w:firstLineChars="200"/>
        <w:textAlignment w:val="baseline"/>
        <w:rPr>
          <w:rFonts w:hint="eastAsia" w:ascii="仿宋" w:hAnsi="仿宋" w:eastAsia="仿宋" w:cs="仿宋"/>
          <w:snapToGrid w:val="0"/>
          <w:color w:val="000000"/>
          <w:spacing w:val="-3"/>
          <w:sz w:val="32"/>
          <w:szCs w:val="32"/>
          <w:lang w:val="en-US" w:eastAsia="zh-CN" w:bidi="ar-SA"/>
        </w:rPr>
      </w:pPr>
      <w:r>
        <w:rPr>
          <w:rFonts w:hint="eastAsia" w:ascii="仿宋" w:hAnsi="仿宋" w:eastAsia="仿宋" w:cs="仿宋"/>
          <w:snapToGrid w:val="0"/>
          <w:color w:val="000000"/>
          <w:spacing w:val="-3"/>
          <w:sz w:val="32"/>
          <w:szCs w:val="32"/>
          <w:lang w:val="en-US" w:eastAsia="zh-CN" w:bidi="ar-SA"/>
        </w:rPr>
        <w:t>村级运转经费的使用保障了村级组织运转，提高服务村民水平，包括处理各种水渠维修、生态林修剪以及组织人居环境整治等生态环境相关问题，对生态发展起到促进作用；财政所信息化建设经费保障财政所日常信息化建设，提高财政所服务乡镇水平，对黄岩生态发展间接发挥正向作用。</w:t>
      </w:r>
    </w:p>
    <w:p w14:paraId="0D4DD941">
      <w:pPr>
        <w:keepNext w:val="0"/>
        <w:keepLines w:val="0"/>
        <w:pageBreakBefore w:val="0"/>
        <w:wordWrap/>
        <w:topLinePunct w:val="0"/>
        <w:bidi w:val="0"/>
        <w:adjustRightInd w:val="0"/>
        <w:snapToGrid w:val="0"/>
        <w:spacing w:before="113" w:line="360" w:lineRule="auto"/>
        <w:ind w:left="849"/>
        <w:textAlignment w:val="baseline"/>
        <w:rPr>
          <w:rFonts w:hint="eastAsia" w:ascii="仿宋" w:hAnsi="仿宋" w:eastAsia="仿宋" w:cs="仿宋"/>
          <w:snapToGrid w:val="0"/>
          <w:color w:val="000000"/>
          <w:spacing w:val="-3"/>
          <w:sz w:val="32"/>
          <w:szCs w:val="32"/>
          <w:lang w:val="en-US" w:eastAsia="zh-CN" w:bidi="ar-SA"/>
        </w:rPr>
      </w:pPr>
      <w:r>
        <w:rPr>
          <w:rFonts w:hint="eastAsia" w:ascii="仿宋" w:hAnsi="仿宋" w:eastAsia="仿宋" w:cs="仿宋"/>
          <w:snapToGrid w:val="0"/>
          <w:color w:val="000000"/>
          <w:spacing w:val="-3"/>
          <w:sz w:val="32"/>
          <w:szCs w:val="32"/>
          <w:lang w:val="en-US" w:eastAsia="zh-CN" w:bidi="ar-SA"/>
        </w:rPr>
        <w:t>(三)可持续影响</w:t>
      </w:r>
    </w:p>
    <w:p w14:paraId="2FB1A1A2">
      <w:pPr>
        <w:keepNext w:val="0"/>
        <w:keepLines w:val="0"/>
        <w:pageBreakBefore w:val="0"/>
        <w:widowControl/>
        <w:kinsoku w:val="0"/>
        <w:wordWrap/>
        <w:overflowPunct/>
        <w:topLinePunct w:val="0"/>
        <w:autoSpaceDE w:val="0"/>
        <w:autoSpaceDN w:val="0"/>
        <w:bidi w:val="0"/>
        <w:adjustRightInd w:val="0"/>
        <w:snapToGrid w:val="0"/>
        <w:spacing w:before="113" w:line="360" w:lineRule="auto"/>
        <w:ind w:firstLine="628" w:firstLineChars="200"/>
        <w:textAlignment w:val="baseline"/>
        <w:rPr>
          <w:rFonts w:hint="eastAsia" w:ascii="仿宋" w:hAnsi="仿宋" w:eastAsia="仿宋" w:cs="仿宋"/>
          <w:snapToGrid w:val="0"/>
          <w:color w:val="000000"/>
          <w:spacing w:val="-3"/>
          <w:sz w:val="32"/>
          <w:szCs w:val="32"/>
          <w:lang w:val="en-US" w:eastAsia="zh-CN" w:bidi="ar-SA"/>
        </w:rPr>
      </w:pPr>
      <w:r>
        <w:rPr>
          <w:rFonts w:hint="eastAsia" w:ascii="仿宋" w:hAnsi="仿宋" w:eastAsia="仿宋" w:cs="仿宋"/>
          <w:snapToGrid w:val="0"/>
          <w:color w:val="000000"/>
          <w:spacing w:val="-3"/>
          <w:sz w:val="32"/>
          <w:szCs w:val="32"/>
          <w:lang w:val="en-US" w:eastAsia="zh-CN" w:bidi="ar-SA"/>
        </w:rPr>
        <w:t>村级运转经费使得村级组织服务群众可持续；财政所信息化建设经费使服务乡镇影响可持续。</w:t>
      </w:r>
    </w:p>
    <w:p w14:paraId="0FC6341C">
      <w:pPr>
        <w:keepNext w:val="0"/>
        <w:keepLines w:val="0"/>
        <w:pageBreakBefore w:val="0"/>
        <w:wordWrap/>
        <w:topLinePunct w:val="0"/>
        <w:bidi w:val="0"/>
        <w:adjustRightInd w:val="0"/>
        <w:snapToGrid w:val="0"/>
        <w:spacing w:before="117" w:line="360" w:lineRule="auto"/>
        <w:ind w:left="849"/>
        <w:textAlignment w:val="baseline"/>
        <w:rPr>
          <w:rFonts w:hint="eastAsia" w:ascii="仿宋" w:hAnsi="仿宋" w:eastAsia="仿宋" w:cs="仿宋"/>
          <w:snapToGrid w:val="0"/>
          <w:color w:val="000000"/>
          <w:spacing w:val="-3"/>
          <w:sz w:val="32"/>
          <w:szCs w:val="32"/>
          <w:lang w:val="en-US" w:eastAsia="zh-CN" w:bidi="ar-SA"/>
        </w:rPr>
      </w:pPr>
      <w:r>
        <w:rPr>
          <w:rFonts w:hint="eastAsia" w:ascii="仿宋" w:hAnsi="仿宋" w:eastAsia="仿宋" w:cs="仿宋"/>
          <w:snapToGrid w:val="0"/>
          <w:color w:val="000000"/>
          <w:spacing w:val="-3"/>
          <w:sz w:val="32"/>
          <w:szCs w:val="32"/>
          <w:lang w:val="en-US" w:eastAsia="zh-CN" w:bidi="ar-SA"/>
        </w:rPr>
        <w:t>(四)满意度情况</w:t>
      </w:r>
    </w:p>
    <w:p w14:paraId="2B6BFC31">
      <w:pPr>
        <w:keepNext w:val="0"/>
        <w:keepLines w:val="0"/>
        <w:pageBreakBefore w:val="0"/>
        <w:widowControl/>
        <w:kinsoku w:val="0"/>
        <w:wordWrap/>
        <w:overflowPunct/>
        <w:topLinePunct w:val="0"/>
        <w:autoSpaceDE w:val="0"/>
        <w:autoSpaceDN w:val="0"/>
        <w:bidi w:val="0"/>
        <w:adjustRightInd w:val="0"/>
        <w:snapToGrid w:val="0"/>
        <w:spacing w:before="117" w:line="360" w:lineRule="auto"/>
        <w:ind w:firstLine="628" w:firstLineChars="200"/>
        <w:textAlignment w:val="baseline"/>
        <w:rPr>
          <w:rFonts w:hint="default" w:ascii="仿宋" w:hAnsi="仿宋" w:eastAsia="仿宋" w:cs="仿宋"/>
          <w:snapToGrid w:val="0"/>
          <w:color w:val="000000"/>
          <w:spacing w:val="-3"/>
          <w:sz w:val="32"/>
          <w:szCs w:val="32"/>
          <w:lang w:val="en-US" w:eastAsia="zh-CN" w:bidi="ar-SA"/>
        </w:rPr>
      </w:pPr>
      <w:r>
        <w:rPr>
          <w:rFonts w:hint="eastAsia" w:ascii="仿宋" w:hAnsi="仿宋" w:eastAsia="仿宋" w:cs="仿宋"/>
          <w:snapToGrid w:val="0"/>
          <w:color w:val="000000"/>
          <w:spacing w:val="-3"/>
          <w:sz w:val="32"/>
          <w:szCs w:val="32"/>
          <w:lang w:val="en-US" w:eastAsia="zh-CN" w:bidi="ar-SA"/>
        </w:rPr>
        <w:t>服务对象满意度均达到90%以上。</w:t>
      </w:r>
    </w:p>
    <w:p w14:paraId="40172888">
      <w:pPr>
        <w:keepNext w:val="0"/>
        <w:keepLines w:val="0"/>
        <w:pageBreakBefore w:val="0"/>
        <w:wordWrap/>
        <w:topLinePunct w:val="0"/>
        <w:bidi w:val="0"/>
        <w:adjustRightInd w:val="0"/>
        <w:snapToGrid w:val="0"/>
        <w:spacing w:before="98" w:line="360" w:lineRule="auto"/>
        <w:ind w:left="849"/>
        <w:textAlignment w:val="baseline"/>
        <w:rPr>
          <w:rFonts w:hint="eastAsia" w:ascii="仿宋" w:hAnsi="仿宋" w:eastAsia="仿宋" w:cs="仿宋"/>
          <w:snapToGrid w:val="0"/>
          <w:color w:val="000000"/>
          <w:spacing w:val="-3"/>
          <w:sz w:val="32"/>
          <w:szCs w:val="32"/>
          <w:lang w:val="en-US" w:eastAsia="zh-CN" w:bidi="ar-SA"/>
        </w:rPr>
      </w:pPr>
      <w:r>
        <w:rPr>
          <w:rFonts w:hint="eastAsia" w:ascii="仿宋" w:hAnsi="仿宋" w:eastAsia="仿宋" w:cs="仿宋"/>
          <w:snapToGrid w:val="0"/>
          <w:color w:val="000000"/>
          <w:spacing w:val="-3"/>
          <w:sz w:val="32"/>
          <w:szCs w:val="32"/>
          <w:lang w:val="en-US" w:eastAsia="zh-CN" w:bidi="ar-SA"/>
        </w:rPr>
        <w:t>(五)评价结论</w:t>
      </w:r>
    </w:p>
    <w:p w14:paraId="58FC826F">
      <w:pPr>
        <w:keepNext w:val="0"/>
        <w:keepLines w:val="0"/>
        <w:pageBreakBefore w:val="0"/>
        <w:widowControl/>
        <w:kinsoku w:val="0"/>
        <w:wordWrap/>
        <w:overflowPunct/>
        <w:topLinePunct w:val="0"/>
        <w:autoSpaceDE w:val="0"/>
        <w:autoSpaceDN w:val="0"/>
        <w:bidi w:val="0"/>
        <w:adjustRightInd w:val="0"/>
        <w:snapToGrid w:val="0"/>
        <w:spacing w:before="98" w:line="360" w:lineRule="auto"/>
        <w:ind w:firstLine="628" w:firstLineChars="200"/>
        <w:textAlignment w:val="baseline"/>
        <w:rPr>
          <w:rFonts w:hint="eastAsia" w:ascii="仿宋" w:hAnsi="仿宋" w:eastAsia="仿宋" w:cs="仿宋"/>
          <w:snapToGrid w:val="0"/>
          <w:color w:val="000000"/>
          <w:spacing w:val="-3"/>
          <w:sz w:val="32"/>
          <w:szCs w:val="32"/>
          <w:lang w:val="en-US" w:eastAsia="zh-CN" w:bidi="ar-SA"/>
        </w:rPr>
      </w:pPr>
      <w:r>
        <w:rPr>
          <w:rFonts w:hint="eastAsia" w:ascii="仿宋" w:hAnsi="仿宋" w:eastAsia="仿宋" w:cs="仿宋"/>
          <w:snapToGrid w:val="0"/>
          <w:color w:val="000000"/>
          <w:spacing w:val="-3"/>
          <w:sz w:val="32"/>
          <w:szCs w:val="32"/>
          <w:lang w:val="en-US" w:eastAsia="zh-CN" w:bidi="ar-SA"/>
        </w:rPr>
        <w:t>项目经费支出总体绩效目标、各项绩效指标完成情况良好，预算执行情况良好，资金使用规范，按质按量完成，实现的产出情况达到预期。</w:t>
      </w:r>
    </w:p>
    <w:p w14:paraId="0036785B">
      <w:pPr>
        <w:keepNext w:val="0"/>
        <w:keepLines w:val="0"/>
        <w:pageBreakBefore w:val="0"/>
        <w:wordWrap/>
        <w:topLinePunct w:val="0"/>
        <w:bidi w:val="0"/>
        <w:adjustRightInd w:val="0"/>
        <w:snapToGrid w:val="0"/>
        <w:spacing w:before="142" w:line="360" w:lineRule="auto"/>
        <w:ind w:left="694"/>
        <w:textAlignment w:val="baseline"/>
        <w:outlineLvl w:val="0"/>
        <w:rPr>
          <w:rFonts w:ascii="黑体" w:hAnsi="黑体" w:eastAsia="黑体" w:cs="黑体"/>
          <w:sz w:val="33"/>
          <w:szCs w:val="33"/>
          <w:lang w:eastAsia="zh-CN"/>
        </w:rPr>
      </w:pPr>
      <w:r>
        <w:rPr>
          <w:rFonts w:ascii="黑体" w:hAnsi="黑体" w:eastAsia="黑体" w:cs="黑体"/>
          <w:b/>
          <w:bCs/>
          <w:spacing w:val="-32"/>
          <w:sz w:val="33"/>
          <w:szCs w:val="33"/>
          <w:lang w:eastAsia="zh-CN"/>
        </w:rPr>
        <w:t>四、绩效评价指标分析</w:t>
      </w:r>
    </w:p>
    <w:p w14:paraId="6AF98E9C">
      <w:pPr>
        <w:keepNext w:val="0"/>
        <w:keepLines w:val="0"/>
        <w:pageBreakBefore w:val="0"/>
        <w:wordWrap/>
        <w:topLinePunct w:val="0"/>
        <w:bidi w:val="0"/>
        <w:adjustRightInd w:val="0"/>
        <w:snapToGrid w:val="0"/>
        <w:spacing w:before="120" w:line="360" w:lineRule="auto"/>
        <w:ind w:left="694"/>
        <w:textAlignment w:val="baseline"/>
        <w:outlineLvl w:val="0"/>
        <w:rPr>
          <w:rFonts w:ascii="楷体" w:hAnsi="楷体" w:eastAsia="楷体" w:cs="楷体"/>
          <w:b/>
          <w:bCs/>
          <w:spacing w:val="-19"/>
          <w:sz w:val="33"/>
          <w:szCs w:val="33"/>
          <w:lang w:eastAsia="zh-CN"/>
        </w:rPr>
      </w:pPr>
      <w:r>
        <w:rPr>
          <w:rFonts w:ascii="楷体" w:hAnsi="楷体" w:eastAsia="楷体" w:cs="楷体"/>
          <w:b/>
          <w:bCs/>
          <w:spacing w:val="-19"/>
          <w:sz w:val="33"/>
          <w:szCs w:val="33"/>
          <w:lang w:eastAsia="zh-CN"/>
        </w:rPr>
        <w:t>(一)项目决策情况</w:t>
      </w:r>
    </w:p>
    <w:p w14:paraId="7F82DC87">
      <w:pPr>
        <w:keepNext w:val="0"/>
        <w:keepLines w:val="0"/>
        <w:pageBreakBefore w:val="0"/>
        <w:widowControl/>
        <w:kinsoku w:val="0"/>
        <w:wordWrap/>
        <w:overflowPunct/>
        <w:topLinePunct w:val="0"/>
        <w:autoSpaceDE w:val="0"/>
        <w:autoSpaceDN w:val="0"/>
        <w:bidi w:val="0"/>
        <w:adjustRightInd w:val="0"/>
        <w:snapToGrid w:val="0"/>
        <w:spacing w:before="120" w:line="360" w:lineRule="auto"/>
        <w:ind w:firstLine="612" w:firstLineChars="200"/>
        <w:textAlignment w:val="baseline"/>
        <w:outlineLvl w:val="0"/>
        <w:rPr>
          <w:rFonts w:ascii="仿宋" w:hAnsi="仿宋" w:eastAsia="仿宋" w:cs="仿宋"/>
          <w:snapToGrid w:val="0"/>
          <w:color w:val="000000"/>
          <w:spacing w:val="-12"/>
          <w:sz w:val="33"/>
          <w:szCs w:val="33"/>
          <w:lang w:val="en-US" w:eastAsia="zh-CN" w:bidi="ar-SA"/>
        </w:rPr>
      </w:pPr>
      <w:r>
        <w:rPr>
          <w:rFonts w:hint="eastAsia" w:ascii="仿宋" w:hAnsi="仿宋" w:eastAsia="仿宋" w:cs="仿宋"/>
          <w:snapToGrid w:val="0"/>
          <w:color w:val="000000"/>
          <w:spacing w:val="-12"/>
          <w:sz w:val="33"/>
          <w:szCs w:val="33"/>
          <w:lang w:val="en-US" w:eastAsia="zh-CN" w:bidi="ar-SA"/>
        </w:rPr>
        <w:t>项目决策依据充分，目标明确，符合单位发展需求和政策要求。</w:t>
      </w:r>
    </w:p>
    <w:p w14:paraId="05C96163">
      <w:pPr>
        <w:keepNext w:val="0"/>
        <w:keepLines w:val="0"/>
        <w:pageBreakBefore w:val="0"/>
        <w:wordWrap/>
        <w:topLinePunct w:val="0"/>
        <w:bidi w:val="0"/>
        <w:adjustRightInd w:val="0"/>
        <w:snapToGrid w:val="0"/>
        <w:spacing w:before="135" w:line="360" w:lineRule="auto"/>
        <w:ind w:left="694"/>
        <w:textAlignment w:val="baseline"/>
        <w:outlineLvl w:val="0"/>
        <w:rPr>
          <w:rFonts w:ascii="楷体" w:hAnsi="楷体" w:eastAsia="楷体" w:cs="楷体"/>
          <w:sz w:val="33"/>
          <w:szCs w:val="33"/>
          <w:lang w:eastAsia="zh-CN"/>
        </w:rPr>
      </w:pPr>
      <w:r>
        <w:rPr>
          <w:rFonts w:ascii="楷体" w:hAnsi="楷体" w:eastAsia="楷体" w:cs="楷体"/>
          <w:b/>
          <w:bCs/>
          <w:spacing w:val="-20"/>
          <w:sz w:val="33"/>
          <w:szCs w:val="33"/>
          <w:lang w:eastAsia="zh-CN"/>
        </w:rPr>
        <w:t>(二)项目过程情况</w:t>
      </w:r>
    </w:p>
    <w:p w14:paraId="01F9BF0A">
      <w:pPr>
        <w:pStyle w:val="2"/>
        <w:keepNext w:val="0"/>
        <w:keepLines w:val="0"/>
        <w:pageBreakBefore w:val="0"/>
        <w:wordWrap/>
        <w:topLinePunct w:val="0"/>
        <w:bidi w:val="0"/>
        <w:adjustRightInd w:val="0"/>
        <w:snapToGrid w:val="0"/>
        <w:spacing w:before="120" w:line="360" w:lineRule="auto"/>
        <w:ind w:left="669" w:right="6174" w:firstLine="19"/>
        <w:textAlignment w:val="baseline"/>
        <w:rPr>
          <w:spacing w:val="-12"/>
          <w:sz w:val="33"/>
          <w:szCs w:val="33"/>
          <w:lang w:eastAsia="zh-CN"/>
        </w:rPr>
      </w:pPr>
      <w:r>
        <w:rPr>
          <w:spacing w:val="-12"/>
          <w:sz w:val="33"/>
          <w:szCs w:val="33"/>
          <w:lang w:eastAsia="zh-CN"/>
        </w:rPr>
        <w:t>1.资金管理</w:t>
      </w:r>
    </w:p>
    <w:p w14:paraId="27BCC861">
      <w:pPr>
        <w:keepNext w:val="0"/>
        <w:keepLines w:val="0"/>
        <w:pageBreakBefore w:val="0"/>
        <w:widowControl w:val="0"/>
        <w:kinsoku/>
        <w:wordWrap/>
        <w:overflowPunct w:val="0"/>
        <w:topLinePunct w:val="0"/>
        <w:autoSpaceDE/>
        <w:autoSpaceDN/>
        <w:bidi w:val="0"/>
        <w:adjustRightInd w:val="0"/>
        <w:snapToGrid w:val="0"/>
        <w:spacing w:line="360" w:lineRule="auto"/>
        <w:ind w:firstLine="688" w:firstLineChars="200"/>
        <w:textAlignment w:val="baseline"/>
        <w:outlineLvl w:val="0"/>
        <w:rPr>
          <w:spacing w:val="-12"/>
          <w:sz w:val="33"/>
          <w:szCs w:val="33"/>
          <w:lang w:eastAsia="zh-CN"/>
        </w:rPr>
      </w:pPr>
      <w:r>
        <w:rPr>
          <w:rFonts w:hint="eastAsia" w:ascii="仿宋" w:hAnsi="仿宋" w:eastAsia="仿宋" w:cs="仿宋"/>
          <w:snapToGrid w:val="0"/>
          <w:color w:val="000000"/>
          <w:spacing w:val="12"/>
          <w:sz w:val="32"/>
          <w:szCs w:val="32"/>
          <w:lang w:val="en-US" w:eastAsia="zh-CN" w:bidi="ar-SA"/>
        </w:rPr>
        <w:t>资金管理制度健全，资金使用合规，财务核算规范。</w:t>
      </w:r>
    </w:p>
    <w:p w14:paraId="010A12A6">
      <w:pPr>
        <w:pStyle w:val="2"/>
        <w:keepNext w:val="0"/>
        <w:keepLines w:val="0"/>
        <w:pageBreakBefore w:val="0"/>
        <w:wordWrap/>
        <w:topLinePunct w:val="0"/>
        <w:bidi w:val="0"/>
        <w:adjustRightInd w:val="0"/>
        <w:snapToGrid w:val="0"/>
        <w:spacing w:before="120" w:line="360" w:lineRule="auto"/>
        <w:ind w:left="669" w:right="6174" w:firstLine="19"/>
        <w:textAlignment w:val="baseline"/>
        <w:rPr>
          <w:spacing w:val="-9"/>
          <w:sz w:val="33"/>
          <w:szCs w:val="33"/>
          <w:lang w:eastAsia="zh-CN"/>
        </w:rPr>
      </w:pPr>
      <w:r>
        <w:rPr>
          <w:rFonts w:ascii="宋体" w:hAnsi="宋体" w:eastAsia="宋体" w:cs="宋体"/>
          <w:spacing w:val="-9"/>
          <w:sz w:val="33"/>
          <w:szCs w:val="33"/>
          <w:lang w:eastAsia="zh-CN"/>
        </w:rPr>
        <w:t>2.</w:t>
      </w:r>
      <w:r>
        <w:rPr>
          <w:spacing w:val="-9"/>
          <w:sz w:val="33"/>
          <w:szCs w:val="33"/>
          <w:lang w:eastAsia="zh-CN"/>
        </w:rPr>
        <w:t>项目实施</w:t>
      </w:r>
    </w:p>
    <w:p w14:paraId="0422B353">
      <w:pPr>
        <w:pStyle w:val="2"/>
        <w:keepNext w:val="0"/>
        <w:keepLines w:val="0"/>
        <w:pageBreakBefore w:val="0"/>
        <w:widowControl/>
        <w:kinsoku w:val="0"/>
        <w:wordWrap/>
        <w:overflowPunct/>
        <w:topLinePunct w:val="0"/>
        <w:autoSpaceDE w:val="0"/>
        <w:autoSpaceDN w:val="0"/>
        <w:bidi w:val="0"/>
        <w:adjustRightInd w:val="0"/>
        <w:snapToGrid w:val="0"/>
        <w:spacing w:before="120" w:line="360" w:lineRule="auto"/>
        <w:ind w:left="0" w:right="0" w:firstLine="624" w:firstLineChars="200"/>
        <w:textAlignment w:val="baseline"/>
        <w:rPr>
          <w:spacing w:val="-9"/>
          <w:sz w:val="33"/>
          <w:szCs w:val="33"/>
          <w:lang w:eastAsia="zh-CN"/>
        </w:rPr>
      </w:pPr>
      <w:r>
        <w:rPr>
          <w:rFonts w:hint="eastAsia"/>
          <w:spacing w:val="-9"/>
          <w:sz w:val="33"/>
          <w:szCs w:val="33"/>
          <w:lang w:eastAsia="zh-CN"/>
        </w:rPr>
        <w:t>严格按各项制度、流程推进项目的实施。</w:t>
      </w:r>
    </w:p>
    <w:p w14:paraId="7225F14A">
      <w:pPr>
        <w:keepNext w:val="0"/>
        <w:keepLines w:val="0"/>
        <w:pageBreakBefore w:val="0"/>
        <w:wordWrap/>
        <w:topLinePunct w:val="0"/>
        <w:bidi w:val="0"/>
        <w:adjustRightInd w:val="0"/>
        <w:snapToGrid w:val="0"/>
        <w:spacing w:before="85" w:line="360" w:lineRule="auto"/>
        <w:ind w:left="694"/>
        <w:textAlignment w:val="baseline"/>
        <w:outlineLvl w:val="0"/>
        <w:rPr>
          <w:rFonts w:ascii="楷体" w:hAnsi="楷体" w:eastAsia="楷体" w:cs="楷体"/>
          <w:sz w:val="33"/>
          <w:szCs w:val="33"/>
          <w:lang w:eastAsia="zh-CN"/>
        </w:rPr>
      </w:pPr>
      <w:r>
        <w:rPr>
          <w:rFonts w:ascii="楷体" w:hAnsi="楷体" w:eastAsia="楷体" w:cs="楷体"/>
          <w:b/>
          <w:bCs/>
          <w:spacing w:val="-17"/>
          <w:sz w:val="33"/>
          <w:szCs w:val="33"/>
          <w:lang w:eastAsia="zh-CN"/>
        </w:rPr>
        <w:t>(三)项目产出情况</w:t>
      </w:r>
    </w:p>
    <w:p w14:paraId="3005DE95">
      <w:pPr>
        <w:pStyle w:val="2"/>
        <w:keepNext w:val="0"/>
        <w:keepLines w:val="0"/>
        <w:pageBreakBefore w:val="0"/>
        <w:wordWrap/>
        <w:topLinePunct w:val="0"/>
        <w:bidi w:val="0"/>
        <w:adjustRightInd w:val="0"/>
        <w:snapToGrid w:val="0"/>
        <w:spacing w:before="129" w:line="360" w:lineRule="auto"/>
        <w:ind w:left="669" w:right="6165" w:firstLine="19"/>
        <w:jc w:val="both"/>
        <w:textAlignment w:val="baseline"/>
        <w:rPr>
          <w:spacing w:val="-11"/>
          <w:sz w:val="33"/>
          <w:szCs w:val="33"/>
          <w:lang w:eastAsia="zh-CN"/>
        </w:rPr>
      </w:pPr>
      <w:r>
        <w:rPr>
          <w:spacing w:val="-11"/>
          <w:sz w:val="33"/>
          <w:szCs w:val="33"/>
          <w:lang w:eastAsia="zh-CN"/>
        </w:rPr>
        <w:t>1.产出数量</w:t>
      </w:r>
    </w:p>
    <w:p w14:paraId="66762953">
      <w:pPr>
        <w:pStyle w:val="2"/>
        <w:keepNext w:val="0"/>
        <w:keepLines w:val="0"/>
        <w:pageBreakBefore w:val="0"/>
        <w:widowControl/>
        <w:kinsoku w:val="0"/>
        <w:wordWrap/>
        <w:overflowPunct/>
        <w:topLinePunct w:val="0"/>
        <w:autoSpaceDE w:val="0"/>
        <w:autoSpaceDN w:val="0"/>
        <w:bidi w:val="0"/>
        <w:adjustRightInd w:val="0"/>
        <w:snapToGrid w:val="0"/>
        <w:spacing w:before="129" w:line="360" w:lineRule="auto"/>
        <w:ind w:left="0" w:right="0" w:firstLine="616" w:firstLineChars="200"/>
        <w:jc w:val="both"/>
        <w:textAlignment w:val="baseline"/>
        <w:rPr>
          <w:rFonts w:hint="default"/>
          <w:spacing w:val="-11"/>
          <w:sz w:val="33"/>
          <w:szCs w:val="33"/>
          <w:lang w:val="en-US" w:eastAsia="zh-CN"/>
        </w:rPr>
      </w:pPr>
      <w:r>
        <w:rPr>
          <w:rFonts w:hint="eastAsia"/>
          <w:spacing w:val="-11"/>
          <w:sz w:val="33"/>
          <w:szCs w:val="33"/>
          <w:lang w:eastAsia="zh-CN"/>
        </w:rPr>
        <w:t>（</w:t>
      </w:r>
      <w:r>
        <w:rPr>
          <w:rFonts w:hint="eastAsia"/>
          <w:spacing w:val="-11"/>
          <w:sz w:val="33"/>
          <w:szCs w:val="33"/>
          <w:lang w:val="en-US" w:eastAsia="zh-CN"/>
        </w:rPr>
        <w:t>1</w:t>
      </w:r>
      <w:r>
        <w:rPr>
          <w:rFonts w:hint="eastAsia"/>
          <w:spacing w:val="-11"/>
          <w:sz w:val="33"/>
          <w:szCs w:val="33"/>
          <w:lang w:eastAsia="zh-CN"/>
        </w:rPr>
        <w:t>）村级运转经费使用受益村数量为</w:t>
      </w:r>
      <w:r>
        <w:rPr>
          <w:rFonts w:hint="eastAsia"/>
          <w:spacing w:val="-11"/>
          <w:sz w:val="33"/>
          <w:szCs w:val="33"/>
          <w:lang w:val="en-US" w:eastAsia="zh-CN"/>
        </w:rPr>
        <w:t>2，达到预期目标。</w:t>
      </w:r>
    </w:p>
    <w:p w14:paraId="44582F89">
      <w:pPr>
        <w:pStyle w:val="2"/>
        <w:keepNext w:val="0"/>
        <w:keepLines w:val="0"/>
        <w:pageBreakBefore w:val="0"/>
        <w:widowControl/>
        <w:kinsoku w:val="0"/>
        <w:wordWrap/>
        <w:overflowPunct/>
        <w:topLinePunct w:val="0"/>
        <w:autoSpaceDE w:val="0"/>
        <w:autoSpaceDN w:val="0"/>
        <w:bidi w:val="0"/>
        <w:adjustRightInd w:val="0"/>
        <w:snapToGrid w:val="0"/>
        <w:spacing w:before="129" w:line="360" w:lineRule="auto"/>
        <w:ind w:left="0" w:right="0" w:firstLine="616" w:firstLineChars="200"/>
        <w:jc w:val="both"/>
        <w:textAlignment w:val="baseline"/>
        <w:rPr>
          <w:rFonts w:hint="default"/>
          <w:spacing w:val="-11"/>
          <w:sz w:val="33"/>
          <w:szCs w:val="33"/>
          <w:lang w:val="en-US" w:eastAsia="zh-CN"/>
        </w:rPr>
      </w:pPr>
      <w:r>
        <w:rPr>
          <w:rFonts w:hint="eastAsia"/>
          <w:spacing w:val="-11"/>
          <w:sz w:val="33"/>
          <w:szCs w:val="33"/>
          <w:lang w:eastAsia="zh-CN"/>
        </w:rPr>
        <w:t>（</w:t>
      </w:r>
      <w:r>
        <w:rPr>
          <w:rFonts w:hint="eastAsia"/>
          <w:spacing w:val="-11"/>
          <w:sz w:val="33"/>
          <w:szCs w:val="33"/>
          <w:lang w:val="en-US" w:eastAsia="zh-CN"/>
        </w:rPr>
        <w:t>2</w:t>
      </w:r>
      <w:r>
        <w:rPr>
          <w:rFonts w:hint="eastAsia"/>
          <w:spacing w:val="-11"/>
          <w:sz w:val="33"/>
          <w:szCs w:val="33"/>
          <w:lang w:eastAsia="zh-CN"/>
        </w:rPr>
        <w:t>）财政所信息化建设经费使用后收益财政所数量为</w:t>
      </w:r>
      <w:r>
        <w:rPr>
          <w:rFonts w:hint="eastAsia"/>
          <w:spacing w:val="-11"/>
          <w:sz w:val="33"/>
          <w:szCs w:val="33"/>
          <w:lang w:val="en-US" w:eastAsia="zh-CN"/>
        </w:rPr>
        <w:t>1，达到预期目标。</w:t>
      </w:r>
    </w:p>
    <w:p w14:paraId="25BC2E08">
      <w:pPr>
        <w:pStyle w:val="2"/>
        <w:keepNext w:val="0"/>
        <w:keepLines w:val="0"/>
        <w:pageBreakBefore w:val="0"/>
        <w:widowControl/>
        <w:kinsoku w:val="0"/>
        <w:wordWrap/>
        <w:overflowPunct/>
        <w:topLinePunct w:val="0"/>
        <w:autoSpaceDE w:val="0"/>
        <w:autoSpaceDN w:val="0"/>
        <w:bidi w:val="0"/>
        <w:adjustRightInd w:val="0"/>
        <w:snapToGrid w:val="0"/>
        <w:spacing w:before="129" w:line="360" w:lineRule="auto"/>
        <w:ind w:left="0" w:right="0" w:firstLine="616" w:firstLineChars="200"/>
        <w:jc w:val="both"/>
        <w:textAlignment w:val="baseline"/>
        <w:rPr>
          <w:spacing w:val="-11"/>
          <w:sz w:val="33"/>
          <w:szCs w:val="33"/>
          <w:lang w:eastAsia="zh-CN"/>
        </w:rPr>
      </w:pPr>
      <w:r>
        <w:rPr>
          <w:spacing w:val="-11"/>
          <w:sz w:val="33"/>
          <w:szCs w:val="33"/>
          <w:lang w:eastAsia="zh-CN"/>
        </w:rPr>
        <w:t>2.产出质量</w:t>
      </w:r>
    </w:p>
    <w:p w14:paraId="773AC3E1">
      <w:pPr>
        <w:pStyle w:val="2"/>
        <w:keepNext w:val="0"/>
        <w:keepLines w:val="0"/>
        <w:pageBreakBefore w:val="0"/>
        <w:widowControl/>
        <w:kinsoku w:val="0"/>
        <w:wordWrap/>
        <w:overflowPunct/>
        <w:topLinePunct w:val="0"/>
        <w:autoSpaceDE w:val="0"/>
        <w:autoSpaceDN w:val="0"/>
        <w:bidi w:val="0"/>
        <w:adjustRightInd w:val="0"/>
        <w:snapToGrid w:val="0"/>
        <w:spacing w:before="129" w:line="360" w:lineRule="auto"/>
        <w:ind w:left="0" w:right="0" w:firstLine="616" w:firstLineChars="200"/>
        <w:jc w:val="both"/>
        <w:textAlignment w:val="baseline"/>
        <w:rPr>
          <w:rFonts w:hint="default"/>
          <w:spacing w:val="-11"/>
          <w:sz w:val="33"/>
          <w:szCs w:val="33"/>
          <w:lang w:val="en-US" w:eastAsia="zh-CN"/>
        </w:rPr>
      </w:pPr>
      <w:r>
        <w:rPr>
          <w:rFonts w:hint="eastAsia"/>
          <w:spacing w:val="-11"/>
          <w:sz w:val="33"/>
          <w:szCs w:val="33"/>
          <w:lang w:eastAsia="zh-CN"/>
        </w:rPr>
        <w:t>（</w:t>
      </w:r>
      <w:r>
        <w:rPr>
          <w:rFonts w:hint="eastAsia"/>
          <w:spacing w:val="-11"/>
          <w:sz w:val="33"/>
          <w:szCs w:val="33"/>
          <w:lang w:val="en-US" w:eastAsia="zh-CN"/>
        </w:rPr>
        <w:t>1</w:t>
      </w:r>
      <w:r>
        <w:rPr>
          <w:rFonts w:hint="eastAsia"/>
          <w:spacing w:val="-11"/>
          <w:sz w:val="33"/>
          <w:szCs w:val="33"/>
          <w:lang w:eastAsia="zh-CN"/>
        </w:rPr>
        <w:t>）村级运转经费保障黄岩辖区内白马村、大坪村正常运转，更好地服务群众</w:t>
      </w:r>
      <w:r>
        <w:rPr>
          <w:rFonts w:hint="eastAsia"/>
          <w:spacing w:val="-11"/>
          <w:sz w:val="33"/>
          <w:szCs w:val="33"/>
          <w:lang w:val="en-US" w:eastAsia="zh-CN"/>
        </w:rPr>
        <w:t>，效果明显，达到预期目标。</w:t>
      </w:r>
    </w:p>
    <w:p w14:paraId="784EA249">
      <w:pPr>
        <w:pStyle w:val="2"/>
        <w:keepNext w:val="0"/>
        <w:keepLines w:val="0"/>
        <w:pageBreakBefore w:val="0"/>
        <w:widowControl/>
        <w:kinsoku w:val="0"/>
        <w:wordWrap/>
        <w:overflowPunct/>
        <w:topLinePunct w:val="0"/>
        <w:autoSpaceDE w:val="0"/>
        <w:autoSpaceDN w:val="0"/>
        <w:bidi w:val="0"/>
        <w:adjustRightInd w:val="0"/>
        <w:snapToGrid w:val="0"/>
        <w:spacing w:before="129" w:line="360" w:lineRule="auto"/>
        <w:ind w:left="0" w:right="0" w:firstLine="616" w:firstLineChars="200"/>
        <w:jc w:val="both"/>
        <w:textAlignment w:val="baseline"/>
        <w:rPr>
          <w:spacing w:val="-11"/>
          <w:sz w:val="33"/>
          <w:szCs w:val="33"/>
          <w:lang w:eastAsia="zh-CN"/>
        </w:rPr>
      </w:pPr>
      <w:r>
        <w:rPr>
          <w:rFonts w:hint="eastAsia"/>
          <w:spacing w:val="-11"/>
          <w:sz w:val="33"/>
          <w:szCs w:val="33"/>
          <w:lang w:eastAsia="zh-CN"/>
        </w:rPr>
        <w:t>（</w:t>
      </w:r>
      <w:r>
        <w:rPr>
          <w:rFonts w:hint="eastAsia"/>
          <w:spacing w:val="-11"/>
          <w:sz w:val="33"/>
          <w:szCs w:val="33"/>
          <w:lang w:val="en-US" w:eastAsia="zh-CN"/>
        </w:rPr>
        <w:t>2</w:t>
      </w:r>
      <w:r>
        <w:rPr>
          <w:rFonts w:hint="eastAsia"/>
          <w:spacing w:val="-11"/>
          <w:sz w:val="33"/>
          <w:szCs w:val="33"/>
          <w:lang w:eastAsia="zh-CN"/>
        </w:rPr>
        <w:t>）财政所信息化建设经费保障了黄岩财政所日常信息化建设的各项开支，更好地服务乡镇，信息化建设水平提高效果明显</w:t>
      </w:r>
      <w:r>
        <w:rPr>
          <w:rFonts w:hint="eastAsia"/>
          <w:spacing w:val="-11"/>
          <w:sz w:val="33"/>
          <w:szCs w:val="33"/>
          <w:lang w:val="en-US" w:eastAsia="zh-CN"/>
        </w:rPr>
        <w:t>，达到预期目标。</w:t>
      </w:r>
    </w:p>
    <w:p w14:paraId="56EE4525">
      <w:pPr>
        <w:pStyle w:val="2"/>
        <w:keepNext w:val="0"/>
        <w:keepLines w:val="0"/>
        <w:pageBreakBefore w:val="0"/>
        <w:widowControl/>
        <w:kinsoku w:val="0"/>
        <w:wordWrap/>
        <w:overflowPunct/>
        <w:topLinePunct w:val="0"/>
        <w:autoSpaceDE w:val="0"/>
        <w:autoSpaceDN w:val="0"/>
        <w:bidi w:val="0"/>
        <w:adjustRightInd w:val="0"/>
        <w:snapToGrid w:val="0"/>
        <w:spacing w:before="129" w:line="360" w:lineRule="auto"/>
        <w:ind w:left="0" w:right="0" w:firstLine="624" w:firstLineChars="200"/>
        <w:jc w:val="both"/>
        <w:textAlignment w:val="baseline"/>
        <w:rPr>
          <w:spacing w:val="-9"/>
          <w:sz w:val="33"/>
          <w:szCs w:val="33"/>
          <w:lang w:eastAsia="zh-CN"/>
        </w:rPr>
      </w:pPr>
      <w:r>
        <w:rPr>
          <w:spacing w:val="-9"/>
          <w:sz w:val="33"/>
          <w:szCs w:val="33"/>
          <w:lang w:eastAsia="zh-CN"/>
        </w:rPr>
        <w:t>3.产出成本</w:t>
      </w:r>
    </w:p>
    <w:p w14:paraId="74258B3C">
      <w:pPr>
        <w:pStyle w:val="2"/>
        <w:keepNext w:val="0"/>
        <w:keepLines w:val="0"/>
        <w:pageBreakBefore w:val="0"/>
        <w:widowControl/>
        <w:kinsoku w:val="0"/>
        <w:wordWrap/>
        <w:overflowPunct/>
        <w:topLinePunct w:val="0"/>
        <w:autoSpaceDE w:val="0"/>
        <w:autoSpaceDN w:val="0"/>
        <w:bidi w:val="0"/>
        <w:adjustRightInd w:val="0"/>
        <w:snapToGrid w:val="0"/>
        <w:spacing w:before="129" w:line="360" w:lineRule="auto"/>
        <w:ind w:left="0" w:right="0" w:firstLine="616" w:firstLineChars="200"/>
        <w:jc w:val="both"/>
        <w:textAlignment w:val="baseline"/>
        <w:rPr>
          <w:rFonts w:hint="default"/>
          <w:spacing w:val="-11"/>
          <w:sz w:val="33"/>
          <w:szCs w:val="33"/>
          <w:lang w:val="en-US" w:eastAsia="zh-CN"/>
        </w:rPr>
      </w:pPr>
      <w:r>
        <w:rPr>
          <w:rFonts w:hint="eastAsia"/>
          <w:spacing w:val="-11"/>
          <w:sz w:val="33"/>
          <w:szCs w:val="33"/>
          <w:lang w:eastAsia="zh-CN"/>
        </w:rPr>
        <w:t>（</w:t>
      </w:r>
      <w:r>
        <w:rPr>
          <w:rFonts w:hint="eastAsia"/>
          <w:spacing w:val="-11"/>
          <w:sz w:val="33"/>
          <w:szCs w:val="33"/>
          <w:lang w:val="en-US" w:eastAsia="zh-CN"/>
        </w:rPr>
        <w:t>1</w:t>
      </w:r>
      <w:r>
        <w:rPr>
          <w:rFonts w:hint="eastAsia"/>
          <w:spacing w:val="-11"/>
          <w:sz w:val="33"/>
          <w:szCs w:val="33"/>
          <w:lang w:eastAsia="zh-CN"/>
        </w:rPr>
        <w:t>）村级运转经费使用成本未超过预算</w:t>
      </w:r>
      <w:r>
        <w:rPr>
          <w:rFonts w:hint="eastAsia"/>
          <w:spacing w:val="-11"/>
          <w:sz w:val="33"/>
          <w:szCs w:val="33"/>
          <w:lang w:val="en-US" w:eastAsia="zh-CN"/>
        </w:rPr>
        <w:t>10万元，达到预期目标。</w:t>
      </w:r>
    </w:p>
    <w:p w14:paraId="47FB1C0E">
      <w:pPr>
        <w:pStyle w:val="2"/>
        <w:keepNext w:val="0"/>
        <w:keepLines w:val="0"/>
        <w:pageBreakBefore w:val="0"/>
        <w:widowControl/>
        <w:kinsoku w:val="0"/>
        <w:wordWrap/>
        <w:overflowPunct/>
        <w:topLinePunct w:val="0"/>
        <w:autoSpaceDE w:val="0"/>
        <w:autoSpaceDN w:val="0"/>
        <w:bidi w:val="0"/>
        <w:adjustRightInd w:val="0"/>
        <w:snapToGrid w:val="0"/>
        <w:spacing w:before="129" w:line="360" w:lineRule="auto"/>
        <w:ind w:left="0" w:right="0" w:firstLine="616" w:firstLineChars="200"/>
        <w:jc w:val="both"/>
        <w:textAlignment w:val="baseline"/>
        <w:rPr>
          <w:spacing w:val="-9"/>
          <w:sz w:val="33"/>
          <w:szCs w:val="33"/>
          <w:lang w:eastAsia="zh-CN"/>
        </w:rPr>
      </w:pPr>
      <w:r>
        <w:rPr>
          <w:rFonts w:hint="eastAsia"/>
          <w:spacing w:val="-11"/>
          <w:sz w:val="33"/>
          <w:szCs w:val="33"/>
          <w:lang w:eastAsia="zh-CN"/>
        </w:rPr>
        <w:t>（</w:t>
      </w:r>
      <w:r>
        <w:rPr>
          <w:rFonts w:hint="eastAsia"/>
          <w:spacing w:val="-11"/>
          <w:sz w:val="33"/>
          <w:szCs w:val="33"/>
          <w:lang w:val="en-US" w:eastAsia="zh-CN"/>
        </w:rPr>
        <w:t>2</w:t>
      </w:r>
      <w:r>
        <w:rPr>
          <w:rFonts w:hint="eastAsia"/>
          <w:spacing w:val="-11"/>
          <w:sz w:val="33"/>
          <w:szCs w:val="33"/>
          <w:lang w:eastAsia="zh-CN"/>
        </w:rPr>
        <w:t>）财政所信息化建设经费使用成本未超过预算</w:t>
      </w:r>
      <w:r>
        <w:rPr>
          <w:rFonts w:hint="eastAsia"/>
          <w:spacing w:val="-11"/>
          <w:sz w:val="33"/>
          <w:szCs w:val="33"/>
          <w:lang w:val="en-US" w:eastAsia="zh-CN"/>
        </w:rPr>
        <w:t>4万元，达到预期目标。</w:t>
      </w:r>
    </w:p>
    <w:p w14:paraId="01AC3433">
      <w:pPr>
        <w:pStyle w:val="2"/>
        <w:keepNext w:val="0"/>
        <w:keepLines w:val="0"/>
        <w:pageBreakBefore w:val="0"/>
        <w:widowControl/>
        <w:kinsoku w:val="0"/>
        <w:wordWrap/>
        <w:overflowPunct/>
        <w:topLinePunct w:val="0"/>
        <w:autoSpaceDE w:val="0"/>
        <w:autoSpaceDN w:val="0"/>
        <w:bidi w:val="0"/>
        <w:adjustRightInd w:val="0"/>
        <w:snapToGrid w:val="0"/>
        <w:spacing w:before="129" w:line="360" w:lineRule="auto"/>
        <w:ind w:left="0" w:right="0" w:firstLine="624" w:firstLineChars="200"/>
        <w:jc w:val="both"/>
        <w:textAlignment w:val="baseline"/>
        <w:rPr>
          <w:spacing w:val="-9"/>
          <w:sz w:val="33"/>
          <w:szCs w:val="33"/>
          <w:lang w:eastAsia="zh-CN"/>
        </w:rPr>
      </w:pPr>
      <w:r>
        <w:rPr>
          <w:spacing w:val="-9"/>
          <w:sz w:val="33"/>
          <w:szCs w:val="33"/>
          <w:lang w:eastAsia="zh-CN"/>
        </w:rPr>
        <w:t>4.产出时效</w:t>
      </w:r>
    </w:p>
    <w:p w14:paraId="27F000A0">
      <w:pPr>
        <w:pStyle w:val="2"/>
        <w:keepNext w:val="0"/>
        <w:keepLines w:val="0"/>
        <w:pageBreakBefore w:val="0"/>
        <w:widowControl/>
        <w:kinsoku w:val="0"/>
        <w:wordWrap/>
        <w:overflowPunct/>
        <w:topLinePunct w:val="0"/>
        <w:autoSpaceDE w:val="0"/>
        <w:autoSpaceDN w:val="0"/>
        <w:bidi w:val="0"/>
        <w:adjustRightInd w:val="0"/>
        <w:snapToGrid w:val="0"/>
        <w:spacing w:before="129" w:line="360" w:lineRule="auto"/>
        <w:ind w:left="0" w:right="0" w:firstLine="616" w:firstLineChars="200"/>
        <w:jc w:val="both"/>
        <w:textAlignment w:val="baseline"/>
        <w:rPr>
          <w:rFonts w:hint="default"/>
          <w:spacing w:val="-11"/>
          <w:sz w:val="33"/>
          <w:szCs w:val="33"/>
          <w:lang w:val="en-US" w:eastAsia="zh-CN"/>
        </w:rPr>
      </w:pPr>
      <w:r>
        <w:rPr>
          <w:rFonts w:hint="eastAsia"/>
          <w:spacing w:val="-11"/>
          <w:sz w:val="33"/>
          <w:szCs w:val="33"/>
          <w:lang w:eastAsia="zh-CN"/>
        </w:rPr>
        <w:t>（</w:t>
      </w:r>
      <w:r>
        <w:rPr>
          <w:rFonts w:hint="eastAsia"/>
          <w:spacing w:val="-11"/>
          <w:sz w:val="33"/>
          <w:szCs w:val="33"/>
          <w:lang w:val="en-US" w:eastAsia="zh-CN"/>
        </w:rPr>
        <w:t>1</w:t>
      </w:r>
      <w:r>
        <w:rPr>
          <w:rFonts w:hint="eastAsia"/>
          <w:spacing w:val="-11"/>
          <w:sz w:val="33"/>
          <w:szCs w:val="33"/>
          <w:lang w:eastAsia="zh-CN"/>
        </w:rPr>
        <w:t>）村级运转经费使用建设在</w:t>
      </w:r>
      <w:r>
        <w:rPr>
          <w:rFonts w:hint="eastAsia"/>
          <w:spacing w:val="-11"/>
          <w:sz w:val="33"/>
          <w:szCs w:val="33"/>
          <w:lang w:val="en-US" w:eastAsia="zh-CN"/>
        </w:rPr>
        <w:t>2023年12月31日前完成，达到预期目标。</w:t>
      </w:r>
    </w:p>
    <w:p w14:paraId="22BC4C79">
      <w:pPr>
        <w:pStyle w:val="2"/>
        <w:keepNext w:val="0"/>
        <w:keepLines w:val="0"/>
        <w:pageBreakBefore w:val="0"/>
        <w:widowControl/>
        <w:kinsoku w:val="0"/>
        <w:wordWrap/>
        <w:overflowPunct/>
        <w:topLinePunct w:val="0"/>
        <w:autoSpaceDE w:val="0"/>
        <w:autoSpaceDN w:val="0"/>
        <w:bidi w:val="0"/>
        <w:adjustRightInd w:val="0"/>
        <w:snapToGrid w:val="0"/>
        <w:spacing w:before="129" w:line="360" w:lineRule="auto"/>
        <w:ind w:left="0" w:right="0" w:firstLine="616" w:firstLineChars="200"/>
        <w:jc w:val="both"/>
        <w:textAlignment w:val="baseline"/>
        <w:rPr>
          <w:spacing w:val="-9"/>
          <w:sz w:val="33"/>
          <w:szCs w:val="33"/>
          <w:lang w:eastAsia="zh-CN"/>
        </w:rPr>
      </w:pPr>
      <w:r>
        <w:rPr>
          <w:rFonts w:hint="eastAsia"/>
          <w:spacing w:val="-11"/>
          <w:sz w:val="33"/>
          <w:szCs w:val="33"/>
          <w:lang w:eastAsia="zh-CN"/>
        </w:rPr>
        <w:t>（</w:t>
      </w:r>
      <w:r>
        <w:rPr>
          <w:rFonts w:hint="eastAsia"/>
          <w:spacing w:val="-11"/>
          <w:sz w:val="33"/>
          <w:szCs w:val="33"/>
          <w:lang w:val="en-US" w:eastAsia="zh-CN"/>
        </w:rPr>
        <w:t>2</w:t>
      </w:r>
      <w:r>
        <w:rPr>
          <w:rFonts w:hint="eastAsia"/>
          <w:spacing w:val="-11"/>
          <w:sz w:val="33"/>
          <w:szCs w:val="33"/>
          <w:lang w:eastAsia="zh-CN"/>
        </w:rPr>
        <w:t>）财政所信息化建设经费使用建设在</w:t>
      </w:r>
      <w:r>
        <w:rPr>
          <w:rFonts w:hint="eastAsia"/>
          <w:spacing w:val="-11"/>
          <w:sz w:val="33"/>
          <w:szCs w:val="33"/>
          <w:lang w:val="en-US" w:eastAsia="zh-CN"/>
        </w:rPr>
        <w:t>2023年12月31日前完成，达到预期目标。</w:t>
      </w:r>
    </w:p>
    <w:p w14:paraId="59EC0782">
      <w:pPr>
        <w:spacing w:before="33" w:line="227" w:lineRule="auto"/>
        <w:ind w:left="694"/>
        <w:outlineLvl w:val="0"/>
        <w:rPr>
          <w:rFonts w:ascii="楷体" w:hAnsi="楷体" w:eastAsia="楷体" w:cs="楷体"/>
          <w:b/>
          <w:bCs/>
          <w:spacing w:val="-17"/>
          <w:sz w:val="33"/>
          <w:szCs w:val="33"/>
          <w:lang w:eastAsia="zh-CN"/>
        </w:rPr>
      </w:pPr>
      <w:r>
        <w:rPr>
          <w:rFonts w:ascii="楷体" w:hAnsi="楷体" w:eastAsia="楷体" w:cs="楷体"/>
          <w:b/>
          <w:bCs/>
          <w:spacing w:val="-17"/>
          <w:sz w:val="33"/>
          <w:szCs w:val="33"/>
          <w:lang w:eastAsia="zh-CN"/>
        </w:rPr>
        <w:t>(四)项目效益情况</w:t>
      </w:r>
    </w:p>
    <w:p w14:paraId="0C3A92F1">
      <w:pPr>
        <w:keepNext w:val="0"/>
        <w:keepLines w:val="0"/>
        <w:pageBreakBefore w:val="0"/>
        <w:widowControl/>
        <w:kinsoku w:val="0"/>
        <w:wordWrap/>
        <w:overflowPunct/>
        <w:topLinePunct w:val="0"/>
        <w:autoSpaceDE w:val="0"/>
        <w:autoSpaceDN w:val="0"/>
        <w:bidi w:val="0"/>
        <w:adjustRightInd w:val="0"/>
        <w:snapToGrid w:val="0"/>
        <w:spacing w:before="33" w:line="360" w:lineRule="auto"/>
        <w:ind w:firstLine="616" w:firstLineChars="200"/>
        <w:textAlignment w:val="baseline"/>
        <w:outlineLvl w:val="0"/>
        <w:rPr>
          <w:rFonts w:ascii="楷体" w:hAnsi="楷体" w:eastAsia="楷体" w:cs="楷体"/>
          <w:b/>
          <w:bCs/>
          <w:spacing w:val="-17"/>
          <w:sz w:val="33"/>
          <w:szCs w:val="33"/>
          <w:lang w:eastAsia="zh-CN"/>
        </w:rPr>
      </w:pPr>
      <w:r>
        <w:rPr>
          <w:rFonts w:hint="eastAsia" w:ascii="仿宋" w:hAnsi="仿宋" w:eastAsia="仿宋" w:cs="仿宋"/>
          <w:snapToGrid w:val="0"/>
          <w:color w:val="000000"/>
          <w:spacing w:val="-11"/>
          <w:sz w:val="33"/>
          <w:szCs w:val="33"/>
          <w:lang w:val="en-US" w:eastAsia="zh-CN" w:bidi="ar-SA"/>
        </w:rPr>
        <w:t>项目建设对社会、经济、生态等各方面都起到促进作用，服务群众及对象满意度均在90%以上，产出效益均达到预期目标。</w:t>
      </w:r>
    </w:p>
    <w:p w14:paraId="57C55EA2">
      <w:pPr>
        <w:spacing w:before="134" w:line="222" w:lineRule="auto"/>
        <w:ind w:left="674"/>
        <w:outlineLvl w:val="0"/>
        <w:rPr>
          <w:rFonts w:ascii="黑体" w:hAnsi="黑体" w:eastAsia="黑体" w:cs="黑体"/>
          <w:sz w:val="33"/>
          <w:szCs w:val="33"/>
          <w:lang w:eastAsia="zh-CN"/>
        </w:rPr>
      </w:pPr>
      <w:r>
        <w:rPr>
          <w:rFonts w:ascii="黑体" w:hAnsi="黑体" w:eastAsia="黑体" w:cs="黑体"/>
          <w:b/>
          <w:bCs/>
          <w:spacing w:val="-18"/>
          <w:sz w:val="33"/>
          <w:szCs w:val="33"/>
          <w:lang w:eastAsia="zh-CN"/>
        </w:rPr>
        <w:t>五、项目主要经验、存在的问题及建议</w:t>
      </w:r>
    </w:p>
    <w:p w14:paraId="5CBEDE39">
      <w:pPr>
        <w:spacing w:before="106" w:line="228" w:lineRule="auto"/>
        <w:ind w:left="854"/>
        <w:outlineLvl w:val="0"/>
        <w:rPr>
          <w:rFonts w:ascii="楷体" w:hAnsi="楷体" w:eastAsia="楷体" w:cs="楷体"/>
          <w:b/>
          <w:bCs/>
          <w:spacing w:val="-2"/>
          <w:sz w:val="33"/>
          <w:szCs w:val="33"/>
          <w:lang w:eastAsia="zh-CN"/>
        </w:rPr>
      </w:pPr>
      <w:r>
        <w:rPr>
          <w:rFonts w:ascii="楷体" w:hAnsi="楷体" w:eastAsia="楷体" w:cs="楷体"/>
          <w:b/>
          <w:bCs/>
          <w:spacing w:val="-2"/>
          <w:sz w:val="33"/>
          <w:szCs w:val="33"/>
          <w:lang w:eastAsia="zh-CN"/>
        </w:rPr>
        <w:t>(一)项目主要经验及做法</w:t>
      </w:r>
    </w:p>
    <w:p w14:paraId="227080C2">
      <w:pPr>
        <w:keepNext w:val="0"/>
        <w:keepLines w:val="0"/>
        <w:pageBreakBefore w:val="0"/>
        <w:widowControl/>
        <w:kinsoku w:val="0"/>
        <w:wordWrap/>
        <w:overflowPunct/>
        <w:topLinePunct w:val="0"/>
        <w:autoSpaceDE w:val="0"/>
        <w:autoSpaceDN w:val="0"/>
        <w:bidi w:val="0"/>
        <w:adjustRightInd w:val="0"/>
        <w:snapToGrid w:val="0"/>
        <w:spacing w:before="33" w:line="360" w:lineRule="auto"/>
        <w:ind w:firstLine="616" w:firstLineChars="200"/>
        <w:textAlignment w:val="baseline"/>
        <w:outlineLvl w:val="0"/>
        <w:rPr>
          <w:rFonts w:hint="eastAsia" w:ascii="仿宋" w:hAnsi="仿宋" w:eastAsia="仿宋" w:cs="仿宋"/>
          <w:snapToGrid w:val="0"/>
          <w:color w:val="000000"/>
          <w:spacing w:val="-11"/>
          <w:sz w:val="33"/>
          <w:szCs w:val="33"/>
          <w:lang w:val="en-US" w:eastAsia="zh-CN" w:bidi="ar-SA"/>
        </w:rPr>
      </w:pPr>
      <w:r>
        <w:rPr>
          <w:rFonts w:hint="eastAsia" w:ascii="仿宋" w:hAnsi="仿宋" w:eastAsia="仿宋" w:cs="仿宋"/>
          <w:snapToGrid w:val="0"/>
          <w:color w:val="000000"/>
          <w:spacing w:val="-11"/>
          <w:sz w:val="33"/>
          <w:szCs w:val="33"/>
          <w:lang w:val="en-US" w:eastAsia="zh-CN" w:bidi="ar-SA"/>
        </w:rPr>
        <w:t>1.构建全过程预算绩效管理制度，将绩效理念和方法融入预算编制、执行、监督全过程，形成事前、事中、事后绩效管理闭环系统。‌</w:t>
      </w:r>
    </w:p>
    <w:p w14:paraId="6835FA92">
      <w:pPr>
        <w:keepNext w:val="0"/>
        <w:keepLines w:val="0"/>
        <w:pageBreakBefore w:val="0"/>
        <w:widowControl/>
        <w:kinsoku w:val="0"/>
        <w:wordWrap/>
        <w:overflowPunct/>
        <w:topLinePunct w:val="0"/>
        <w:autoSpaceDE w:val="0"/>
        <w:autoSpaceDN w:val="0"/>
        <w:bidi w:val="0"/>
        <w:adjustRightInd w:val="0"/>
        <w:snapToGrid w:val="0"/>
        <w:spacing w:before="33" w:line="360" w:lineRule="auto"/>
        <w:ind w:firstLine="616" w:firstLineChars="200"/>
        <w:textAlignment w:val="baseline"/>
        <w:outlineLvl w:val="0"/>
        <w:rPr>
          <w:rFonts w:hint="eastAsia" w:ascii="仿宋" w:hAnsi="仿宋" w:eastAsia="仿宋" w:cs="仿宋"/>
          <w:snapToGrid w:val="0"/>
          <w:color w:val="000000"/>
          <w:spacing w:val="-11"/>
          <w:sz w:val="33"/>
          <w:szCs w:val="33"/>
          <w:lang w:val="en-US" w:eastAsia="zh-CN" w:bidi="ar-SA"/>
        </w:rPr>
      </w:pPr>
    </w:p>
    <w:p w14:paraId="5B2E780F">
      <w:pPr>
        <w:keepNext w:val="0"/>
        <w:keepLines w:val="0"/>
        <w:pageBreakBefore w:val="0"/>
        <w:widowControl/>
        <w:kinsoku w:val="0"/>
        <w:wordWrap/>
        <w:overflowPunct/>
        <w:topLinePunct w:val="0"/>
        <w:autoSpaceDE w:val="0"/>
        <w:autoSpaceDN w:val="0"/>
        <w:bidi w:val="0"/>
        <w:adjustRightInd w:val="0"/>
        <w:snapToGrid w:val="0"/>
        <w:spacing w:before="33" w:line="360" w:lineRule="auto"/>
        <w:ind w:firstLine="616" w:firstLineChars="200"/>
        <w:textAlignment w:val="baseline"/>
        <w:outlineLvl w:val="0"/>
        <w:rPr>
          <w:rFonts w:hint="eastAsia" w:ascii="仿宋" w:hAnsi="仿宋" w:eastAsia="仿宋" w:cs="仿宋"/>
          <w:snapToGrid w:val="0"/>
          <w:color w:val="000000"/>
          <w:spacing w:val="-11"/>
          <w:sz w:val="33"/>
          <w:szCs w:val="33"/>
          <w:lang w:val="en-US" w:eastAsia="zh-CN" w:bidi="ar-SA"/>
        </w:rPr>
      </w:pPr>
      <w:r>
        <w:rPr>
          <w:rFonts w:hint="eastAsia" w:ascii="仿宋" w:hAnsi="仿宋" w:eastAsia="仿宋" w:cs="仿宋"/>
          <w:snapToGrid w:val="0"/>
          <w:color w:val="000000"/>
          <w:spacing w:val="-11"/>
          <w:sz w:val="33"/>
          <w:szCs w:val="33"/>
          <w:lang w:val="en-US" w:eastAsia="zh-CN" w:bidi="ar-SA"/>
        </w:rPr>
        <w:t>2.成立预算绩效管理工作领导小组，明确预算绩效管理工作规程，确保预算绩效管理工作有人管、有人抓。</w:t>
      </w:r>
    </w:p>
    <w:p w14:paraId="54B6D97E">
      <w:pPr>
        <w:keepNext w:val="0"/>
        <w:keepLines w:val="0"/>
        <w:pageBreakBefore w:val="0"/>
        <w:widowControl/>
        <w:kinsoku w:val="0"/>
        <w:wordWrap/>
        <w:overflowPunct/>
        <w:topLinePunct w:val="0"/>
        <w:autoSpaceDE w:val="0"/>
        <w:autoSpaceDN w:val="0"/>
        <w:bidi w:val="0"/>
        <w:adjustRightInd w:val="0"/>
        <w:snapToGrid w:val="0"/>
        <w:spacing w:before="33" w:line="360" w:lineRule="auto"/>
        <w:ind w:firstLine="616" w:firstLineChars="200"/>
        <w:textAlignment w:val="baseline"/>
        <w:outlineLvl w:val="0"/>
        <w:rPr>
          <w:rFonts w:hint="eastAsia" w:ascii="仿宋" w:hAnsi="仿宋" w:eastAsia="仿宋" w:cs="仿宋"/>
          <w:snapToGrid w:val="0"/>
          <w:color w:val="000000"/>
          <w:spacing w:val="-11"/>
          <w:sz w:val="33"/>
          <w:szCs w:val="33"/>
          <w:lang w:val="en-US" w:eastAsia="zh-CN" w:bidi="ar-SA"/>
        </w:rPr>
      </w:pPr>
      <w:r>
        <w:rPr>
          <w:rFonts w:hint="eastAsia" w:ascii="仿宋" w:hAnsi="仿宋" w:eastAsia="仿宋" w:cs="仿宋"/>
          <w:snapToGrid w:val="0"/>
          <w:color w:val="000000"/>
          <w:spacing w:val="-11"/>
          <w:sz w:val="33"/>
          <w:szCs w:val="33"/>
          <w:lang w:val="en-US" w:eastAsia="zh-CN" w:bidi="ar-SA"/>
        </w:rPr>
        <w:t>3.避免设计过于复杂的绩效体系，简化考评流程，确保按时完成考核工作，避免给员工带来不必要的负担。‌</w:t>
      </w:r>
    </w:p>
    <w:p w14:paraId="7043CAC4">
      <w:pPr>
        <w:spacing w:before="100" w:line="227" w:lineRule="auto"/>
        <w:ind w:left="824"/>
        <w:outlineLvl w:val="0"/>
        <w:rPr>
          <w:rFonts w:ascii="楷体" w:hAnsi="楷体" w:eastAsia="楷体" w:cs="楷体"/>
          <w:b/>
          <w:bCs/>
          <w:spacing w:val="6"/>
          <w:sz w:val="33"/>
          <w:szCs w:val="33"/>
          <w:lang w:eastAsia="zh-CN"/>
        </w:rPr>
      </w:pPr>
      <w:r>
        <w:rPr>
          <w:rFonts w:ascii="楷体" w:hAnsi="楷体" w:eastAsia="楷体" w:cs="楷体"/>
          <w:b/>
          <w:bCs/>
          <w:spacing w:val="6"/>
          <w:sz w:val="33"/>
          <w:szCs w:val="33"/>
          <w:lang w:eastAsia="zh-CN"/>
        </w:rPr>
        <w:t>(二)存在的问题</w:t>
      </w:r>
    </w:p>
    <w:p w14:paraId="27149A6B">
      <w:pPr>
        <w:keepNext w:val="0"/>
        <w:keepLines w:val="0"/>
        <w:pageBreakBefore w:val="0"/>
        <w:widowControl/>
        <w:kinsoku w:val="0"/>
        <w:wordWrap/>
        <w:overflowPunct/>
        <w:topLinePunct w:val="0"/>
        <w:autoSpaceDE w:val="0"/>
        <w:autoSpaceDN w:val="0"/>
        <w:bidi w:val="0"/>
        <w:adjustRightInd w:val="0"/>
        <w:snapToGrid w:val="0"/>
        <w:spacing w:before="33" w:line="360" w:lineRule="auto"/>
        <w:ind w:firstLine="616" w:firstLineChars="200"/>
        <w:textAlignment w:val="baseline"/>
        <w:outlineLvl w:val="0"/>
        <w:rPr>
          <w:rFonts w:hint="eastAsia" w:ascii="仿宋" w:hAnsi="仿宋" w:eastAsia="仿宋" w:cs="仿宋"/>
          <w:snapToGrid w:val="0"/>
          <w:color w:val="000000"/>
          <w:spacing w:val="-11"/>
          <w:sz w:val="33"/>
          <w:szCs w:val="33"/>
          <w:lang w:val="en-US" w:eastAsia="zh-CN" w:bidi="ar-SA"/>
        </w:rPr>
      </w:pPr>
      <w:r>
        <w:rPr>
          <w:rFonts w:hint="eastAsia" w:ascii="仿宋" w:hAnsi="仿宋" w:eastAsia="仿宋" w:cs="仿宋"/>
          <w:snapToGrid w:val="0"/>
          <w:color w:val="000000"/>
          <w:spacing w:val="-11"/>
          <w:sz w:val="33"/>
          <w:szCs w:val="33"/>
          <w:lang w:val="en-US" w:eastAsia="zh-CN" w:bidi="ar-SA"/>
        </w:rPr>
        <w:t>1.‌资源分配不合理‌，人力资源不匹配，可能导致岗位人手不足或过剩，影响项目进度和质量‌。</w:t>
      </w:r>
    </w:p>
    <w:p w14:paraId="3C8FDE8D">
      <w:pPr>
        <w:keepNext w:val="0"/>
        <w:keepLines w:val="0"/>
        <w:pageBreakBefore w:val="0"/>
        <w:widowControl/>
        <w:kinsoku w:val="0"/>
        <w:wordWrap/>
        <w:overflowPunct/>
        <w:topLinePunct w:val="0"/>
        <w:autoSpaceDE w:val="0"/>
        <w:autoSpaceDN w:val="0"/>
        <w:bidi w:val="0"/>
        <w:adjustRightInd w:val="0"/>
        <w:snapToGrid w:val="0"/>
        <w:spacing w:before="33" w:line="360" w:lineRule="auto"/>
        <w:ind w:firstLine="616" w:firstLineChars="200"/>
        <w:textAlignment w:val="baseline"/>
        <w:outlineLvl w:val="0"/>
        <w:rPr>
          <w:rFonts w:ascii="楷体" w:hAnsi="楷体" w:eastAsia="楷体" w:cs="楷体"/>
          <w:b/>
          <w:bCs/>
          <w:spacing w:val="6"/>
          <w:sz w:val="33"/>
          <w:szCs w:val="33"/>
          <w:lang w:eastAsia="zh-CN"/>
        </w:rPr>
      </w:pPr>
      <w:r>
        <w:rPr>
          <w:rFonts w:hint="eastAsia" w:ascii="仿宋" w:hAnsi="仿宋" w:eastAsia="仿宋" w:cs="仿宋"/>
          <w:snapToGrid w:val="0"/>
          <w:color w:val="000000"/>
          <w:spacing w:val="-11"/>
          <w:sz w:val="33"/>
          <w:szCs w:val="33"/>
          <w:lang w:val="en-US" w:eastAsia="zh-CN" w:bidi="ar-SA"/>
        </w:rPr>
        <w:t>2.‌绩效评估标准不够贴近实际。</w:t>
      </w:r>
    </w:p>
    <w:p w14:paraId="354EA6B5">
      <w:pPr>
        <w:spacing w:before="122" w:line="225" w:lineRule="auto"/>
        <w:ind w:left="854"/>
        <w:outlineLvl w:val="0"/>
        <w:rPr>
          <w:rFonts w:ascii="楷体" w:hAnsi="楷体" w:eastAsia="楷体" w:cs="楷体"/>
          <w:b/>
          <w:bCs/>
          <w:spacing w:val="6"/>
          <w:sz w:val="33"/>
          <w:szCs w:val="33"/>
          <w:lang w:eastAsia="zh-CN"/>
        </w:rPr>
      </w:pPr>
      <w:r>
        <w:rPr>
          <w:rFonts w:ascii="楷体" w:hAnsi="楷体" w:eastAsia="楷体" w:cs="楷体"/>
          <w:b/>
          <w:bCs/>
          <w:spacing w:val="6"/>
          <w:sz w:val="33"/>
          <w:szCs w:val="33"/>
          <w:lang w:eastAsia="zh-CN"/>
        </w:rPr>
        <w:t>(三)有关建议</w:t>
      </w:r>
    </w:p>
    <w:p w14:paraId="62C3E60D">
      <w:pPr>
        <w:keepNext w:val="0"/>
        <w:keepLines w:val="0"/>
        <w:pageBreakBefore w:val="0"/>
        <w:widowControl/>
        <w:kinsoku w:val="0"/>
        <w:wordWrap/>
        <w:overflowPunct/>
        <w:topLinePunct w:val="0"/>
        <w:autoSpaceDE w:val="0"/>
        <w:autoSpaceDN w:val="0"/>
        <w:bidi w:val="0"/>
        <w:adjustRightInd w:val="0"/>
        <w:snapToGrid w:val="0"/>
        <w:spacing w:before="122" w:line="360" w:lineRule="auto"/>
        <w:ind w:left="856"/>
        <w:textAlignment w:val="baseline"/>
        <w:outlineLvl w:val="0"/>
        <w:rPr>
          <w:rFonts w:ascii="仿宋" w:hAnsi="仿宋" w:eastAsia="仿宋" w:cs="仿宋"/>
          <w:snapToGrid w:val="0"/>
          <w:color w:val="000000"/>
          <w:spacing w:val="-9"/>
          <w:sz w:val="33"/>
          <w:szCs w:val="33"/>
          <w:lang w:val="en-US" w:eastAsia="zh-CN" w:bidi="ar-SA"/>
        </w:rPr>
      </w:pPr>
      <w:r>
        <w:rPr>
          <w:rFonts w:hint="eastAsia" w:ascii="仿宋" w:hAnsi="仿宋" w:eastAsia="仿宋" w:cs="仿宋"/>
          <w:snapToGrid w:val="0"/>
          <w:color w:val="000000"/>
          <w:spacing w:val="-9"/>
          <w:sz w:val="33"/>
          <w:szCs w:val="33"/>
          <w:lang w:val="en-US" w:eastAsia="zh-CN" w:bidi="ar-SA"/>
        </w:rPr>
        <w:t>无。</w:t>
      </w:r>
    </w:p>
    <w:p w14:paraId="4A4E2D75">
      <w:pPr>
        <w:pStyle w:val="2"/>
        <w:spacing w:before="115" w:line="222" w:lineRule="auto"/>
        <w:ind w:left="39"/>
        <w:rPr>
          <w:sz w:val="33"/>
          <w:szCs w:val="33"/>
          <w:lang w:eastAsia="zh-CN"/>
        </w:rPr>
      </w:pPr>
      <w:r>
        <w:rPr>
          <w:spacing w:val="-18"/>
          <w:sz w:val="33"/>
          <w:szCs w:val="33"/>
          <w:lang w:eastAsia="zh-CN"/>
        </w:rPr>
        <w:t>附件：</w:t>
      </w:r>
    </w:p>
    <w:p w14:paraId="62AB5735">
      <w:pPr>
        <w:pStyle w:val="2"/>
        <w:spacing w:before="115" w:line="222" w:lineRule="auto"/>
        <w:ind w:left="39"/>
        <w:rPr>
          <w:spacing w:val="-18"/>
          <w:sz w:val="33"/>
          <w:szCs w:val="33"/>
          <w:lang w:eastAsia="zh-CN"/>
        </w:rPr>
      </w:pPr>
      <w:r>
        <w:rPr>
          <w:spacing w:val="-18"/>
          <w:sz w:val="33"/>
          <w:szCs w:val="33"/>
          <w:lang w:eastAsia="zh-CN"/>
        </w:rPr>
        <w:t>项目支出绩效自评表(一个项目支出一张表)</w:t>
      </w:r>
    </w:p>
    <w:p w14:paraId="002AAFD1">
      <w:pPr>
        <w:spacing w:before="75" w:line="219" w:lineRule="auto"/>
        <w:rPr>
          <w:rFonts w:ascii="宋体" w:hAnsi="宋体" w:eastAsia="宋体" w:cs="宋体"/>
          <w:spacing w:val="-10"/>
          <w:sz w:val="23"/>
          <w:szCs w:val="23"/>
          <w:lang w:eastAsia="zh-CN"/>
        </w:rPr>
      </w:pPr>
    </w:p>
    <w:p w14:paraId="368B1CAD">
      <w:pPr>
        <w:spacing w:before="75" w:line="219" w:lineRule="auto"/>
        <w:rPr>
          <w:rFonts w:ascii="宋体" w:hAnsi="宋体" w:eastAsia="宋体" w:cs="宋体"/>
          <w:spacing w:val="-10"/>
          <w:sz w:val="23"/>
          <w:szCs w:val="23"/>
          <w:lang w:eastAsia="zh-CN"/>
        </w:rPr>
      </w:pPr>
    </w:p>
    <w:p w14:paraId="0CDFA757">
      <w:pPr>
        <w:spacing w:before="75" w:line="219" w:lineRule="auto"/>
        <w:rPr>
          <w:rFonts w:ascii="宋体" w:hAnsi="宋体" w:eastAsia="宋体" w:cs="宋体"/>
          <w:spacing w:val="-10"/>
          <w:sz w:val="23"/>
          <w:szCs w:val="23"/>
          <w:lang w:eastAsia="zh-CN"/>
        </w:rPr>
      </w:pPr>
    </w:p>
    <w:p w14:paraId="5347A42B">
      <w:pPr>
        <w:spacing w:before="75" w:line="219" w:lineRule="auto"/>
        <w:rPr>
          <w:rFonts w:ascii="宋体" w:hAnsi="宋体" w:eastAsia="宋体" w:cs="宋体"/>
          <w:spacing w:val="-10"/>
          <w:sz w:val="23"/>
          <w:szCs w:val="23"/>
          <w:lang w:eastAsia="zh-CN"/>
        </w:rPr>
        <w:sectPr>
          <w:pgSz w:w="11900" w:h="16838"/>
          <w:pgMar w:top="1417" w:right="1474" w:bottom="1417" w:left="1474" w:header="0" w:footer="947" w:gutter="0"/>
          <w:pgNumType w:fmt="numberInDash"/>
          <w:cols w:space="0" w:num="1"/>
        </w:sectPr>
      </w:pPr>
    </w:p>
    <w:p w14:paraId="0A998C51">
      <w:pPr>
        <w:spacing w:before="75" w:line="219" w:lineRule="auto"/>
        <w:rPr>
          <w:rFonts w:ascii="宋体" w:hAnsi="宋体" w:eastAsia="宋体" w:cs="宋体"/>
          <w:spacing w:val="-10"/>
          <w:sz w:val="23"/>
          <w:szCs w:val="23"/>
          <w:lang w:eastAsia="zh-CN"/>
        </w:rPr>
      </w:pPr>
    </w:p>
    <w:p w14:paraId="68DD3527">
      <w:pPr>
        <w:spacing w:before="75" w:line="219" w:lineRule="auto"/>
        <w:rPr>
          <w:rFonts w:ascii="宋体" w:hAnsi="宋体" w:eastAsia="宋体" w:cs="宋体"/>
          <w:sz w:val="23"/>
          <w:szCs w:val="23"/>
          <w:lang w:eastAsia="zh-CN"/>
        </w:rPr>
      </w:pPr>
      <w:r>
        <w:rPr>
          <w:rFonts w:ascii="宋体" w:hAnsi="宋体" w:eastAsia="宋体" w:cs="宋体"/>
          <w:spacing w:val="-10"/>
          <w:sz w:val="23"/>
          <w:szCs w:val="23"/>
          <w:lang w:eastAsia="zh-CN"/>
        </w:rPr>
        <w:t>附件2-1</w:t>
      </w:r>
    </w:p>
    <w:p w14:paraId="384D6C35">
      <w:pPr>
        <w:spacing w:before="27" w:line="220" w:lineRule="auto"/>
        <w:ind w:left="3658"/>
        <w:rPr>
          <w:rFonts w:ascii="宋体" w:hAnsi="宋体" w:eastAsia="宋体" w:cs="宋体"/>
          <w:sz w:val="28"/>
          <w:szCs w:val="28"/>
          <w:lang w:eastAsia="zh-CN"/>
        </w:rPr>
      </w:pPr>
      <w:r>
        <w:rPr>
          <w:rFonts w:ascii="宋体" w:hAnsi="宋体" w:eastAsia="宋体" w:cs="宋体"/>
          <w:b/>
          <w:bCs/>
          <w:spacing w:val="-3"/>
          <w:sz w:val="28"/>
          <w:szCs w:val="28"/>
          <w:lang w:eastAsia="zh-CN"/>
        </w:rPr>
        <w:t>项目支出绩效自评表</w:t>
      </w:r>
    </w:p>
    <w:p w14:paraId="5B34D50F">
      <w:pPr>
        <w:spacing w:line="62" w:lineRule="exact"/>
        <w:rPr>
          <w:lang w:eastAsia="zh-CN"/>
        </w:rPr>
      </w:pPr>
    </w:p>
    <w:tbl>
      <w:tblPr>
        <w:tblStyle w:val="7"/>
        <w:tblpPr w:leftFromText="180" w:rightFromText="180" w:vertAnchor="text" w:horzAnchor="page" w:tblpX="1184" w:tblpY="145"/>
        <w:tblOverlap w:val="never"/>
        <w:tblW w:w="977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64"/>
        <w:gridCol w:w="1069"/>
        <w:gridCol w:w="1079"/>
        <w:gridCol w:w="1129"/>
        <w:gridCol w:w="1209"/>
        <w:gridCol w:w="1138"/>
        <w:gridCol w:w="809"/>
        <w:gridCol w:w="869"/>
        <w:gridCol w:w="1413"/>
      </w:tblGrid>
      <w:tr w14:paraId="1A44D1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4" w:hRule="atLeast"/>
        </w:trPr>
        <w:tc>
          <w:tcPr>
            <w:tcW w:w="1064" w:type="dxa"/>
          </w:tcPr>
          <w:p w14:paraId="512B985B">
            <w:pPr>
              <w:spacing w:before="34"/>
              <w:ind w:left="224" w:right="218"/>
              <w:rPr>
                <w:rFonts w:ascii="宋体" w:hAnsi="宋体" w:eastAsia="宋体" w:cs="宋体"/>
                <w:sz w:val="20"/>
                <w:szCs w:val="20"/>
              </w:rPr>
            </w:pPr>
            <w:r>
              <w:rPr>
                <w:rFonts w:ascii="宋体" w:hAnsi="宋体" w:eastAsia="宋体" w:cs="宋体"/>
                <w:spacing w:val="3"/>
                <w:sz w:val="20"/>
                <w:szCs w:val="20"/>
              </w:rPr>
              <w:t>项目支出名称</w:t>
            </w:r>
          </w:p>
        </w:tc>
        <w:tc>
          <w:tcPr>
            <w:tcW w:w="8715" w:type="dxa"/>
            <w:gridSpan w:val="8"/>
          </w:tcPr>
          <w:p w14:paraId="43513C1A">
            <w:pPr>
              <w:pStyle w:val="8"/>
              <w:keepNext w:val="0"/>
              <w:keepLines w:val="0"/>
              <w:pageBreakBefore w:val="0"/>
              <w:widowControl/>
              <w:kinsoku w:val="0"/>
              <w:wordWrap/>
              <w:overflowPunct/>
              <w:topLinePunct w:val="0"/>
              <w:autoSpaceDE w:val="0"/>
              <w:autoSpaceDN w:val="0"/>
              <w:bidi w:val="0"/>
              <w:adjustRightInd w:val="0"/>
              <w:snapToGrid w:val="0"/>
              <w:spacing w:before="120"/>
              <w:textAlignment w:val="baseline"/>
              <w:rPr>
                <w:rFonts w:hint="eastAsia" w:eastAsia="宋体"/>
                <w:lang w:eastAsia="zh-CN"/>
              </w:rPr>
            </w:pPr>
            <w:r>
              <w:rPr>
                <w:rFonts w:hint="eastAsia" w:eastAsia="宋体"/>
                <w:lang w:eastAsia="zh-CN"/>
              </w:rPr>
              <w:t>村级运转经费</w:t>
            </w:r>
          </w:p>
        </w:tc>
      </w:tr>
      <w:tr w14:paraId="611108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064" w:type="dxa"/>
          </w:tcPr>
          <w:p w14:paraId="49A858E9">
            <w:pPr>
              <w:spacing w:before="38" w:line="204" w:lineRule="auto"/>
              <w:ind w:left="125"/>
              <w:rPr>
                <w:rFonts w:ascii="宋体" w:hAnsi="宋体" w:eastAsia="宋体" w:cs="宋体"/>
                <w:sz w:val="20"/>
                <w:szCs w:val="20"/>
              </w:rPr>
            </w:pPr>
            <w:r>
              <w:rPr>
                <w:rFonts w:ascii="宋体" w:hAnsi="宋体" w:eastAsia="宋体" w:cs="宋体"/>
                <w:spacing w:val="5"/>
                <w:sz w:val="20"/>
                <w:szCs w:val="20"/>
              </w:rPr>
              <w:t>主管部门</w:t>
            </w:r>
          </w:p>
        </w:tc>
        <w:tc>
          <w:tcPr>
            <w:tcW w:w="4486" w:type="dxa"/>
            <w:gridSpan w:val="4"/>
          </w:tcPr>
          <w:p w14:paraId="0FE5E460">
            <w:pPr>
              <w:pStyle w:val="8"/>
              <w:rPr>
                <w:rFonts w:hint="eastAsia" w:eastAsia="宋体"/>
                <w:lang w:eastAsia="zh-CN"/>
              </w:rPr>
            </w:pPr>
            <w:r>
              <w:rPr>
                <w:rFonts w:hint="eastAsia" w:eastAsia="宋体"/>
                <w:lang w:eastAsia="zh-CN"/>
              </w:rPr>
              <w:t>黄岩管理处</w:t>
            </w:r>
          </w:p>
        </w:tc>
        <w:tc>
          <w:tcPr>
            <w:tcW w:w="1138" w:type="dxa"/>
          </w:tcPr>
          <w:p w14:paraId="7EF6DC51">
            <w:pPr>
              <w:spacing w:before="40" w:line="203" w:lineRule="auto"/>
              <w:ind w:left="164"/>
              <w:rPr>
                <w:rFonts w:ascii="宋体" w:hAnsi="宋体" w:eastAsia="宋体" w:cs="宋体"/>
                <w:sz w:val="20"/>
                <w:szCs w:val="20"/>
              </w:rPr>
            </w:pPr>
            <w:r>
              <w:rPr>
                <w:rFonts w:ascii="宋体" w:hAnsi="宋体" w:eastAsia="宋体" w:cs="宋体"/>
                <w:spacing w:val="1"/>
                <w:sz w:val="20"/>
                <w:szCs w:val="20"/>
              </w:rPr>
              <w:t>实施单位</w:t>
            </w:r>
          </w:p>
        </w:tc>
        <w:tc>
          <w:tcPr>
            <w:tcW w:w="3091" w:type="dxa"/>
            <w:gridSpan w:val="3"/>
          </w:tcPr>
          <w:p w14:paraId="59BAA823">
            <w:pPr>
              <w:pStyle w:val="8"/>
              <w:rPr>
                <w:rFonts w:hint="eastAsia" w:eastAsia="宋体"/>
                <w:lang w:eastAsia="zh-CN"/>
              </w:rPr>
            </w:pPr>
            <w:r>
              <w:rPr>
                <w:rFonts w:hint="eastAsia" w:eastAsia="宋体"/>
                <w:lang w:eastAsia="zh-CN"/>
              </w:rPr>
              <w:t>白马村、大坪村</w:t>
            </w:r>
          </w:p>
        </w:tc>
      </w:tr>
      <w:tr w14:paraId="5C9C27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1064" w:type="dxa"/>
            <w:vMerge w:val="restart"/>
            <w:tcBorders>
              <w:bottom w:val="nil"/>
            </w:tcBorders>
          </w:tcPr>
          <w:p w14:paraId="75AFCB80">
            <w:pPr>
              <w:pStyle w:val="8"/>
              <w:spacing w:line="325" w:lineRule="auto"/>
            </w:pPr>
          </w:p>
          <w:p w14:paraId="1933FD07">
            <w:pPr>
              <w:pStyle w:val="8"/>
              <w:spacing w:line="325" w:lineRule="auto"/>
            </w:pPr>
          </w:p>
          <w:p w14:paraId="33798EB4">
            <w:pPr>
              <w:spacing w:before="65" w:line="220" w:lineRule="auto"/>
              <w:ind w:left="125"/>
              <w:rPr>
                <w:rFonts w:ascii="宋体" w:hAnsi="宋体" w:eastAsia="宋体" w:cs="宋体"/>
                <w:sz w:val="20"/>
                <w:szCs w:val="20"/>
              </w:rPr>
            </w:pPr>
            <w:r>
              <w:rPr>
                <w:rFonts w:ascii="宋体" w:hAnsi="宋体" w:eastAsia="宋体" w:cs="宋体"/>
                <w:spacing w:val="-3"/>
                <w:sz w:val="20"/>
                <w:szCs w:val="20"/>
              </w:rPr>
              <w:t>项目资金</w:t>
            </w:r>
          </w:p>
          <w:p w14:paraId="139C1B53">
            <w:pPr>
              <w:spacing w:before="31" w:line="220" w:lineRule="auto"/>
              <w:ind w:left="224"/>
              <w:rPr>
                <w:rFonts w:ascii="宋体" w:hAnsi="宋体" w:eastAsia="宋体" w:cs="宋体"/>
                <w:sz w:val="20"/>
                <w:szCs w:val="20"/>
              </w:rPr>
            </w:pPr>
            <w:r>
              <w:rPr>
                <w:rFonts w:ascii="宋体" w:hAnsi="宋体" w:eastAsia="宋体" w:cs="宋体"/>
                <w:spacing w:val="10"/>
                <w:sz w:val="20"/>
                <w:szCs w:val="20"/>
              </w:rPr>
              <w:t>(万元)</w:t>
            </w:r>
          </w:p>
        </w:tc>
        <w:tc>
          <w:tcPr>
            <w:tcW w:w="2148" w:type="dxa"/>
            <w:gridSpan w:val="2"/>
          </w:tcPr>
          <w:p w14:paraId="15A85ED2">
            <w:pPr>
              <w:pStyle w:val="8"/>
            </w:pPr>
          </w:p>
        </w:tc>
        <w:tc>
          <w:tcPr>
            <w:tcW w:w="1129" w:type="dxa"/>
          </w:tcPr>
          <w:p w14:paraId="07654762">
            <w:pPr>
              <w:spacing w:before="59" w:line="226" w:lineRule="auto"/>
              <w:ind w:left="253" w:right="275" w:firstLine="99"/>
              <w:rPr>
                <w:rFonts w:ascii="宋体" w:hAnsi="宋体" w:eastAsia="宋体" w:cs="宋体"/>
                <w:sz w:val="20"/>
                <w:szCs w:val="20"/>
              </w:rPr>
            </w:pPr>
            <w:r>
              <w:rPr>
                <w:rFonts w:ascii="宋体" w:hAnsi="宋体" w:eastAsia="宋体" w:cs="宋体"/>
                <w:spacing w:val="-5"/>
                <w:sz w:val="20"/>
                <w:szCs w:val="20"/>
              </w:rPr>
              <w:t>年初</w:t>
            </w:r>
            <w:r>
              <w:rPr>
                <w:rFonts w:ascii="宋体" w:hAnsi="宋体" w:eastAsia="宋体" w:cs="宋体"/>
                <w:spacing w:val="-4"/>
                <w:sz w:val="20"/>
                <w:szCs w:val="20"/>
              </w:rPr>
              <w:t>预算数</w:t>
            </w:r>
          </w:p>
        </w:tc>
        <w:tc>
          <w:tcPr>
            <w:tcW w:w="1209" w:type="dxa"/>
          </w:tcPr>
          <w:p w14:paraId="524BC82C">
            <w:pPr>
              <w:spacing w:before="68" w:line="222" w:lineRule="auto"/>
              <w:ind w:left="293" w:right="314" w:firstLine="99"/>
              <w:rPr>
                <w:rFonts w:ascii="宋体" w:hAnsi="宋体" w:eastAsia="宋体" w:cs="宋体"/>
                <w:sz w:val="20"/>
                <w:szCs w:val="20"/>
              </w:rPr>
            </w:pPr>
            <w:r>
              <w:rPr>
                <w:rFonts w:ascii="宋体" w:hAnsi="宋体" w:eastAsia="宋体" w:cs="宋体"/>
                <w:spacing w:val="-4"/>
                <w:sz w:val="20"/>
                <w:szCs w:val="20"/>
              </w:rPr>
              <w:t>全年预算数</w:t>
            </w:r>
          </w:p>
        </w:tc>
        <w:tc>
          <w:tcPr>
            <w:tcW w:w="1138" w:type="dxa"/>
          </w:tcPr>
          <w:p w14:paraId="6663BED8">
            <w:pPr>
              <w:spacing w:before="68" w:line="222" w:lineRule="auto"/>
              <w:ind w:left="264" w:right="270" w:firstLine="100"/>
              <w:rPr>
                <w:rFonts w:ascii="宋体" w:hAnsi="宋体" w:eastAsia="宋体" w:cs="宋体"/>
                <w:sz w:val="20"/>
                <w:szCs w:val="20"/>
              </w:rPr>
            </w:pPr>
            <w:r>
              <w:rPr>
                <w:rFonts w:ascii="宋体" w:hAnsi="宋体" w:eastAsia="宋体" w:cs="宋体"/>
                <w:spacing w:val="-4"/>
                <w:sz w:val="20"/>
                <w:szCs w:val="20"/>
              </w:rPr>
              <w:t>全年</w:t>
            </w:r>
            <w:r>
              <w:rPr>
                <w:rFonts w:ascii="宋体" w:hAnsi="宋体" w:eastAsia="宋体" w:cs="宋体"/>
                <w:spacing w:val="-3"/>
                <w:sz w:val="20"/>
                <w:szCs w:val="20"/>
              </w:rPr>
              <w:t>执行数</w:t>
            </w:r>
          </w:p>
        </w:tc>
        <w:tc>
          <w:tcPr>
            <w:tcW w:w="809" w:type="dxa"/>
          </w:tcPr>
          <w:p w14:paraId="4930BD54">
            <w:pPr>
              <w:spacing w:before="179" w:line="219" w:lineRule="auto"/>
              <w:ind w:left="196"/>
              <w:rPr>
                <w:rFonts w:ascii="宋体" w:hAnsi="宋体" w:eastAsia="宋体" w:cs="宋体"/>
                <w:sz w:val="20"/>
                <w:szCs w:val="20"/>
              </w:rPr>
            </w:pPr>
            <w:r>
              <w:rPr>
                <w:rFonts w:ascii="宋体" w:hAnsi="宋体" w:eastAsia="宋体" w:cs="宋体"/>
                <w:spacing w:val="-3"/>
                <w:sz w:val="20"/>
                <w:szCs w:val="20"/>
              </w:rPr>
              <w:t>分值</w:t>
            </w:r>
          </w:p>
        </w:tc>
        <w:tc>
          <w:tcPr>
            <w:tcW w:w="869" w:type="dxa"/>
          </w:tcPr>
          <w:p w14:paraId="636EFC23">
            <w:pPr>
              <w:spacing w:before="179" w:line="219" w:lineRule="auto"/>
              <w:ind w:left="128"/>
              <w:rPr>
                <w:rFonts w:ascii="宋体" w:hAnsi="宋体" w:eastAsia="宋体" w:cs="宋体"/>
                <w:sz w:val="20"/>
                <w:szCs w:val="20"/>
              </w:rPr>
            </w:pPr>
            <w:r>
              <w:rPr>
                <w:rFonts w:ascii="宋体" w:hAnsi="宋体" w:eastAsia="宋体" w:cs="宋体"/>
                <w:spacing w:val="-2"/>
                <w:sz w:val="20"/>
                <w:szCs w:val="20"/>
              </w:rPr>
              <w:t>执行率</w:t>
            </w:r>
          </w:p>
        </w:tc>
        <w:tc>
          <w:tcPr>
            <w:tcW w:w="1413" w:type="dxa"/>
          </w:tcPr>
          <w:p w14:paraId="63002E6E">
            <w:pPr>
              <w:spacing w:before="179" w:line="219" w:lineRule="auto"/>
              <w:ind w:left="499"/>
              <w:rPr>
                <w:rFonts w:ascii="宋体" w:hAnsi="宋体" w:eastAsia="宋体" w:cs="宋体"/>
                <w:sz w:val="20"/>
                <w:szCs w:val="20"/>
              </w:rPr>
            </w:pPr>
            <w:r>
              <w:rPr>
                <w:rFonts w:ascii="宋体" w:hAnsi="宋体" w:eastAsia="宋体" w:cs="宋体"/>
                <w:spacing w:val="-3"/>
                <w:sz w:val="20"/>
                <w:szCs w:val="20"/>
              </w:rPr>
              <w:t>得分</w:t>
            </w:r>
          </w:p>
        </w:tc>
      </w:tr>
      <w:tr w14:paraId="5B7F96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064" w:type="dxa"/>
            <w:vMerge w:val="continue"/>
            <w:tcBorders>
              <w:top w:val="nil"/>
              <w:bottom w:val="nil"/>
            </w:tcBorders>
          </w:tcPr>
          <w:p w14:paraId="29ED7F12">
            <w:pPr>
              <w:pStyle w:val="8"/>
            </w:pPr>
          </w:p>
        </w:tc>
        <w:tc>
          <w:tcPr>
            <w:tcW w:w="2148" w:type="dxa"/>
            <w:gridSpan w:val="2"/>
          </w:tcPr>
          <w:p w14:paraId="7E36FA49">
            <w:pPr>
              <w:spacing w:before="80" w:line="219" w:lineRule="auto"/>
              <w:ind w:left="110"/>
              <w:rPr>
                <w:rFonts w:ascii="宋体" w:hAnsi="宋体" w:eastAsia="宋体" w:cs="宋体"/>
                <w:sz w:val="20"/>
                <w:szCs w:val="20"/>
              </w:rPr>
            </w:pPr>
            <w:r>
              <w:rPr>
                <w:rFonts w:ascii="宋体" w:hAnsi="宋体" w:eastAsia="宋体" w:cs="宋体"/>
                <w:spacing w:val="-2"/>
                <w:sz w:val="20"/>
                <w:szCs w:val="20"/>
              </w:rPr>
              <w:t>年度资金总额</w:t>
            </w:r>
          </w:p>
        </w:tc>
        <w:tc>
          <w:tcPr>
            <w:tcW w:w="1129" w:type="dxa"/>
          </w:tcPr>
          <w:p w14:paraId="253D857C">
            <w:pPr>
              <w:pStyle w:val="8"/>
              <w:keepNext w:val="0"/>
              <w:keepLines w:val="0"/>
              <w:pageBreakBefore w:val="0"/>
              <w:widowControl/>
              <w:kinsoku w:val="0"/>
              <w:wordWrap/>
              <w:overflowPunct/>
              <w:topLinePunct w:val="0"/>
              <w:autoSpaceDE w:val="0"/>
              <w:autoSpaceDN w:val="0"/>
              <w:bidi w:val="0"/>
              <w:adjustRightInd w:val="0"/>
              <w:snapToGrid w:val="0"/>
              <w:spacing w:before="80"/>
              <w:jc w:val="center"/>
              <w:textAlignment w:val="baseline"/>
              <w:rPr>
                <w:rFonts w:hint="default" w:eastAsia="宋体"/>
                <w:lang w:val="en-US" w:eastAsia="zh-CN"/>
              </w:rPr>
            </w:pPr>
            <w:r>
              <w:rPr>
                <w:rFonts w:hint="eastAsia" w:eastAsia="宋体"/>
                <w:lang w:val="en-US" w:eastAsia="zh-CN"/>
              </w:rPr>
              <w:t>10</w:t>
            </w:r>
          </w:p>
        </w:tc>
        <w:tc>
          <w:tcPr>
            <w:tcW w:w="1209" w:type="dxa"/>
          </w:tcPr>
          <w:p w14:paraId="1160909C">
            <w:pPr>
              <w:pStyle w:val="8"/>
              <w:keepNext w:val="0"/>
              <w:keepLines w:val="0"/>
              <w:pageBreakBefore w:val="0"/>
              <w:widowControl/>
              <w:kinsoku w:val="0"/>
              <w:wordWrap/>
              <w:overflowPunct/>
              <w:topLinePunct w:val="0"/>
              <w:autoSpaceDE w:val="0"/>
              <w:autoSpaceDN w:val="0"/>
              <w:bidi w:val="0"/>
              <w:adjustRightInd w:val="0"/>
              <w:snapToGrid w:val="0"/>
              <w:spacing w:before="80"/>
              <w:jc w:val="center"/>
              <w:textAlignment w:val="baseline"/>
              <w:rPr>
                <w:rFonts w:hint="default" w:eastAsia="宋体"/>
                <w:lang w:val="en-US" w:eastAsia="zh-CN"/>
              </w:rPr>
            </w:pPr>
            <w:r>
              <w:rPr>
                <w:rFonts w:hint="eastAsia" w:eastAsia="宋体"/>
                <w:lang w:val="en-US" w:eastAsia="zh-CN"/>
              </w:rPr>
              <w:t>10</w:t>
            </w:r>
          </w:p>
        </w:tc>
        <w:tc>
          <w:tcPr>
            <w:tcW w:w="1138" w:type="dxa"/>
          </w:tcPr>
          <w:p w14:paraId="655514F1">
            <w:pPr>
              <w:pStyle w:val="8"/>
              <w:keepNext w:val="0"/>
              <w:keepLines w:val="0"/>
              <w:pageBreakBefore w:val="0"/>
              <w:widowControl/>
              <w:kinsoku w:val="0"/>
              <w:wordWrap/>
              <w:overflowPunct/>
              <w:topLinePunct w:val="0"/>
              <w:autoSpaceDE w:val="0"/>
              <w:autoSpaceDN w:val="0"/>
              <w:bidi w:val="0"/>
              <w:adjustRightInd w:val="0"/>
              <w:snapToGrid w:val="0"/>
              <w:spacing w:before="80"/>
              <w:jc w:val="center"/>
              <w:textAlignment w:val="baseline"/>
              <w:rPr>
                <w:rFonts w:hint="default" w:eastAsia="宋体"/>
                <w:lang w:val="en-US" w:eastAsia="zh-CN"/>
              </w:rPr>
            </w:pPr>
            <w:r>
              <w:rPr>
                <w:rFonts w:hint="eastAsia" w:eastAsia="宋体"/>
                <w:lang w:val="en-US" w:eastAsia="zh-CN"/>
              </w:rPr>
              <w:t>10</w:t>
            </w:r>
          </w:p>
        </w:tc>
        <w:tc>
          <w:tcPr>
            <w:tcW w:w="809" w:type="dxa"/>
          </w:tcPr>
          <w:p w14:paraId="2D576F67">
            <w:pPr>
              <w:keepNext w:val="0"/>
              <w:keepLines w:val="0"/>
              <w:pageBreakBefore w:val="0"/>
              <w:widowControl/>
              <w:kinsoku w:val="0"/>
              <w:wordWrap/>
              <w:overflowPunct/>
              <w:topLinePunct w:val="0"/>
              <w:autoSpaceDE w:val="0"/>
              <w:autoSpaceDN w:val="0"/>
              <w:bidi w:val="0"/>
              <w:adjustRightInd w:val="0"/>
              <w:snapToGrid w:val="0"/>
              <w:spacing w:before="120" w:line="185" w:lineRule="auto"/>
              <w:ind w:left="295"/>
              <w:jc w:val="both"/>
              <w:textAlignment w:val="baseline"/>
              <w:rPr>
                <w:rFonts w:ascii="宋体" w:hAnsi="宋体" w:eastAsia="宋体" w:cs="宋体"/>
                <w:sz w:val="20"/>
                <w:szCs w:val="20"/>
              </w:rPr>
            </w:pPr>
            <w:r>
              <w:rPr>
                <w:rFonts w:hint="eastAsia" w:ascii="Arial" w:hAnsi="Arial" w:eastAsia="宋体" w:cs="Arial"/>
                <w:snapToGrid w:val="0"/>
                <w:color w:val="000000"/>
                <w:sz w:val="21"/>
                <w:szCs w:val="21"/>
                <w:lang w:val="en-US" w:eastAsia="zh-CN" w:bidi="ar-SA"/>
              </w:rPr>
              <w:t>10</w:t>
            </w:r>
          </w:p>
        </w:tc>
        <w:tc>
          <w:tcPr>
            <w:tcW w:w="869" w:type="dxa"/>
          </w:tcPr>
          <w:p w14:paraId="375C2AAF">
            <w:pPr>
              <w:pStyle w:val="8"/>
              <w:keepNext w:val="0"/>
              <w:keepLines w:val="0"/>
              <w:pageBreakBefore w:val="0"/>
              <w:widowControl/>
              <w:kinsoku w:val="0"/>
              <w:wordWrap/>
              <w:overflowPunct/>
              <w:topLinePunct w:val="0"/>
              <w:autoSpaceDE w:val="0"/>
              <w:autoSpaceDN w:val="0"/>
              <w:bidi w:val="0"/>
              <w:adjustRightInd w:val="0"/>
              <w:snapToGrid w:val="0"/>
              <w:spacing w:before="80"/>
              <w:jc w:val="center"/>
              <w:textAlignment w:val="baseline"/>
              <w:rPr>
                <w:rFonts w:hint="default" w:eastAsia="宋体"/>
                <w:lang w:val="en-US" w:eastAsia="zh-CN"/>
              </w:rPr>
            </w:pPr>
            <w:r>
              <w:rPr>
                <w:rFonts w:hint="eastAsia" w:eastAsia="宋体"/>
                <w:lang w:val="en-US" w:eastAsia="zh-CN"/>
              </w:rPr>
              <w:t>100%</w:t>
            </w:r>
          </w:p>
        </w:tc>
        <w:tc>
          <w:tcPr>
            <w:tcW w:w="1413" w:type="dxa"/>
            <w:shd w:val="clear" w:color="auto" w:fill="auto"/>
            <w:vAlign w:val="center"/>
          </w:tcPr>
          <w:p w14:paraId="349DF542">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Arial" w:hAnsi="Arial" w:eastAsia="宋体" w:cs="Arial"/>
                <w:snapToGrid w:val="0"/>
                <w:color w:val="000000"/>
                <w:sz w:val="21"/>
                <w:szCs w:val="21"/>
                <w:lang w:val="en-US" w:eastAsia="zh-CN" w:bidi="ar-SA"/>
              </w:rPr>
              <w:t>10</w:t>
            </w:r>
          </w:p>
        </w:tc>
      </w:tr>
      <w:tr w14:paraId="0FDDA1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cPr>
          <w:p w14:paraId="3C098399">
            <w:pPr>
              <w:pStyle w:val="8"/>
            </w:pPr>
          </w:p>
        </w:tc>
        <w:tc>
          <w:tcPr>
            <w:tcW w:w="2148" w:type="dxa"/>
            <w:gridSpan w:val="2"/>
          </w:tcPr>
          <w:p w14:paraId="316B1D48">
            <w:pPr>
              <w:spacing w:before="70" w:line="219" w:lineRule="auto"/>
              <w:ind w:left="110"/>
              <w:rPr>
                <w:rFonts w:ascii="宋体" w:hAnsi="宋体" w:eastAsia="宋体" w:cs="宋体"/>
                <w:sz w:val="20"/>
                <w:szCs w:val="20"/>
              </w:rPr>
            </w:pPr>
            <w:r>
              <w:rPr>
                <w:rFonts w:ascii="宋体" w:hAnsi="宋体" w:eastAsia="宋体" w:cs="宋体"/>
                <w:spacing w:val="-1"/>
                <w:sz w:val="20"/>
                <w:szCs w:val="20"/>
              </w:rPr>
              <w:t>其中：当年财政拨款</w:t>
            </w:r>
          </w:p>
        </w:tc>
        <w:tc>
          <w:tcPr>
            <w:tcW w:w="1129" w:type="dxa"/>
          </w:tcPr>
          <w:p w14:paraId="099A3CC1">
            <w:pPr>
              <w:pStyle w:val="8"/>
              <w:keepNext w:val="0"/>
              <w:keepLines w:val="0"/>
              <w:pageBreakBefore w:val="0"/>
              <w:widowControl/>
              <w:kinsoku w:val="0"/>
              <w:wordWrap/>
              <w:overflowPunct/>
              <w:topLinePunct w:val="0"/>
              <w:autoSpaceDE w:val="0"/>
              <w:autoSpaceDN w:val="0"/>
              <w:bidi w:val="0"/>
              <w:adjustRightInd w:val="0"/>
              <w:snapToGrid w:val="0"/>
              <w:spacing w:before="80"/>
              <w:jc w:val="center"/>
              <w:textAlignment w:val="baseline"/>
              <w:rPr>
                <w:rFonts w:hint="default" w:eastAsia="宋体"/>
                <w:lang w:val="en-US" w:eastAsia="zh-CN"/>
              </w:rPr>
            </w:pPr>
            <w:r>
              <w:rPr>
                <w:rFonts w:hint="eastAsia" w:eastAsia="宋体"/>
                <w:lang w:val="en-US" w:eastAsia="zh-CN"/>
              </w:rPr>
              <w:t>10</w:t>
            </w:r>
          </w:p>
        </w:tc>
        <w:tc>
          <w:tcPr>
            <w:tcW w:w="1209" w:type="dxa"/>
          </w:tcPr>
          <w:p w14:paraId="1618A7BF">
            <w:pPr>
              <w:pStyle w:val="8"/>
              <w:keepNext w:val="0"/>
              <w:keepLines w:val="0"/>
              <w:pageBreakBefore w:val="0"/>
              <w:widowControl/>
              <w:kinsoku w:val="0"/>
              <w:wordWrap/>
              <w:overflowPunct/>
              <w:topLinePunct w:val="0"/>
              <w:autoSpaceDE w:val="0"/>
              <w:autoSpaceDN w:val="0"/>
              <w:bidi w:val="0"/>
              <w:adjustRightInd w:val="0"/>
              <w:snapToGrid w:val="0"/>
              <w:spacing w:before="80"/>
              <w:jc w:val="center"/>
              <w:textAlignment w:val="baseline"/>
            </w:pPr>
          </w:p>
        </w:tc>
        <w:tc>
          <w:tcPr>
            <w:tcW w:w="1138" w:type="dxa"/>
          </w:tcPr>
          <w:p w14:paraId="44BA298A">
            <w:pPr>
              <w:pStyle w:val="8"/>
              <w:keepNext w:val="0"/>
              <w:keepLines w:val="0"/>
              <w:pageBreakBefore w:val="0"/>
              <w:widowControl/>
              <w:kinsoku w:val="0"/>
              <w:wordWrap/>
              <w:overflowPunct/>
              <w:topLinePunct w:val="0"/>
              <w:autoSpaceDE w:val="0"/>
              <w:autoSpaceDN w:val="0"/>
              <w:bidi w:val="0"/>
              <w:adjustRightInd w:val="0"/>
              <w:snapToGrid w:val="0"/>
              <w:spacing w:before="80"/>
              <w:jc w:val="center"/>
              <w:textAlignment w:val="baseline"/>
            </w:pPr>
          </w:p>
        </w:tc>
        <w:tc>
          <w:tcPr>
            <w:tcW w:w="809" w:type="dxa"/>
          </w:tcPr>
          <w:p w14:paraId="5794D62B">
            <w:pPr>
              <w:pStyle w:val="8"/>
              <w:keepNext w:val="0"/>
              <w:keepLines w:val="0"/>
              <w:pageBreakBefore w:val="0"/>
              <w:widowControl/>
              <w:kinsoku w:val="0"/>
              <w:wordWrap/>
              <w:overflowPunct/>
              <w:topLinePunct w:val="0"/>
              <w:autoSpaceDE w:val="0"/>
              <w:autoSpaceDN w:val="0"/>
              <w:bidi w:val="0"/>
              <w:adjustRightInd w:val="0"/>
              <w:snapToGrid w:val="0"/>
              <w:spacing w:before="80"/>
              <w:jc w:val="center"/>
              <w:textAlignment w:val="baseline"/>
            </w:pPr>
          </w:p>
        </w:tc>
        <w:tc>
          <w:tcPr>
            <w:tcW w:w="869" w:type="dxa"/>
          </w:tcPr>
          <w:p w14:paraId="523B1A76">
            <w:pPr>
              <w:pStyle w:val="8"/>
              <w:keepNext w:val="0"/>
              <w:keepLines w:val="0"/>
              <w:pageBreakBefore w:val="0"/>
              <w:widowControl/>
              <w:kinsoku w:val="0"/>
              <w:wordWrap/>
              <w:overflowPunct/>
              <w:topLinePunct w:val="0"/>
              <w:autoSpaceDE w:val="0"/>
              <w:autoSpaceDN w:val="0"/>
              <w:bidi w:val="0"/>
              <w:adjustRightInd w:val="0"/>
              <w:snapToGrid w:val="0"/>
              <w:spacing w:before="80"/>
              <w:jc w:val="center"/>
              <w:textAlignment w:val="baseline"/>
            </w:pPr>
          </w:p>
        </w:tc>
        <w:tc>
          <w:tcPr>
            <w:tcW w:w="1413" w:type="dxa"/>
          </w:tcPr>
          <w:p w14:paraId="3BB25EDF">
            <w:pPr>
              <w:pStyle w:val="8"/>
            </w:pPr>
          </w:p>
        </w:tc>
      </w:tr>
      <w:tr w14:paraId="37E326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064" w:type="dxa"/>
            <w:vMerge w:val="continue"/>
            <w:tcBorders>
              <w:top w:val="nil"/>
              <w:bottom w:val="nil"/>
            </w:tcBorders>
          </w:tcPr>
          <w:p w14:paraId="2F5319C4">
            <w:pPr>
              <w:pStyle w:val="8"/>
            </w:pPr>
          </w:p>
        </w:tc>
        <w:tc>
          <w:tcPr>
            <w:tcW w:w="2148" w:type="dxa"/>
            <w:gridSpan w:val="2"/>
          </w:tcPr>
          <w:p w14:paraId="5F434A6D">
            <w:pPr>
              <w:spacing w:before="70" w:line="219" w:lineRule="auto"/>
              <w:ind w:left="690"/>
              <w:rPr>
                <w:rFonts w:ascii="宋体" w:hAnsi="宋体" w:eastAsia="宋体" w:cs="宋体"/>
                <w:sz w:val="20"/>
                <w:szCs w:val="20"/>
              </w:rPr>
            </w:pPr>
            <w:r>
              <w:rPr>
                <w:rFonts w:ascii="宋体" w:hAnsi="宋体" w:eastAsia="宋体" w:cs="宋体"/>
                <w:spacing w:val="-2"/>
                <w:sz w:val="20"/>
                <w:szCs w:val="20"/>
              </w:rPr>
              <w:t>上年结转资金</w:t>
            </w:r>
          </w:p>
        </w:tc>
        <w:tc>
          <w:tcPr>
            <w:tcW w:w="1129" w:type="dxa"/>
          </w:tcPr>
          <w:p w14:paraId="4D193ECE">
            <w:pPr>
              <w:pStyle w:val="8"/>
            </w:pPr>
          </w:p>
        </w:tc>
        <w:tc>
          <w:tcPr>
            <w:tcW w:w="1209" w:type="dxa"/>
          </w:tcPr>
          <w:p w14:paraId="39A9624A">
            <w:pPr>
              <w:pStyle w:val="8"/>
            </w:pPr>
          </w:p>
        </w:tc>
        <w:tc>
          <w:tcPr>
            <w:tcW w:w="1138" w:type="dxa"/>
          </w:tcPr>
          <w:p w14:paraId="51AF954C">
            <w:pPr>
              <w:pStyle w:val="8"/>
            </w:pPr>
          </w:p>
        </w:tc>
        <w:tc>
          <w:tcPr>
            <w:tcW w:w="809" w:type="dxa"/>
          </w:tcPr>
          <w:p w14:paraId="408D153D">
            <w:pPr>
              <w:pStyle w:val="8"/>
            </w:pPr>
          </w:p>
        </w:tc>
        <w:tc>
          <w:tcPr>
            <w:tcW w:w="869" w:type="dxa"/>
          </w:tcPr>
          <w:p w14:paraId="6AA8C8D2">
            <w:pPr>
              <w:pStyle w:val="8"/>
            </w:pPr>
          </w:p>
        </w:tc>
        <w:tc>
          <w:tcPr>
            <w:tcW w:w="1413" w:type="dxa"/>
          </w:tcPr>
          <w:p w14:paraId="739F4159">
            <w:pPr>
              <w:pStyle w:val="8"/>
            </w:pPr>
          </w:p>
        </w:tc>
      </w:tr>
      <w:tr w14:paraId="71A52A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1064" w:type="dxa"/>
            <w:vMerge w:val="continue"/>
            <w:tcBorders>
              <w:top w:val="nil"/>
            </w:tcBorders>
          </w:tcPr>
          <w:p w14:paraId="233FEAF4">
            <w:pPr>
              <w:pStyle w:val="8"/>
            </w:pPr>
          </w:p>
        </w:tc>
        <w:tc>
          <w:tcPr>
            <w:tcW w:w="2148" w:type="dxa"/>
            <w:gridSpan w:val="2"/>
          </w:tcPr>
          <w:p w14:paraId="123AD20F">
            <w:pPr>
              <w:spacing w:before="41" w:line="211" w:lineRule="auto"/>
              <w:ind w:left="690"/>
              <w:rPr>
                <w:rFonts w:ascii="宋体" w:hAnsi="宋体" w:eastAsia="宋体" w:cs="宋体"/>
                <w:sz w:val="20"/>
                <w:szCs w:val="20"/>
              </w:rPr>
            </w:pPr>
            <w:r>
              <w:rPr>
                <w:rFonts w:ascii="宋体" w:hAnsi="宋体" w:eastAsia="宋体" w:cs="宋体"/>
                <w:spacing w:val="-2"/>
                <w:sz w:val="20"/>
                <w:szCs w:val="20"/>
              </w:rPr>
              <w:t>其他资金</w:t>
            </w:r>
          </w:p>
        </w:tc>
        <w:tc>
          <w:tcPr>
            <w:tcW w:w="1129" w:type="dxa"/>
          </w:tcPr>
          <w:p w14:paraId="5969EF2A">
            <w:pPr>
              <w:pStyle w:val="8"/>
            </w:pPr>
          </w:p>
        </w:tc>
        <w:tc>
          <w:tcPr>
            <w:tcW w:w="1209" w:type="dxa"/>
          </w:tcPr>
          <w:p w14:paraId="0AB2F033">
            <w:pPr>
              <w:pStyle w:val="8"/>
            </w:pPr>
          </w:p>
        </w:tc>
        <w:tc>
          <w:tcPr>
            <w:tcW w:w="1138" w:type="dxa"/>
          </w:tcPr>
          <w:p w14:paraId="73BFB696">
            <w:pPr>
              <w:pStyle w:val="8"/>
            </w:pPr>
          </w:p>
        </w:tc>
        <w:tc>
          <w:tcPr>
            <w:tcW w:w="809" w:type="dxa"/>
          </w:tcPr>
          <w:p w14:paraId="08A1664D">
            <w:pPr>
              <w:pStyle w:val="8"/>
            </w:pPr>
          </w:p>
        </w:tc>
        <w:tc>
          <w:tcPr>
            <w:tcW w:w="869" w:type="dxa"/>
          </w:tcPr>
          <w:p w14:paraId="7C8C7F07">
            <w:pPr>
              <w:pStyle w:val="8"/>
            </w:pPr>
          </w:p>
        </w:tc>
        <w:tc>
          <w:tcPr>
            <w:tcW w:w="1413" w:type="dxa"/>
          </w:tcPr>
          <w:p w14:paraId="5CAD1CED">
            <w:pPr>
              <w:pStyle w:val="8"/>
            </w:pPr>
          </w:p>
        </w:tc>
      </w:tr>
      <w:tr w14:paraId="47C009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1064" w:type="dxa"/>
            <w:vMerge w:val="restart"/>
            <w:tcBorders>
              <w:bottom w:val="nil"/>
            </w:tcBorders>
          </w:tcPr>
          <w:p w14:paraId="6FE81F13">
            <w:pPr>
              <w:spacing w:before="50" w:line="235" w:lineRule="auto"/>
              <w:ind w:left="324" w:right="137" w:hanging="199"/>
              <w:rPr>
                <w:rFonts w:ascii="宋体" w:hAnsi="宋体" w:eastAsia="宋体" w:cs="宋体"/>
                <w:sz w:val="20"/>
                <w:szCs w:val="20"/>
              </w:rPr>
            </w:pPr>
            <w:r>
              <w:rPr>
                <w:rFonts w:ascii="宋体" w:hAnsi="宋体" w:eastAsia="宋体" w:cs="宋体"/>
                <w:spacing w:val="-3"/>
                <w:sz w:val="20"/>
                <w:szCs w:val="20"/>
              </w:rPr>
              <w:t>年度总体</w:t>
            </w:r>
            <w:r>
              <w:rPr>
                <w:rFonts w:ascii="宋体" w:hAnsi="宋体" w:eastAsia="宋体" w:cs="宋体"/>
                <w:spacing w:val="8"/>
                <w:sz w:val="20"/>
                <w:szCs w:val="20"/>
              </w:rPr>
              <w:t>目标</w:t>
            </w:r>
          </w:p>
        </w:tc>
        <w:tc>
          <w:tcPr>
            <w:tcW w:w="4486" w:type="dxa"/>
            <w:gridSpan w:val="4"/>
          </w:tcPr>
          <w:p w14:paraId="220F5CE0">
            <w:pPr>
              <w:spacing w:before="41" w:line="211" w:lineRule="auto"/>
              <w:ind w:left="1840"/>
              <w:rPr>
                <w:rFonts w:ascii="宋体" w:hAnsi="宋体" w:eastAsia="宋体" w:cs="宋体"/>
                <w:sz w:val="20"/>
                <w:szCs w:val="20"/>
              </w:rPr>
            </w:pPr>
            <w:r>
              <w:rPr>
                <w:rFonts w:ascii="宋体" w:hAnsi="宋体" w:eastAsia="宋体" w:cs="宋体"/>
                <w:spacing w:val="-2"/>
                <w:sz w:val="20"/>
                <w:szCs w:val="20"/>
              </w:rPr>
              <w:t>预期目标</w:t>
            </w:r>
          </w:p>
        </w:tc>
        <w:tc>
          <w:tcPr>
            <w:tcW w:w="4229" w:type="dxa"/>
            <w:gridSpan w:val="4"/>
          </w:tcPr>
          <w:p w14:paraId="6DDF9228">
            <w:pPr>
              <w:spacing w:before="41" w:line="211" w:lineRule="auto"/>
              <w:ind w:left="1514"/>
              <w:rPr>
                <w:rFonts w:ascii="宋体" w:hAnsi="宋体" w:eastAsia="宋体" w:cs="宋体"/>
                <w:sz w:val="20"/>
                <w:szCs w:val="20"/>
              </w:rPr>
            </w:pPr>
            <w:r>
              <w:rPr>
                <w:rFonts w:ascii="宋体" w:hAnsi="宋体" w:eastAsia="宋体" w:cs="宋体"/>
                <w:spacing w:val="1"/>
                <w:sz w:val="20"/>
                <w:szCs w:val="20"/>
              </w:rPr>
              <w:t>实际完成情况</w:t>
            </w:r>
          </w:p>
        </w:tc>
      </w:tr>
      <w:tr w14:paraId="0C7FB6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1064" w:type="dxa"/>
            <w:vMerge w:val="continue"/>
            <w:tcBorders>
              <w:top w:val="nil"/>
            </w:tcBorders>
          </w:tcPr>
          <w:p w14:paraId="17F91E02">
            <w:pPr>
              <w:pStyle w:val="8"/>
            </w:pPr>
          </w:p>
        </w:tc>
        <w:tc>
          <w:tcPr>
            <w:tcW w:w="4486" w:type="dxa"/>
            <w:gridSpan w:val="4"/>
          </w:tcPr>
          <w:p w14:paraId="0F29EE7A">
            <w:pPr>
              <w:pStyle w:val="8"/>
              <w:rPr>
                <w:rFonts w:hint="eastAsia" w:eastAsia="宋体"/>
                <w:lang w:eastAsia="zh-CN"/>
              </w:rPr>
            </w:pPr>
            <w:r>
              <w:rPr>
                <w:rFonts w:hint="eastAsia" w:eastAsia="宋体"/>
                <w:lang w:eastAsia="zh-CN"/>
              </w:rPr>
              <w:t>村级组织正常运转，有效服务群众</w:t>
            </w:r>
          </w:p>
        </w:tc>
        <w:tc>
          <w:tcPr>
            <w:tcW w:w="4229" w:type="dxa"/>
            <w:gridSpan w:val="4"/>
          </w:tcPr>
          <w:p w14:paraId="7F6F45A9">
            <w:pPr>
              <w:pStyle w:val="8"/>
              <w:rPr>
                <w:rFonts w:hint="eastAsia" w:eastAsia="宋体"/>
                <w:lang w:eastAsia="zh-CN"/>
              </w:rPr>
            </w:pPr>
            <w:r>
              <w:rPr>
                <w:rFonts w:hint="eastAsia" w:eastAsia="宋体"/>
                <w:lang w:eastAsia="zh-CN"/>
              </w:rPr>
              <w:t>村级组织正常运转，服务群众情况良好</w:t>
            </w:r>
          </w:p>
        </w:tc>
      </w:tr>
      <w:tr w14:paraId="498EFC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9" w:hRule="atLeast"/>
        </w:trPr>
        <w:tc>
          <w:tcPr>
            <w:tcW w:w="1064" w:type="dxa"/>
            <w:vMerge w:val="restart"/>
            <w:tcBorders>
              <w:bottom w:val="nil"/>
            </w:tcBorders>
            <w:textDirection w:val="tbRlV"/>
          </w:tcPr>
          <w:p w14:paraId="014D3DB0">
            <w:pPr>
              <w:pStyle w:val="8"/>
              <w:spacing w:line="357" w:lineRule="auto"/>
            </w:pPr>
          </w:p>
          <w:p w14:paraId="5BCE011E">
            <w:pPr>
              <w:spacing w:before="67" w:line="202" w:lineRule="auto"/>
              <w:ind w:left="3083"/>
              <w:rPr>
                <w:rFonts w:ascii="宋体" w:hAnsi="宋体" w:eastAsia="宋体" w:cs="宋体"/>
                <w:sz w:val="20"/>
                <w:szCs w:val="20"/>
              </w:rPr>
            </w:pPr>
            <w:r>
              <w:rPr>
                <w:rFonts w:ascii="宋体" w:hAnsi="宋体" w:eastAsia="宋体" w:cs="宋体"/>
                <w:spacing w:val="-1"/>
                <w:sz w:val="20"/>
                <w:szCs w:val="20"/>
              </w:rPr>
              <w:t>绩效指标</w:t>
            </w:r>
          </w:p>
        </w:tc>
        <w:tc>
          <w:tcPr>
            <w:tcW w:w="1069" w:type="dxa"/>
          </w:tcPr>
          <w:p w14:paraId="5F33E28E">
            <w:pPr>
              <w:pStyle w:val="8"/>
              <w:spacing w:line="255" w:lineRule="auto"/>
            </w:pPr>
          </w:p>
          <w:p w14:paraId="68A5C9F4">
            <w:pPr>
              <w:spacing w:before="65" w:line="220" w:lineRule="auto"/>
              <w:ind w:left="120"/>
              <w:rPr>
                <w:rFonts w:ascii="宋体" w:hAnsi="宋体" w:eastAsia="宋体" w:cs="宋体"/>
                <w:sz w:val="20"/>
                <w:szCs w:val="20"/>
              </w:rPr>
            </w:pPr>
            <w:r>
              <w:rPr>
                <w:rFonts w:ascii="宋体" w:hAnsi="宋体" w:eastAsia="宋体" w:cs="宋体"/>
                <w:spacing w:val="-3"/>
                <w:sz w:val="20"/>
                <w:szCs w:val="20"/>
              </w:rPr>
              <w:t>一级指标</w:t>
            </w:r>
          </w:p>
        </w:tc>
        <w:tc>
          <w:tcPr>
            <w:tcW w:w="1079" w:type="dxa"/>
          </w:tcPr>
          <w:p w14:paraId="068ECB17">
            <w:pPr>
              <w:pStyle w:val="8"/>
              <w:spacing w:line="255" w:lineRule="auto"/>
            </w:pPr>
          </w:p>
          <w:p w14:paraId="0E38C7AE">
            <w:pPr>
              <w:spacing w:before="65" w:line="220" w:lineRule="auto"/>
              <w:ind w:left="131"/>
              <w:rPr>
                <w:rFonts w:ascii="宋体" w:hAnsi="宋体" w:eastAsia="宋体" w:cs="宋体"/>
                <w:sz w:val="20"/>
                <w:szCs w:val="20"/>
              </w:rPr>
            </w:pPr>
            <w:r>
              <w:rPr>
                <w:rFonts w:ascii="宋体" w:hAnsi="宋体" w:eastAsia="宋体" w:cs="宋体"/>
                <w:spacing w:val="-3"/>
                <w:sz w:val="20"/>
                <w:szCs w:val="20"/>
              </w:rPr>
              <w:t>二级指标</w:t>
            </w:r>
          </w:p>
        </w:tc>
        <w:tc>
          <w:tcPr>
            <w:tcW w:w="1129" w:type="dxa"/>
          </w:tcPr>
          <w:p w14:paraId="29679B1A">
            <w:pPr>
              <w:pStyle w:val="8"/>
              <w:spacing w:line="255" w:lineRule="auto"/>
            </w:pPr>
          </w:p>
          <w:p w14:paraId="1BD4B018">
            <w:pPr>
              <w:spacing w:before="65" w:line="220" w:lineRule="auto"/>
              <w:ind w:left="152"/>
              <w:rPr>
                <w:rFonts w:ascii="宋体" w:hAnsi="宋体" w:eastAsia="宋体" w:cs="宋体"/>
                <w:sz w:val="20"/>
                <w:szCs w:val="20"/>
              </w:rPr>
            </w:pPr>
            <w:r>
              <w:rPr>
                <w:rFonts w:ascii="宋体" w:hAnsi="宋体" w:eastAsia="宋体" w:cs="宋体"/>
                <w:spacing w:val="-2"/>
                <w:sz w:val="20"/>
                <w:szCs w:val="20"/>
              </w:rPr>
              <w:t>三级指标</w:t>
            </w:r>
          </w:p>
        </w:tc>
        <w:tc>
          <w:tcPr>
            <w:tcW w:w="1209" w:type="dxa"/>
          </w:tcPr>
          <w:p w14:paraId="2CE57CDC">
            <w:pPr>
              <w:spacing w:before="190" w:line="230" w:lineRule="auto"/>
              <w:ind w:left="293" w:right="315" w:firstLine="99"/>
              <w:rPr>
                <w:rFonts w:ascii="宋体" w:hAnsi="宋体" w:eastAsia="宋体" w:cs="宋体"/>
                <w:sz w:val="20"/>
                <w:szCs w:val="20"/>
              </w:rPr>
            </w:pPr>
            <w:r>
              <w:rPr>
                <w:rFonts w:ascii="宋体" w:hAnsi="宋体" w:eastAsia="宋体" w:cs="宋体"/>
                <w:spacing w:val="5"/>
                <w:sz w:val="20"/>
                <w:szCs w:val="20"/>
              </w:rPr>
              <w:t>年度</w:t>
            </w:r>
            <w:r>
              <w:rPr>
                <w:rFonts w:ascii="宋体" w:hAnsi="宋体" w:eastAsia="宋体" w:cs="宋体"/>
                <w:spacing w:val="-4"/>
                <w:sz w:val="20"/>
                <w:szCs w:val="20"/>
              </w:rPr>
              <w:t>指标值</w:t>
            </w:r>
          </w:p>
        </w:tc>
        <w:tc>
          <w:tcPr>
            <w:tcW w:w="1138" w:type="dxa"/>
          </w:tcPr>
          <w:p w14:paraId="62DF394C">
            <w:pPr>
              <w:spacing w:before="192" w:line="235" w:lineRule="auto"/>
              <w:ind w:left="264" w:right="272" w:firstLine="100"/>
              <w:rPr>
                <w:rFonts w:ascii="宋体" w:hAnsi="宋体" w:eastAsia="宋体" w:cs="宋体"/>
                <w:sz w:val="20"/>
                <w:szCs w:val="20"/>
              </w:rPr>
            </w:pPr>
            <w:r>
              <w:rPr>
                <w:rFonts w:ascii="宋体" w:hAnsi="宋体" w:eastAsia="宋体" w:cs="宋体"/>
                <w:spacing w:val="4"/>
                <w:sz w:val="20"/>
                <w:szCs w:val="20"/>
              </w:rPr>
              <w:t>实际</w:t>
            </w:r>
            <w:r>
              <w:rPr>
                <w:rFonts w:ascii="宋体" w:hAnsi="宋体" w:eastAsia="宋体" w:cs="宋体"/>
                <w:spacing w:val="-4"/>
                <w:sz w:val="20"/>
                <w:szCs w:val="20"/>
              </w:rPr>
              <w:t>完成值</w:t>
            </w:r>
          </w:p>
        </w:tc>
        <w:tc>
          <w:tcPr>
            <w:tcW w:w="809" w:type="dxa"/>
          </w:tcPr>
          <w:p w14:paraId="33C4ECAB">
            <w:pPr>
              <w:pStyle w:val="8"/>
              <w:spacing w:line="254" w:lineRule="auto"/>
            </w:pPr>
          </w:p>
          <w:p w14:paraId="55D5BA74">
            <w:pPr>
              <w:spacing w:before="65" w:line="219" w:lineRule="auto"/>
              <w:ind w:left="196"/>
              <w:rPr>
                <w:rFonts w:ascii="宋体" w:hAnsi="宋体" w:eastAsia="宋体" w:cs="宋体"/>
                <w:sz w:val="20"/>
                <w:szCs w:val="20"/>
              </w:rPr>
            </w:pPr>
            <w:r>
              <w:rPr>
                <w:rFonts w:ascii="宋体" w:hAnsi="宋体" w:eastAsia="宋体" w:cs="宋体"/>
                <w:spacing w:val="-3"/>
                <w:sz w:val="20"/>
                <w:szCs w:val="20"/>
              </w:rPr>
              <w:t>分值</w:t>
            </w:r>
          </w:p>
        </w:tc>
        <w:tc>
          <w:tcPr>
            <w:tcW w:w="869" w:type="dxa"/>
          </w:tcPr>
          <w:p w14:paraId="35BB8337">
            <w:pPr>
              <w:pStyle w:val="8"/>
              <w:spacing w:line="254" w:lineRule="auto"/>
            </w:pPr>
          </w:p>
          <w:p w14:paraId="73BBB950">
            <w:pPr>
              <w:spacing w:before="65" w:line="219" w:lineRule="auto"/>
              <w:ind w:left="227"/>
              <w:rPr>
                <w:rFonts w:ascii="宋体" w:hAnsi="宋体" w:eastAsia="宋体" w:cs="宋体"/>
                <w:sz w:val="20"/>
                <w:szCs w:val="20"/>
              </w:rPr>
            </w:pPr>
            <w:r>
              <w:rPr>
                <w:rFonts w:ascii="宋体" w:hAnsi="宋体" w:eastAsia="宋体" w:cs="宋体"/>
                <w:spacing w:val="-3"/>
                <w:sz w:val="20"/>
                <w:szCs w:val="20"/>
              </w:rPr>
              <w:t>得分</w:t>
            </w:r>
          </w:p>
        </w:tc>
        <w:tc>
          <w:tcPr>
            <w:tcW w:w="1413" w:type="dxa"/>
          </w:tcPr>
          <w:p w14:paraId="10CDF4E8">
            <w:pPr>
              <w:spacing w:before="11" w:line="219" w:lineRule="auto"/>
              <w:ind w:left="298"/>
              <w:rPr>
                <w:rFonts w:ascii="宋体" w:hAnsi="宋体" w:eastAsia="宋体" w:cs="宋体"/>
                <w:sz w:val="20"/>
                <w:szCs w:val="20"/>
                <w:lang w:eastAsia="zh-CN"/>
              </w:rPr>
            </w:pPr>
            <w:r>
              <w:rPr>
                <w:rFonts w:ascii="宋体" w:hAnsi="宋体" w:eastAsia="宋体" w:cs="宋体"/>
                <w:spacing w:val="5"/>
                <w:sz w:val="20"/>
                <w:szCs w:val="20"/>
                <w:lang w:eastAsia="zh-CN"/>
              </w:rPr>
              <w:t>偏差原因</w:t>
            </w:r>
          </w:p>
          <w:p w14:paraId="1F59EB4E">
            <w:pPr>
              <w:spacing w:before="83" w:line="220" w:lineRule="auto"/>
              <w:ind w:left="398"/>
              <w:rPr>
                <w:rFonts w:ascii="宋体" w:hAnsi="宋体" w:eastAsia="宋体" w:cs="宋体"/>
                <w:sz w:val="20"/>
                <w:szCs w:val="20"/>
                <w:lang w:eastAsia="zh-CN"/>
              </w:rPr>
            </w:pPr>
            <w:r>
              <w:rPr>
                <w:rFonts w:ascii="宋体" w:hAnsi="宋体" w:eastAsia="宋体" w:cs="宋体"/>
                <w:spacing w:val="3"/>
                <w:sz w:val="20"/>
                <w:szCs w:val="20"/>
                <w:lang w:eastAsia="zh-CN"/>
              </w:rPr>
              <w:t>分析及</w:t>
            </w:r>
          </w:p>
          <w:p w14:paraId="040F9319">
            <w:pPr>
              <w:spacing w:before="21" w:line="210" w:lineRule="auto"/>
              <w:ind w:left="298"/>
              <w:rPr>
                <w:rFonts w:ascii="宋体" w:hAnsi="宋体" w:eastAsia="宋体" w:cs="宋体"/>
                <w:sz w:val="20"/>
                <w:szCs w:val="20"/>
                <w:lang w:eastAsia="zh-CN"/>
              </w:rPr>
            </w:pPr>
            <w:r>
              <w:rPr>
                <w:rFonts w:ascii="宋体" w:hAnsi="宋体" w:eastAsia="宋体" w:cs="宋体"/>
                <w:spacing w:val="2"/>
                <w:sz w:val="20"/>
                <w:szCs w:val="20"/>
                <w:lang w:eastAsia="zh-CN"/>
              </w:rPr>
              <w:t>改进措施</w:t>
            </w:r>
          </w:p>
        </w:tc>
      </w:tr>
      <w:tr w14:paraId="121F9D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0" w:hRule="atLeast"/>
        </w:trPr>
        <w:tc>
          <w:tcPr>
            <w:tcW w:w="1064" w:type="dxa"/>
            <w:vMerge w:val="continue"/>
            <w:tcBorders>
              <w:top w:val="nil"/>
              <w:bottom w:val="nil"/>
            </w:tcBorders>
            <w:textDirection w:val="tbRlV"/>
          </w:tcPr>
          <w:p w14:paraId="16AED8B0">
            <w:pPr>
              <w:pStyle w:val="8"/>
              <w:rPr>
                <w:lang w:eastAsia="zh-CN"/>
              </w:rPr>
            </w:pPr>
          </w:p>
        </w:tc>
        <w:tc>
          <w:tcPr>
            <w:tcW w:w="1069" w:type="dxa"/>
            <w:vMerge w:val="restart"/>
            <w:tcBorders>
              <w:bottom w:val="nil"/>
            </w:tcBorders>
          </w:tcPr>
          <w:p w14:paraId="4861CFE7">
            <w:pPr>
              <w:pStyle w:val="8"/>
              <w:spacing w:line="275" w:lineRule="auto"/>
              <w:rPr>
                <w:lang w:eastAsia="zh-CN"/>
              </w:rPr>
            </w:pPr>
          </w:p>
          <w:p w14:paraId="75C49D77">
            <w:pPr>
              <w:pStyle w:val="8"/>
              <w:spacing w:line="275" w:lineRule="auto"/>
              <w:rPr>
                <w:lang w:eastAsia="zh-CN"/>
              </w:rPr>
            </w:pPr>
          </w:p>
          <w:p w14:paraId="63C49701">
            <w:pPr>
              <w:pStyle w:val="8"/>
              <w:spacing w:line="275" w:lineRule="auto"/>
              <w:rPr>
                <w:lang w:eastAsia="zh-CN"/>
              </w:rPr>
            </w:pPr>
          </w:p>
          <w:p w14:paraId="01808E55">
            <w:pPr>
              <w:pStyle w:val="8"/>
              <w:spacing w:line="275" w:lineRule="auto"/>
              <w:rPr>
                <w:lang w:eastAsia="zh-CN"/>
              </w:rPr>
            </w:pPr>
          </w:p>
          <w:p w14:paraId="0EEF4FBF">
            <w:pPr>
              <w:spacing w:before="65" w:line="219" w:lineRule="auto"/>
              <w:ind w:left="120"/>
              <w:rPr>
                <w:rFonts w:ascii="宋体" w:hAnsi="宋体" w:eastAsia="宋体" w:cs="宋体"/>
                <w:sz w:val="20"/>
                <w:szCs w:val="20"/>
              </w:rPr>
            </w:pPr>
            <w:r>
              <w:rPr>
                <w:rFonts w:ascii="宋体" w:hAnsi="宋体" w:eastAsia="宋体" w:cs="宋体"/>
                <w:spacing w:val="-2"/>
                <w:sz w:val="20"/>
                <w:szCs w:val="20"/>
              </w:rPr>
              <w:t>产出指标</w:t>
            </w:r>
          </w:p>
          <w:p w14:paraId="11F4EDAF">
            <w:pPr>
              <w:spacing w:before="63" w:line="220" w:lineRule="auto"/>
              <w:ind w:left="220"/>
              <w:rPr>
                <w:rFonts w:ascii="宋体" w:hAnsi="宋体" w:eastAsia="宋体" w:cs="宋体"/>
                <w:sz w:val="20"/>
                <w:szCs w:val="20"/>
              </w:rPr>
            </w:pPr>
            <w:r>
              <w:rPr>
                <w:rFonts w:ascii="宋体" w:hAnsi="宋体" w:eastAsia="宋体" w:cs="宋体"/>
                <w:spacing w:val="8"/>
                <w:sz w:val="20"/>
                <w:szCs w:val="20"/>
              </w:rPr>
              <w:t>(50分)</w:t>
            </w:r>
          </w:p>
        </w:tc>
        <w:tc>
          <w:tcPr>
            <w:tcW w:w="1079" w:type="dxa"/>
            <w:tcBorders>
              <w:bottom w:val="nil"/>
            </w:tcBorders>
          </w:tcPr>
          <w:p w14:paraId="14BDD66B">
            <w:pPr>
              <w:spacing w:before="252" w:line="219" w:lineRule="auto"/>
              <w:ind w:left="131"/>
              <w:rPr>
                <w:rFonts w:ascii="宋体" w:hAnsi="宋体" w:eastAsia="宋体" w:cs="宋体"/>
                <w:sz w:val="20"/>
                <w:szCs w:val="20"/>
              </w:rPr>
            </w:pPr>
            <w:r>
              <w:rPr>
                <w:rFonts w:ascii="宋体" w:hAnsi="宋体" w:eastAsia="宋体" w:cs="宋体"/>
                <w:spacing w:val="-2"/>
                <w:sz w:val="20"/>
                <w:szCs w:val="20"/>
              </w:rPr>
              <w:t>数量指标</w:t>
            </w:r>
          </w:p>
        </w:tc>
        <w:tc>
          <w:tcPr>
            <w:tcW w:w="1129" w:type="dxa"/>
            <w:shd w:val="clear" w:color="auto" w:fill="auto"/>
            <w:vAlign w:val="center"/>
          </w:tcPr>
          <w:p w14:paraId="424AE351">
            <w:pPr>
              <w:keepNext w:val="0"/>
              <w:keepLines w:val="0"/>
              <w:pageBreakBefore w:val="0"/>
              <w:widowControl/>
              <w:suppressLineNumbers w:val="0"/>
              <w:kinsoku w:val="0"/>
              <w:wordWrap/>
              <w:overflowPunct/>
              <w:topLinePunct w:val="0"/>
              <w:autoSpaceDE w:val="0"/>
              <w:autoSpaceDN w:val="0"/>
              <w:bidi w:val="0"/>
              <w:adjustRightInd w:val="0"/>
              <w:snapToGrid w:val="0"/>
              <w:spacing w:before="6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受益村数量</w:t>
            </w:r>
          </w:p>
        </w:tc>
        <w:tc>
          <w:tcPr>
            <w:tcW w:w="1209" w:type="dxa"/>
            <w:shd w:val="clear" w:color="auto" w:fill="auto"/>
            <w:vAlign w:val="center"/>
          </w:tcPr>
          <w:p w14:paraId="43EB006E">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zh-CN" w:bidi="ar-SA"/>
              </w:rPr>
            </w:pPr>
            <w:r>
              <w:rPr>
                <w:rFonts w:hint="eastAsia" w:ascii="宋体" w:hAnsi="宋体" w:eastAsia="宋体" w:cs="宋体"/>
                <w:i w:val="0"/>
                <w:iCs w:val="0"/>
                <w:snapToGrid w:val="0"/>
                <w:color w:val="000000"/>
                <w:kern w:val="0"/>
                <w:sz w:val="20"/>
                <w:szCs w:val="20"/>
                <w:u w:val="none"/>
                <w:lang w:val="en-US" w:eastAsia="zh-CN" w:bidi="ar"/>
              </w:rPr>
              <w:t>2</w:t>
            </w:r>
          </w:p>
        </w:tc>
        <w:tc>
          <w:tcPr>
            <w:tcW w:w="1138" w:type="dxa"/>
            <w:shd w:val="clear" w:color="auto" w:fill="auto"/>
            <w:vAlign w:val="center"/>
          </w:tcPr>
          <w:p w14:paraId="23B43F62">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zh-CN" w:bidi="ar-SA"/>
              </w:rPr>
            </w:pPr>
            <w:r>
              <w:rPr>
                <w:rFonts w:hint="eastAsia" w:ascii="宋体" w:hAnsi="宋体" w:eastAsia="宋体" w:cs="宋体"/>
                <w:i w:val="0"/>
                <w:iCs w:val="0"/>
                <w:snapToGrid w:val="0"/>
                <w:color w:val="000000"/>
                <w:kern w:val="0"/>
                <w:sz w:val="20"/>
                <w:szCs w:val="20"/>
                <w:u w:val="none"/>
                <w:lang w:val="en-US" w:eastAsia="zh-CN" w:bidi="ar"/>
              </w:rPr>
              <w:t>2</w:t>
            </w:r>
          </w:p>
        </w:tc>
        <w:tc>
          <w:tcPr>
            <w:tcW w:w="809" w:type="dxa"/>
            <w:shd w:val="clear" w:color="auto" w:fill="auto"/>
            <w:vAlign w:val="center"/>
          </w:tcPr>
          <w:p w14:paraId="50615C24">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zh-CN" w:bidi="ar-SA"/>
              </w:rPr>
            </w:pPr>
            <w:r>
              <w:rPr>
                <w:rFonts w:hint="eastAsia" w:ascii="宋体" w:hAnsi="宋体" w:eastAsia="宋体" w:cs="宋体"/>
                <w:i w:val="0"/>
                <w:iCs w:val="0"/>
                <w:snapToGrid w:val="0"/>
                <w:color w:val="000000"/>
                <w:kern w:val="0"/>
                <w:sz w:val="20"/>
                <w:szCs w:val="20"/>
                <w:u w:val="none"/>
                <w:lang w:val="en-US" w:eastAsia="zh-CN" w:bidi="ar"/>
              </w:rPr>
              <w:t>20</w:t>
            </w:r>
          </w:p>
        </w:tc>
        <w:tc>
          <w:tcPr>
            <w:tcW w:w="869" w:type="dxa"/>
            <w:shd w:val="clear" w:color="auto" w:fill="auto"/>
            <w:vAlign w:val="center"/>
          </w:tcPr>
          <w:p w14:paraId="11B1D63A">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zh-CN" w:bidi="ar-SA"/>
              </w:rPr>
            </w:pPr>
            <w:r>
              <w:rPr>
                <w:rFonts w:hint="eastAsia" w:ascii="宋体" w:hAnsi="宋体" w:eastAsia="宋体" w:cs="宋体"/>
                <w:i w:val="0"/>
                <w:iCs w:val="0"/>
                <w:snapToGrid w:val="0"/>
                <w:color w:val="000000"/>
                <w:kern w:val="0"/>
                <w:sz w:val="20"/>
                <w:szCs w:val="20"/>
                <w:u w:val="none"/>
                <w:lang w:val="en-US" w:eastAsia="zh-CN" w:bidi="ar"/>
              </w:rPr>
              <w:t>20</w:t>
            </w:r>
          </w:p>
        </w:tc>
        <w:tc>
          <w:tcPr>
            <w:tcW w:w="1413" w:type="dxa"/>
          </w:tcPr>
          <w:p w14:paraId="0CDDAA38">
            <w:pPr>
              <w:keepNext w:val="0"/>
              <w:keepLines w:val="0"/>
              <w:pageBreakBefore w:val="0"/>
              <w:widowControl/>
              <w:kinsoku w:val="0"/>
              <w:wordWrap/>
              <w:overflowPunct/>
              <w:topLinePunct w:val="0"/>
              <w:autoSpaceDE w:val="0"/>
              <w:autoSpaceDN w:val="0"/>
              <w:bidi w:val="0"/>
              <w:adjustRightInd w:val="0"/>
              <w:snapToGrid w:val="0"/>
              <w:spacing w:before="80" w:line="58" w:lineRule="exact"/>
              <w:ind w:left="113"/>
              <w:jc w:val="center"/>
              <w:rPr>
                <w:rFonts w:ascii="宋体" w:hAnsi="宋体" w:eastAsia="宋体" w:cs="宋体"/>
                <w:spacing w:val="-3"/>
                <w:position w:val="1"/>
                <w:sz w:val="14"/>
                <w:szCs w:val="14"/>
              </w:rPr>
            </w:pPr>
          </w:p>
        </w:tc>
      </w:tr>
      <w:tr w14:paraId="181090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9" w:hRule="atLeast"/>
        </w:trPr>
        <w:tc>
          <w:tcPr>
            <w:tcW w:w="1064" w:type="dxa"/>
            <w:vMerge w:val="continue"/>
            <w:tcBorders>
              <w:top w:val="nil"/>
              <w:bottom w:val="nil"/>
            </w:tcBorders>
            <w:textDirection w:val="tbRlV"/>
          </w:tcPr>
          <w:p w14:paraId="675D3EEE">
            <w:pPr>
              <w:pStyle w:val="8"/>
            </w:pPr>
          </w:p>
        </w:tc>
        <w:tc>
          <w:tcPr>
            <w:tcW w:w="1069" w:type="dxa"/>
            <w:vMerge w:val="continue"/>
            <w:tcBorders>
              <w:top w:val="nil"/>
              <w:bottom w:val="nil"/>
            </w:tcBorders>
          </w:tcPr>
          <w:p w14:paraId="6171487F">
            <w:pPr>
              <w:pStyle w:val="8"/>
            </w:pPr>
          </w:p>
        </w:tc>
        <w:tc>
          <w:tcPr>
            <w:tcW w:w="1079" w:type="dxa"/>
            <w:tcBorders>
              <w:bottom w:val="nil"/>
            </w:tcBorders>
          </w:tcPr>
          <w:p w14:paraId="073E8E31">
            <w:pPr>
              <w:spacing w:before="252" w:line="220" w:lineRule="auto"/>
              <w:ind w:left="131"/>
              <w:rPr>
                <w:rFonts w:ascii="宋体" w:hAnsi="宋体" w:eastAsia="宋体" w:cs="宋体"/>
                <w:sz w:val="20"/>
                <w:szCs w:val="20"/>
              </w:rPr>
            </w:pPr>
            <w:r>
              <w:rPr>
                <w:rFonts w:ascii="宋体" w:hAnsi="宋体" w:eastAsia="宋体" w:cs="宋体"/>
                <w:spacing w:val="-2"/>
                <w:sz w:val="20"/>
                <w:szCs w:val="20"/>
              </w:rPr>
              <w:t>质量指标</w:t>
            </w:r>
          </w:p>
        </w:tc>
        <w:tc>
          <w:tcPr>
            <w:tcW w:w="1129" w:type="dxa"/>
            <w:shd w:val="clear" w:color="auto" w:fill="auto"/>
            <w:vAlign w:val="center"/>
          </w:tcPr>
          <w:p w14:paraId="056A4076">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工作完成质量</w:t>
            </w:r>
          </w:p>
        </w:tc>
        <w:tc>
          <w:tcPr>
            <w:tcW w:w="1209" w:type="dxa"/>
            <w:shd w:val="clear" w:color="auto" w:fill="auto"/>
            <w:vAlign w:val="center"/>
          </w:tcPr>
          <w:p w14:paraId="526CD870">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良好</w:t>
            </w:r>
          </w:p>
        </w:tc>
        <w:tc>
          <w:tcPr>
            <w:tcW w:w="1138" w:type="dxa"/>
            <w:vAlign w:val="center"/>
          </w:tcPr>
          <w:p w14:paraId="5E9CC413">
            <w:pPr>
              <w:keepNext w:val="0"/>
              <w:keepLines w:val="0"/>
              <w:widowControl/>
              <w:suppressLineNumbers w:val="0"/>
              <w:jc w:val="center"/>
              <w:textAlignment w:val="center"/>
            </w:pPr>
            <w:r>
              <w:rPr>
                <w:rFonts w:hint="eastAsia" w:ascii="宋体" w:hAnsi="宋体" w:eastAsia="宋体" w:cs="宋体"/>
                <w:i w:val="0"/>
                <w:iCs w:val="0"/>
                <w:snapToGrid w:val="0"/>
                <w:color w:val="000000"/>
                <w:kern w:val="0"/>
                <w:sz w:val="20"/>
                <w:szCs w:val="20"/>
                <w:u w:val="none"/>
                <w:lang w:val="en-US" w:eastAsia="zh-CN" w:bidi="ar"/>
              </w:rPr>
              <w:t>良好</w:t>
            </w:r>
          </w:p>
        </w:tc>
        <w:tc>
          <w:tcPr>
            <w:tcW w:w="809" w:type="dxa"/>
            <w:vAlign w:val="center"/>
          </w:tcPr>
          <w:p w14:paraId="7BFEC444">
            <w:pPr>
              <w:keepNext w:val="0"/>
              <w:keepLines w:val="0"/>
              <w:widowControl/>
              <w:suppressLineNumbers w:val="0"/>
              <w:jc w:val="center"/>
              <w:textAlignment w:val="center"/>
              <w:rPr>
                <w:rFonts w:hint="default" w:eastAsia="宋体"/>
                <w:lang w:val="en-US" w:eastAsia="zh-CN"/>
              </w:rPr>
            </w:pPr>
            <w:r>
              <w:rPr>
                <w:rFonts w:hint="eastAsia" w:ascii="宋体" w:hAnsi="宋体" w:eastAsia="宋体" w:cs="宋体"/>
                <w:i w:val="0"/>
                <w:iCs w:val="0"/>
                <w:snapToGrid w:val="0"/>
                <w:color w:val="000000"/>
                <w:kern w:val="0"/>
                <w:sz w:val="20"/>
                <w:szCs w:val="20"/>
                <w:u w:val="none"/>
                <w:lang w:val="en-US" w:eastAsia="zh-CN" w:bidi="ar"/>
              </w:rPr>
              <w:t>10</w:t>
            </w:r>
          </w:p>
        </w:tc>
        <w:tc>
          <w:tcPr>
            <w:tcW w:w="869" w:type="dxa"/>
            <w:shd w:val="clear" w:color="auto" w:fill="auto"/>
            <w:vAlign w:val="center"/>
          </w:tcPr>
          <w:p w14:paraId="1D582BF0">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8</w:t>
            </w:r>
          </w:p>
        </w:tc>
        <w:tc>
          <w:tcPr>
            <w:tcW w:w="1413" w:type="dxa"/>
          </w:tcPr>
          <w:p w14:paraId="314EED3D">
            <w:pPr>
              <w:pStyle w:val="8"/>
              <w:keepNext w:val="0"/>
              <w:keepLines w:val="0"/>
              <w:pageBreakBefore w:val="0"/>
              <w:widowControl/>
              <w:kinsoku w:val="0"/>
              <w:wordWrap/>
              <w:overflowPunct/>
              <w:topLinePunct w:val="0"/>
              <w:autoSpaceDE w:val="0"/>
              <w:autoSpaceDN w:val="0"/>
              <w:bidi w:val="0"/>
              <w:adjustRightInd w:val="0"/>
              <w:snapToGrid w:val="0"/>
              <w:spacing w:before="80"/>
              <w:jc w:val="center"/>
              <w:rPr>
                <w:rFonts w:hint="eastAsia" w:eastAsia="宋体"/>
                <w:lang w:eastAsia="zh-CN"/>
              </w:rPr>
            </w:pPr>
            <w:r>
              <w:rPr>
                <w:rFonts w:hint="eastAsia" w:eastAsia="宋体"/>
                <w:lang w:eastAsia="zh-CN"/>
              </w:rPr>
              <w:t>偏差原因：工作质量有提升空间；措施：提升工作质量</w:t>
            </w:r>
          </w:p>
        </w:tc>
      </w:tr>
      <w:tr w14:paraId="2F3919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1064" w:type="dxa"/>
            <w:vMerge w:val="continue"/>
            <w:tcBorders>
              <w:top w:val="nil"/>
              <w:bottom w:val="nil"/>
            </w:tcBorders>
            <w:textDirection w:val="tbRlV"/>
          </w:tcPr>
          <w:p w14:paraId="0FCA657E">
            <w:pPr>
              <w:pStyle w:val="8"/>
            </w:pPr>
          </w:p>
        </w:tc>
        <w:tc>
          <w:tcPr>
            <w:tcW w:w="1069" w:type="dxa"/>
            <w:vMerge w:val="continue"/>
            <w:tcBorders>
              <w:top w:val="nil"/>
              <w:bottom w:val="nil"/>
            </w:tcBorders>
          </w:tcPr>
          <w:p w14:paraId="1FD8EA37">
            <w:pPr>
              <w:pStyle w:val="8"/>
            </w:pPr>
          </w:p>
        </w:tc>
        <w:tc>
          <w:tcPr>
            <w:tcW w:w="1079" w:type="dxa"/>
            <w:tcBorders>
              <w:bottom w:val="nil"/>
            </w:tcBorders>
          </w:tcPr>
          <w:p w14:paraId="313A75EA">
            <w:pPr>
              <w:spacing w:before="243" w:line="220" w:lineRule="auto"/>
              <w:ind w:left="131"/>
              <w:rPr>
                <w:rFonts w:ascii="宋体" w:hAnsi="宋体" w:eastAsia="宋体" w:cs="宋体"/>
                <w:sz w:val="20"/>
                <w:szCs w:val="20"/>
              </w:rPr>
            </w:pPr>
            <w:r>
              <w:rPr>
                <w:rFonts w:ascii="宋体" w:hAnsi="宋体" w:eastAsia="宋体" w:cs="宋体"/>
                <w:spacing w:val="1"/>
                <w:sz w:val="20"/>
                <w:szCs w:val="20"/>
              </w:rPr>
              <w:t>时效指标</w:t>
            </w:r>
          </w:p>
        </w:tc>
        <w:tc>
          <w:tcPr>
            <w:tcW w:w="1129" w:type="dxa"/>
            <w:shd w:val="clear" w:color="auto" w:fill="auto"/>
            <w:vAlign w:val="center"/>
          </w:tcPr>
          <w:p w14:paraId="165657FC">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完成及时性</w:t>
            </w:r>
          </w:p>
        </w:tc>
        <w:tc>
          <w:tcPr>
            <w:tcW w:w="1209" w:type="dxa"/>
            <w:shd w:val="clear" w:color="auto" w:fill="auto"/>
            <w:vAlign w:val="center"/>
          </w:tcPr>
          <w:p w14:paraId="0A900EB4">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2023年12月31日</w:t>
            </w:r>
          </w:p>
        </w:tc>
        <w:tc>
          <w:tcPr>
            <w:tcW w:w="1138" w:type="dxa"/>
            <w:shd w:val="clear" w:color="auto" w:fill="auto"/>
            <w:vAlign w:val="center"/>
          </w:tcPr>
          <w:p w14:paraId="76E6542B">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项目完成时效性达标</w:t>
            </w:r>
          </w:p>
        </w:tc>
        <w:tc>
          <w:tcPr>
            <w:tcW w:w="809" w:type="dxa"/>
            <w:shd w:val="clear" w:color="auto" w:fill="auto"/>
            <w:vAlign w:val="center"/>
          </w:tcPr>
          <w:p w14:paraId="5148E342">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869" w:type="dxa"/>
            <w:shd w:val="clear" w:color="auto" w:fill="auto"/>
            <w:vAlign w:val="center"/>
          </w:tcPr>
          <w:p w14:paraId="4AE12F25">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1413" w:type="dxa"/>
          </w:tcPr>
          <w:p w14:paraId="44A59AB0">
            <w:pPr>
              <w:pStyle w:val="8"/>
              <w:keepNext w:val="0"/>
              <w:keepLines w:val="0"/>
              <w:pageBreakBefore w:val="0"/>
              <w:widowControl/>
              <w:kinsoku w:val="0"/>
              <w:wordWrap/>
              <w:overflowPunct/>
              <w:topLinePunct w:val="0"/>
              <w:autoSpaceDE w:val="0"/>
              <w:autoSpaceDN w:val="0"/>
              <w:bidi w:val="0"/>
              <w:adjustRightInd w:val="0"/>
              <w:snapToGrid w:val="0"/>
              <w:spacing w:before="80"/>
              <w:jc w:val="center"/>
            </w:pPr>
          </w:p>
        </w:tc>
      </w:tr>
      <w:tr w14:paraId="2E977D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9" w:hRule="atLeast"/>
        </w:trPr>
        <w:tc>
          <w:tcPr>
            <w:tcW w:w="1064" w:type="dxa"/>
            <w:vMerge w:val="continue"/>
            <w:tcBorders>
              <w:top w:val="nil"/>
              <w:bottom w:val="nil"/>
            </w:tcBorders>
            <w:textDirection w:val="tbRlV"/>
          </w:tcPr>
          <w:p w14:paraId="50FC234F">
            <w:pPr>
              <w:pStyle w:val="8"/>
            </w:pPr>
          </w:p>
        </w:tc>
        <w:tc>
          <w:tcPr>
            <w:tcW w:w="1069" w:type="dxa"/>
            <w:vMerge w:val="continue"/>
            <w:tcBorders>
              <w:top w:val="nil"/>
              <w:bottom w:val="nil"/>
            </w:tcBorders>
          </w:tcPr>
          <w:p w14:paraId="2D790745">
            <w:pPr>
              <w:pStyle w:val="8"/>
            </w:pPr>
          </w:p>
        </w:tc>
        <w:tc>
          <w:tcPr>
            <w:tcW w:w="1079" w:type="dxa"/>
            <w:tcBorders>
              <w:bottom w:val="nil"/>
            </w:tcBorders>
          </w:tcPr>
          <w:p w14:paraId="7E121BB4">
            <w:pPr>
              <w:spacing w:before="251" w:line="219" w:lineRule="auto"/>
              <w:ind w:left="131"/>
              <w:rPr>
                <w:rFonts w:ascii="宋体" w:hAnsi="宋体" w:eastAsia="宋体" w:cs="宋体"/>
                <w:sz w:val="20"/>
                <w:szCs w:val="20"/>
              </w:rPr>
            </w:pPr>
            <w:r>
              <w:rPr>
                <w:rFonts w:ascii="宋体" w:hAnsi="宋体" w:eastAsia="宋体" w:cs="宋体"/>
                <w:spacing w:val="-2"/>
                <w:sz w:val="20"/>
                <w:szCs w:val="20"/>
              </w:rPr>
              <w:t>成本指标</w:t>
            </w:r>
          </w:p>
        </w:tc>
        <w:tc>
          <w:tcPr>
            <w:tcW w:w="1129" w:type="dxa"/>
            <w:shd w:val="clear" w:color="auto" w:fill="auto"/>
            <w:vAlign w:val="center"/>
          </w:tcPr>
          <w:p w14:paraId="304E329B">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项目成本</w:t>
            </w:r>
          </w:p>
        </w:tc>
        <w:tc>
          <w:tcPr>
            <w:tcW w:w="1209" w:type="dxa"/>
            <w:shd w:val="clear" w:color="auto" w:fill="auto"/>
            <w:vAlign w:val="center"/>
          </w:tcPr>
          <w:p w14:paraId="4D2631B1">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1138" w:type="dxa"/>
            <w:shd w:val="clear" w:color="auto" w:fill="auto"/>
            <w:vAlign w:val="center"/>
          </w:tcPr>
          <w:p w14:paraId="6E5B4015">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考核项目成本控制良好</w:t>
            </w:r>
          </w:p>
        </w:tc>
        <w:tc>
          <w:tcPr>
            <w:tcW w:w="809" w:type="dxa"/>
            <w:shd w:val="clear" w:color="auto" w:fill="auto"/>
            <w:vAlign w:val="center"/>
          </w:tcPr>
          <w:p w14:paraId="7595272A">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869" w:type="dxa"/>
            <w:shd w:val="clear" w:color="auto" w:fill="auto"/>
            <w:vAlign w:val="center"/>
          </w:tcPr>
          <w:p w14:paraId="44734489">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1413" w:type="dxa"/>
          </w:tcPr>
          <w:p w14:paraId="321FC370">
            <w:pPr>
              <w:pStyle w:val="8"/>
              <w:keepNext w:val="0"/>
              <w:keepLines w:val="0"/>
              <w:pageBreakBefore w:val="0"/>
              <w:widowControl/>
              <w:kinsoku w:val="0"/>
              <w:wordWrap/>
              <w:overflowPunct/>
              <w:topLinePunct w:val="0"/>
              <w:autoSpaceDE w:val="0"/>
              <w:autoSpaceDN w:val="0"/>
              <w:bidi w:val="0"/>
              <w:adjustRightInd w:val="0"/>
              <w:snapToGrid w:val="0"/>
              <w:spacing w:before="80"/>
              <w:jc w:val="center"/>
            </w:pPr>
          </w:p>
        </w:tc>
      </w:tr>
      <w:tr w14:paraId="7B6DA1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0" w:hRule="atLeast"/>
        </w:trPr>
        <w:tc>
          <w:tcPr>
            <w:tcW w:w="1064" w:type="dxa"/>
            <w:vMerge w:val="continue"/>
            <w:tcBorders>
              <w:top w:val="nil"/>
              <w:bottom w:val="nil"/>
            </w:tcBorders>
            <w:textDirection w:val="tbRlV"/>
          </w:tcPr>
          <w:p w14:paraId="0C4A0F48">
            <w:pPr>
              <w:pStyle w:val="8"/>
            </w:pPr>
          </w:p>
        </w:tc>
        <w:tc>
          <w:tcPr>
            <w:tcW w:w="1069" w:type="dxa"/>
            <w:vMerge w:val="restart"/>
            <w:tcBorders>
              <w:bottom w:val="nil"/>
            </w:tcBorders>
          </w:tcPr>
          <w:p w14:paraId="4C87196B">
            <w:pPr>
              <w:pStyle w:val="8"/>
              <w:spacing w:line="270" w:lineRule="auto"/>
            </w:pPr>
          </w:p>
          <w:p w14:paraId="4F67BE19">
            <w:pPr>
              <w:pStyle w:val="8"/>
              <w:spacing w:line="271" w:lineRule="auto"/>
            </w:pPr>
          </w:p>
          <w:p w14:paraId="0343A9AD">
            <w:pPr>
              <w:pStyle w:val="8"/>
              <w:spacing w:line="271" w:lineRule="auto"/>
            </w:pPr>
          </w:p>
          <w:p w14:paraId="7880BA5A">
            <w:pPr>
              <w:pStyle w:val="8"/>
              <w:spacing w:line="271" w:lineRule="auto"/>
            </w:pPr>
          </w:p>
          <w:p w14:paraId="79BA4E34">
            <w:pPr>
              <w:spacing w:before="65" w:line="220" w:lineRule="auto"/>
              <w:ind w:left="120"/>
              <w:rPr>
                <w:rFonts w:ascii="宋体" w:hAnsi="宋体" w:eastAsia="宋体" w:cs="宋体"/>
                <w:sz w:val="20"/>
                <w:szCs w:val="20"/>
              </w:rPr>
            </w:pPr>
            <w:r>
              <w:rPr>
                <w:rFonts w:ascii="宋体" w:hAnsi="宋体" w:eastAsia="宋体" w:cs="宋体"/>
                <w:spacing w:val="1"/>
                <w:sz w:val="20"/>
                <w:szCs w:val="20"/>
              </w:rPr>
              <w:t>效益指标</w:t>
            </w:r>
          </w:p>
          <w:p w14:paraId="6C1C4477">
            <w:pPr>
              <w:spacing w:before="61" w:line="220" w:lineRule="auto"/>
              <w:ind w:left="220"/>
              <w:rPr>
                <w:rFonts w:ascii="宋体" w:hAnsi="宋体" w:eastAsia="宋体" w:cs="宋体"/>
                <w:sz w:val="20"/>
                <w:szCs w:val="20"/>
              </w:rPr>
            </w:pPr>
            <w:r>
              <w:rPr>
                <w:rFonts w:ascii="宋体" w:hAnsi="宋体" w:eastAsia="宋体" w:cs="宋体"/>
                <w:spacing w:val="8"/>
                <w:sz w:val="20"/>
                <w:szCs w:val="20"/>
              </w:rPr>
              <w:t>(30分)</w:t>
            </w:r>
          </w:p>
        </w:tc>
        <w:tc>
          <w:tcPr>
            <w:tcW w:w="1079" w:type="dxa"/>
            <w:tcBorders>
              <w:bottom w:val="nil"/>
            </w:tcBorders>
          </w:tcPr>
          <w:p w14:paraId="04DA1A59">
            <w:pPr>
              <w:spacing w:before="134" w:line="230" w:lineRule="auto"/>
              <w:ind w:left="231" w:right="246"/>
              <w:rPr>
                <w:rFonts w:ascii="宋体" w:hAnsi="宋体" w:eastAsia="宋体" w:cs="宋体"/>
                <w:sz w:val="20"/>
                <w:szCs w:val="20"/>
              </w:rPr>
            </w:pPr>
            <w:r>
              <w:rPr>
                <w:rFonts w:ascii="宋体" w:hAnsi="宋体" w:eastAsia="宋体" w:cs="宋体"/>
                <w:spacing w:val="-4"/>
                <w:sz w:val="20"/>
                <w:szCs w:val="20"/>
              </w:rPr>
              <w:t>经济效益指标</w:t>
            </w:r>
          </w:p>
        </w:tc>
        <w:tc>
          <w:tcPr>
            <w:tcW w:w="1129" w:type="dxa"/>
            <w:shd w:val="clear" w:color="auto" w:fill="auto"/>
            <w:vAlign w:val="center"/>
          </w:tcPr>
          <w:p w14:paraId="274C06A4">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zh-CN" w:bidi="ar-SA"/>
              </w:rPr>
            </w:pPr>
            <w:r>
              <w:rPr>
                <w:rFonts w:hint="eastAsia" w:ascii="宋体" w:hAnsi="宋体" w:eastAsia="宋体" w:cs="宋体"/>
                <w:i w:val="0"/>
                <w:iCs w:val="0"/>
                <w:snapToGrid w:val="0"/>
                <w:color w:val="000000"/>
                <w:sz w:val="20"/>
                <w:szCs w:val="20"/>
                <w:u w:val="none"/>
                <w:lang w:val="en-US" w:eastAsia="zh-CN" w:bidi="ar-SA"/>
              </w:rPr>
              <w:t>促进村集体经济发展</w:t>
            </w:r>
          </w:p>
        </w:tc>
        <w:tc>
          <w:tcPr>
            <w:tcW w:w="1209" w:type="dxa"/>
            <w:shd w:val="clear" w:color="auto" w:fill="auto"/>
            <w:vAlign w:val="center"/>
          </w:tcPr>
          <w:p w14:paraId="103AF487">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效果明显</w:t>
            </w:r>
          </w:p>
        </w:tc>
        <w:tc>
          <w:tcPr>
            <w:tcW w:w="1138" w:type="dxa"/>
            <w:shd w:val="clear" w:color="auto" w:fill="auto"/>
            <w:vAlign w:val="center"/>
          </w:tcPr>
          <w:p w14:paraId="49286DFA">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效果明显</w:t>
            </w:r>
          </w:p>
        </w:tc>
        <w:tc>
          <w:tcPr>
            <w:tcW w:w="809" w:type="dxa"/>
            <w:shd w:val="clear" w:color="auto" w:fill="auto"/>
            <w:vAlign w:val="center"/>
          </w:tcPr>
          <w:p w14:paraId="0853CA1C">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869" w:type="dxa"/>
            <w:shd w:val="clear" w:color="auto" w:fill="auto"/>
            <w:vAlign w:val="center"/>
          </w:tcPr>
          <w:p w14:paraId="296FA652">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1413" w:type="dxa"/>
          </w:tcPr>
          <w:p w14:paraId="42560E76">
            <w:pPr>
              <w:pStyle w:val="8"/>
              <w:keepNext w:val="0"/>
              <w:keepLines w:val="0"/>
              <w:pageBreakBefore w:val="0"/>
              <w:widowControl/>
              <w:kinsoku w:val="0"/>
              <w:wordWrap/>
              <w:overflowPunct/>
              <w:topLinePunct w:val="0"/>
              <w:autoSpaceDE w:val="0"/>
              <w:autoSpaceDN w:val="0"/>
              <w:bidi w:val="0"/>
              <w:adjustRightInd w:val="0"/>
              <w:snapToGrid w:val="0"/>
              <w:spacing w:before="80"/>
              <w:jc w:val="center"/>
            </w:pPr>
          </w:p>
        </w:tc>
      </w:tr>
      <w:tr w14:paraId="1024B7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1064" w:type="dxa"/>
            <w:vMerge w:val="continue"/>
            <w:tcBorders>
              <w:top w:val="nil"/>
              <w:bottom w:val="nil"/>
            </w:tcBorders>
            <w:textDirection w:val="tbRlV"/>
          </w:tcPr>
          <w:p w14:paraId="4D1C1401">
            <w:pPr>
              <w:pStyle w:val="8"/>
            </w:pPr>
          </w:p>
        </w:tc>
        <w:tc>
          <w:tcPr>
            <w:tcW w:w="1069" w:type="dxa"/>
            <w:vMerge w:val="continue"/>
            <w:tcBorders>
              <w:top w:val="nil"/>
              <w:bottom w:val="nil"/>
            </w:tcBorders>
          </w:tcPr>
          <w:p w14:paraId="15A2FC0D">
            <w:pPr>
              <w:pStyle w:val="8"/>
            </w:pPr>
          </w:p>
        </w:tc>
        <w:tc>
          <w:tcPr>
            <w:tcW w:w="1079" w:type="dxa"/>
            <w:tcBorders>
              <w:bottom w:val="nil"/>
            </w:tcBorders>
          </w:tcPr>
          <w:p w14:paraId="310918D6">
            <w:pPr>
              <w:spacing w:before="132" w:line="231" w:lineRule="auto"/>
              <w:ind w:left="231" w:right="246"/>
              <w:rPr>
                <w:rFonts w:ascii="宋体" w:hAnsi="宋体" w:eastAsia="宋体" w:cs="宋体"/>
                <w:sz w:val="20"/>
                <w:szCs w:val="20"/>
              </w:rPr>
            </w:pPr>
            <w:r>
              <w:rPr>
                <w:rFonts w:ascii="宋体" w:hAnsi="宋体" w:eastAsia="宋体" w:cs="宋体"/>
                <w:spacing w:val="-4"/>
                <w:sz w:val="20"/>
                <w:szCs w:val="20"/>
              </w:rPr>
              <w:t>社会效益指标</w:t>
            </w:r>
          </w:p>
        </w:tc>
        <w:tc>
          <w:tcPr>
            <w:tcW w:w="1129" w:type="dxa"/>
            <w:shd w:val="clear" w:color="auto" w:fill="auto"/>
            <w:vAlign w:val="center"/>
          </w:tcPr>
          <w:p w14:paraId="4C9EECF4">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保障各村基本运转</w:t>
            </w:r>
          </w:p>
        </w:tc>
        <w:tc>
          <w:tcPr>
            <w:tcW w:w="1209" w:type="dxa"/>
            <w:shd w:val="clear" w:color="auto" w:fill="auto"/>
            <w:vAlign w:val="center"/>
          </w:tcPr>
          <w:p w14:paraId="5427664D">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基本保障</w:t>
            </w:r>
          </w:p>
        </w:tc>
        <w:tc>
          <w:tcPr>
            <w:tcW w:w="1138" w:type="dxa"/>
            <w:shd w:val="clear" w:color="auto" w:fill="auto"/>
            <w:vAlign w:val="center"/>
          </w:tcPr>
          <w:p w14:paraId="3994F87A">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保障各村基本业务正常运转</w:t>
            </w:r>
          </w:p>
        </w:tc>
        <w:tc>
          <w:tcPr>
            <w:tcW w:w="809" w:type="dxa"/>
            <w:shd w:val="clear" w:color="auto" w:fill="auto"/>
            <w:vAlign w:val="center"/>
          </w:tcPr>
          <w:p w14:paraId="137428C9">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869" w:type="dxa"/>
            <w:shd w:val="clear" w:color="auto" w:fill="auto"/>
            <w:vAlign w:val="center"/>
          </w:tcPr>
          <w:p w14:paraId="0A89FECB">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1413" w:type="dxa"/>
          </w:tcPr>
          <w:p w14:paraId="17C53442">
            <w:pPr>
              <w:pStyle w:val="8"/>
              <w:keepNext w:val="0"/>
              <w:keepLines w:val="0"/>
              <w:pageBreakBefore w:val="0"/>
              <w:widowControl/>
              <w:kinsoku w:val="0"/>
              <w:wordWrap/>
              <w:overflowPunct/>
              <w:topLinePunct w:val="0"/>
              <w:autoSpaceDE w:val="0"/>
              <w:autoSpaceDN w:val="0"/>
              <w:bidi w:val="0"/>
              <w:adjustRightInd w:val="0"/>
              <w:snapToGrid w:val="0"/>
              <w:spacing w:before="80"/>
              <w:jc w:val="center"/>
            </w:pPr>
          </w:p>
        </w:tc>
      </w:tr>
      <w:tr w14:paraId="082170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8" w:hRule="atLeast"/>
        </w:trPr>
        <w:tc>
          <w:tcPr>
            <w:tcW w:w="1064" w:type="dxa"/>
            <w:vMerge w:val="continue"/>
            <w:tcBorders>
              <w:top w:val="nil"/>
              <w:bottom w:val="nil"/>
            </w:tcBorders>
            <w:textDirection w:val="tbRlV"/>
          </w:tcPr>
          <w:p w14:paraId="6351EFDF">
            <w:pPr>
              <w:pStyle w:val="8"/>
            </w:pPr>
          </w:p>
        </w:tc>
        <w:tc>
          <w:tcPr>
            <w:tcW w:w="1069" w:type="dxa"/>
            <w:vMerge w:val="continue"/>
            <w:tcBorders>
              <w:top w:val="nil"/>
              <w:bottom w:val="nil"/>
            </w:tcBorders>
          </w:tcPr>
          <w:p w14:paraId="4F971435">
            <w:pPr>
              <w:pStyle w:val="8"/>
            </w:pPr>
          </w:p>
        </w:tc>
        <w:tc>
          <w:tcPr>
            <w:tcW w:w="1079" w:type="dxa"/>
            <w:tcBorders>
              <w:bottom w:val="nil"/>
            </w:tcBorders>
          </w:tcPr>
          <w:p w14:paraId="624D8DEC">
            <w:pPr>
              <w:spacing w:before="115" w:line="225" w:lineRule="auto"/>
              <w:ind w:left="231" w:right="246"/>
              <w:rPr>
                <w:rFonts w:ascii="宋体" w:hAnsi="宋体" w:eastAsia="宋体" w:cs="宋体"/>
                <w:sz w:val="20"/>
                <w:szCs w:val="20"/>
              </w:rPr>
            </w:pPr>
            <w:r>
              <w:rPr>
                <w:rFonts w:ascii="宋体" w:hAnsi="宋体" w:eastAsia="宋体" w:cs="宋体"/>
                <w:spacing w:val="-4"/>
                <w:sz w:val="20"/>
                <w:szCs w:val="20"/>
              </w:rPr>
              <w:t>生态效益指标</w:t>
            </w:r>
          </w:p>
        </w:tc>
        <w:tc>
          <w:tcPr>
            <w:tcW w:w="1129" w:type="dxa"/>
            <w:shd w:val="clear" w:color="auto" w:fill="auto"/>
            <w:vAlign w:val="center"/>
          </w:tcPr>
          <w:p w14:paraId="6B8F18A8">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农村人居环境整治提升</w:t>
            </w:r>
          </w:p>
        </w:tc>
        <w:tc>
          <w:tcPr>
            <w:tcW w:w="1209" w:type="dxa"/>
            <w:shd w:val="clear" w:color="auto" w:fill="auto"/>
            <w:vAlign w:val="center"/>
          </w:tcPr>
          <w:p w14:paraId="19A25B76">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效果明显</w:t>
            </w:r>
          </w:p>
        </w:tc>
        <w:tc>
          <w:tcPr>
            <w:tcW w:w="1138" w:type="dxa"/>
            <w:shd w:val="clear" w:color="auto" w:fill="auto"/>
            <w:vAlign w:val="center"/>
          </w:tcPr>
          <w:p w14:paraId="49EA835A">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人居环境得到提升</w:t>
            </w:r>
          </w:p>
        </w:tc>
        <w:tc>
          <w:tcPr>
            <w:tcW w:w="809" w:type="dxa"/>
            <w:shd w:val="clear" w:color="auto" w:fill="auto"/>
            <w:vAlign w:val="center"/>
          </w:tcPr>
          <w:p w14:paraId="4D5863C3">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869" w:type="dxa"/>
            <w:shd w:val="clear" w:color="auto" w:fill="auto"/>
            <w:vAlign w:val="center"/>
          </w:tcPr>
          <w:p w14:paraId="07243F3F">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1413" w:type="dxa"/>
          </w:tcPr>
          <w:p w14:paraId="28C48F65">
            <w:pPr>
              <w:pStyle w:val="8"/>
              <w:keepNext w:val="0"/>
              <w:keepLines w:val="0"/>
              <w:pageBreakBefore w:val="0"/>
              <w:widowControl/>
              <w:kinsoku w:val="0"/>
              <w:wordWrap/>
              <w:overflowPunct/>
              <w:topLinePunct w:val="0"/>
              <w:autoSpaceDE w:val="0"/>
              <w:autoSpaceDN w:val="0"/>
              <w:bidi w:val="0"/>
              <w:adjustRightInd w:val="0"/>
              <w:snapToGrid w:val="0"/>
              <w:spacing w:before="80"/>
              <w:jc w:val="center"/>
            </w:pPr>
          </w:p>
        </w:tc>
      </w:tr>
      <w:tr w14:paraId="2D7995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1064" w:type="dxa"/>
            <w:vMerge w:val="continue"/>
            <w:tcBorders>
              <w:top w:val="nil"/>
              <w:bottom w:val="nil"/>
            </w:tcBorders>
            <w:textDirection w:val="tbRlV"/>
          </w:tcPr>
          <w:p w14:paraId="5F87B54B">
            <w:pPr>
              <w:pStyle w:val="8"/>
            </w:pPr>
          </w:p>
        </w:tc>
        <w:tc>
          <w:tcPr>
            <w:tcW w:w="1069" w:type="dxa"/>
            <w:vMerge w:val="continue"/>
            <w:tcBorders>
              <w:top w:val="nil"/>
              <w:bottom w:val="nil"/>
            </w:tcBorders>
          </w:tcPr>
          <w:p w14:paraId="756E6896">
            <w:pPr>
              <w:pStyle w:val="8"/>
            </w:pPr>
          </w:p>
        </w:tc>
        <w:tc>
          <w:tcPr>
            <w:tcW w:w="1079" w:type="dxa"/>
            <w:tcBorders>
              <w:bottom w:val="nil"/>
            </w:tcBorders>
          </w:tcPr>
          <w:p w14:paraId="4E6648D8">
            <w:pPr>
              <w:spacing w:before="106" w:line="219" w:lineRule="auto"/>
              <w:ind w:left="131"/>
              <w:rPr>
                <w:rFonts w:ascii="宋体" w:hAnsi="宋体" w:eastAsia="宋体" w:cs="宋体"/>
                <w:sz w:val="20"/>
                <w:szCs w:val="20"/>
              </w:rPr>
            </w:pPr>
            <w:r>
              <w:rPr>
                <w:rFonts w:ascii="宋体" w:hAnsi="宋体" w:eastAsia="宋体" w:cs="宋体"/>
                <w:spacing w:val="-2"/>
                <w:sz w:val="20"/>
                <w:szCs w:val="20"/>
              </w:rPr>
              <w:t>可持续影</w:t>
            </w:r>
          </w:p>
          <w:p w14:paraId="2403FC57">
            <w:pPr>
              <w:spacing w:before="63" w:line="220" w:lineRule="auto"/>
              <w:ind w:left="231"/>
              <w:rPr>
                <w:rFonts w:ascii="宋体" w:hAnsi="宋体" w:eastAsia="宋体" w:cs="宋体"/>
                <w:sz w:val="20"/>
                <w:szCs w:val="20"/>
              </w:rPr>
            </w:pPr>
            <w:r>
              <w:rPr>
                <w:rFonts w:ascii="宋体" w:hAnsi="宋体" w:eastAsia="宋体" w:cs="宋体"/>
                <w:spacing w:val="2"/>
                <w:sz w:val="20"/>
                <w:szCs w:val="20"/>
              </w:rPr>
              <w:t>响指标</w:t>
            </w:r>
          </w:p>
        </w:tc>
        <w:tc>
          <w:tcPr>
            <w:tcW w:w="1129" w:type="dxa"/>
            <w:shd w:val="clear" w:color="auto" w:fill="auto"/>
            <w:vAlign w:val="center"/>
          </w:tcPr>
          <w:p w14:paraId="1BAC1F62">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资金使用后对农村的影响</w:t>
            </w:r>
          </w:p>
        </w:tc>
        <w:tc>
          <w:tcPr>
            <w:tcW w:w="1209" w:type="dxa"/>
            <w:shd w:val="clear" w:color="auto" w:fill="auto"/>
            <w:vAlign w:val="center"/>
          </w:tcPr>
          <w:p w14:paraId="03966304">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积极影响且可持续</w:t>
            </w:r>
          </w:p>
        </w:tc>
        <w:tc>
          <w:tcPr>
            <w:tcW w:w="1138" w:type="dxa"/>
            <w:shd w:val="clear" w:color="auto" w:fill="auto"/>
            <w:vAlign w:val="center"/>
          </w:tcPr>
          <w:p w14:paraId="6B1954E1">
            <w:pPr>
              <w:keepNext w:val="0"/>
              <w:keepLines w:val="0"/>
              <w:widowControl/>
              <w:suppressLineNumbers w:val="0"/>
              <w:jc w:val="center"/>
              <w:textAlignment w:val="center"/>
              <w:rPr>
                <w:rFonts w:hint="eastAsia" w:ascii="宋体" w:hAnsi="宋体" w:eastAsia="宋体" w:cs="宋体"/>
                <w:i w:val="0"/>
                <w:iCs w:val="0"/>
                <w:snapToGrid w:val="0"/>
                <w:color w:val="000000"/>
                <w:kern w:val="0"/>
                <w:sz w:val="20"/>
                <w:szCs w:val="20"/>
                <w:u w:val="none"/>
                <w:lang w:val="en-US" w:eastAsia="en-US" w:bidi="ar"/>
              </w:rPr>
            </w:pPr>
            <w:r>
              <w:rPr>
                <w:rFonts w:hint="eastAsia" w:ascii="宋体" w:hAnsi="宋体" w:eastAsia="宋体" w:cs="宋体"/>
                <w:i w:val="0"/>
                <w:iCs w:val="0"/>
                <w:snapToGrid w:val="0"/>
                <w:color w:val="000000"/>
                <w:kern w:val="0"/>
                <w:sz w:val="20"/>
                <w:szCs w:val="20"/>
                <w:u w:val="none"/>
                <w:lang w:val="en-US" w:eastAsia="zh-CN" w:bidi="ar"/>
              </w:rPr>
              <w:t>积极影响可持续</w:t>
            </w:r>
          </w:p>
        </w:tc>
        <w:tc>
          <w:tcPr>
            <w:tcW w:w="809" w:type="dxa"/>
            <w:shd w:val="clear" w:color="auto" w:fill="auto"/>
            <w:vAlign w:val="center"/>
          </w:tcPr>
          <w:p w14:paraId="4981FADB">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869" w:type="dxa"/>
            <w:shd w:val="clear" w:color="auto" w:fill="auto"/>
            <w:vAlign w:val="center"/>
          </w:tcPr>
          <w:p w14:paraId="5B5144B5">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1413" w:type="dxa"/>
          </w:tcPr>
          <w:p w14:paraId="4BD49685">
            <w:pPr>
              <w:pStyle w:val="8"/>
              <w:keepNext w:val="0"/>
              <w:keepLines w:val="0"/>
              <w:pageBreakBefore w:val="0"/>
              <w:widowControl/>
              <w:kinsoku w:val="0"/>
              <w:wordWrap/>
              <w:overflowPunct/>
              <w:topLinePunct w:val="0"/>
              <w:autoSpaceDE w:val="0"/>
              <w:autoSpaceDN w:val="0"/>
              <w:bidi w:val="0"/>
              <w:adjustRightInd w:val="0"/>
              <w:snapToGrid w:val="0"/>
              <w:spacing w:before="80"/>
              <w:jc w:val="center"/>
            </w:pPr>
          </w:p>
        </w:tc>
      </w:tr>
      <w:tr w14:paraId="5A5B7A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8" w:hRule="atLeast"/>
        </w:trPr>
        <w:tc>
          <w:tcPr>
            <w:tcW w:w="1064" w:type="dxa"/>
            <w:vMerge w:val="continue"/>
            <w:tcBorders>
              <w:top w:val="nil"/>
              <w:bottom w:val="nil"/>
            </w:tcBorders>
            <w:textDirection w:val="tbRlV"/>
          </w:tcPr>
          <w:p w14:paraId="068E50E7">
            <w:pPr>
              <w:pStyle w:val="8"/>
            </w:pPr>
          </w:p>
        </w:tc>
        <w:tc>
          <w:tcPr>
            <w:tcW w:w="1069" w:type="dxa"/>
            <w:tcBorders>
              <w:bottom w:val="nil"/>
            </w:tcBorders>
          </w:tcPr>
          <w:p w14:paraId="717AD173">
            <w:pPr>
              <w:spacing w:before="36" w:line="219" w:lineRule="auto"/>
              <w:ind w:left="220"/>
              <w:rPr>
                <w:rFonts w:ascii="宋体" w:hAnsi="宋体" w:eastAsia="宋体" w:cs="宋体"/>
                <w:sz w:val="20"/>
                <w:szCs w:val="20"/>
              </w:rPr>
            </w:pPr>
            <w:r>
              <w:rPr>
                <w:rFonts w:ascii="宋体" w:hAnsi="宋体" w:eastAsia="宋体" w:cs="宋体"/>
                <w:spacing w:val="-2"/>
                <w:sz w:val="20"/>
                <w:szCs w:val="20"/>
              </w:rPr>
              <w:t>满意度</w:t>
            </w:r>
          </w:p>
          <w:p w14:paraId="4D4B0918">
            <w:pPr>
              <w:spacing w:before="73" w:line="220" w:lineRule="auto"/>
              <w:ind w:left="320"/>
              <w:rPr>
                <w:rFonts w:ascii="宋体" w:hAnsi="宋体" w:eastAsia="宋体" w:cs="宋体"/>
                <w:sz w:val="20"/>
                <w:szCs w:val="20"/>
              </w:rPr>
            </w:pPr>
            <w:r>
              <w:rPr>
                <w:rFonts w:ascii="宋体" w:hAnsi="宋体" w:eastAsia="宋体" w:cs="宋体"/>
                <w:spacing w:val="-3"/>
                <w:sz w:val="20"/>
                <w:szCs w:val="20"/>
              </w:rPr>
              <w:t>指标</w:t>
            </w:r>
          </w:p>
          <w:p w14:paraId="53031A88">
            <w:pPr>
              <w:spacing w:before="41" w:line="186" w:lineRule="auto"/>
              <w:ind w:left="220"/>
              <w:rPr>
                <w:rFonts w:ascii="宋体" w:hAnsi="宋体" w:eastAsia="宋体" w:cs="宋体"/>
                <w:sz w:val="20"/>
                <w:szCs w:val="20"/>
              </w:rPr>
            </w:pPr>
            <w:r>
              <w:rPr>
                <w:rFonts w:ascii="宋体" w:hAnsi="宋体" w:eastAsia="宋体" w:cs="宋体"/>
                <w:spacing w:val="8"/>
                <w:sz w:val="20"/>
                <w:szCs w:val="20"/>
              </w:rPr>
              <w:t>(10分)</w:t>
            </w:r>
          </w:p>
        </w:tc>
        <w:tc>
          <w:tcPr>
            <w:tcW w:w="1079" w:type="dxa"/>
            <w:tcBorders>
              <w:bottom w:val="nil"/>
            </w:tcBorders>
          </w:tcPr>
          <w:p w14:paraId="67C7775A">
            <w:pPr>
              <w:spacing w:before="46" w:line="219" w:lineRule="auto"/>
              <w:ind w:left="131"/>
              <w:rPr>
                <w:rFonts w:ascii="宋体" w:hAnsi="宋体" w:eastAsia="宋体" w:cs="宋体"/>
                <w:sz w:val="20"/>
                <w:szCs w:val="20"/>
              </w:rPr>
            </w:pPr>
            <w:r>
              <w:rPr>
                <w:rFonts w:ascii="宋体" w:hAnsi="宋体" w:eastAsia="宋体" w:cs="宋体"/>
                <w:spacing w:val="-2"/>
                <w:sz w:val="20"/>
                <w:szCs w:val="20"/>
              </w:rPr>
              <w:t>服务对象</w:t>
            </w:r>
          </w:p>
          <w:p w14:paraId="19EAC559">
            <w:pPr>
              <w:spacing w:before="62" w:line="219" w:lineRule="auto"/>
              <w:ind w:left="131"/>
              <w:rPr>
                <w:rFonts w:ascii="宋体" w:hAnsi="宋体" w:eastAsia="宋体" w:cs="宋体"/>
                <w:sz w:val="20"/>
                <w:szCs w:val="20"/>
              </w:rPr>
            </w:pPr>
            <w:r>
              <w:rPr>
                <w:rFonts w:ascii="宋体" w:hAnsi="宋体" w:eastAsia="宋体" w:cs="宋体"/>
                <w:spacing w:val="3"/>
                <w:sz w:val="20"/>
                <w:szCs w:val="20"/>
              </w:rPr>
              <w:t>满意度指</w:t>
            </w:r>
          </w:p>
          <w:p w14:paraId="0E731FF9">
            <w:pPr>
              <w:spacing w:before="53" w:line="176" w:lineRule="auto"/>
              <w:ind w:left="431"/>
              <w:rPr>
                <w:rFonts w:ascii="宋体" w:hAnsi="宋体" w:eastAsia="宋体" w:cs="宋体"/>
                <w:sz w:val="20"/>
                <w:szCs w:val="20"/>
              </w:rPr>
            </w:pPr>
            <w:r>
              <w:rPr>
                <w:rFonts w:ascii="宋体" w:hAnsi="宋体" w:eastAsia="宋体" w:cs="宋体"/>
                <w:sz w:val="20"/>
                <w:szCs w:val="20"/>
              </w:rPr>
              <w:t>标</w:t>
            </w:r>
          </w:p>
        </w:tc>
        <w:tc>
          <w:tcPr>
            <w:tcW w:w="1129" w:type="dxa"/>
            <w:shd w:val="clear" w:color="auto" w:fill="auto"/>
            <w:vAlign w:val="center"/>
          </w:tcPr>
          <w:p w14:paraId="6EED887D">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服务对象满意度</w:t>
            </w:r>
          </w:p>
        </w:tc>
        <w:tc>
          <w:tcPr>
            <w:tcW w:w="1209" w:type="dxa"/>
            <w:shd w:val="clear" w:color="auto" w:fill="auto"/>
            <w:vAlign w:val="center"/>
          </w:tcPr>
          <w:p w14:paraId="1E142711">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90%</w:t>
            </w:r>
          </w:p>
        </w:tc>
        <w:tc>
          <w:tcPr>
            <w:tcW w:w="1138" w:type="dxa"/>
            <w:shd w:val="clear" w:color="auto" w:fill="auto"/>
            <w:vAlign w:val="center"/>
          </w:tcPr>
          <w:p w14:paraId="553DAE27">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服务对象满意度达到90%以上</w:t>
            </w:r>
          </w:p>
        </w:tc>
        <w:tc>
          <w:tcPr>
            <w:tcW w:w="809" w:type="dxa"/>
            <w:shd w:val="clear" w:color="auto" w:fill="auto"/>
            <w:vAlign w:val="center"/>
          </w:tcPr>
          <w:p w14:paraId="4DAE993A">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869" w:type="dxa"/>
            <w:shd w:val="clear" w:color="auto" w:fill="auto"/>
            <w:vAlign w:val="center"/>
          </w:tcPr>
          <w:p w14:paraId="42CED709">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1413" w:type="dxa"/>
          </w:tcPr>
          <w:p w14:paraId="445AC343">
            <w:pPr>
              <w:pStyle w:val="8"/>
              <w:keepNext w:val="0"/>
              <w:keepLines w:val="0"/>
              <w:pageBreakBefore w:val="0"/>
              <w:widowControl/>
              <w:kinsoku w:val="0"/>
              <w:wordWrap/>
              <w:overflowPunct/>
              <w:topLinePunct w:val="0"/>
              <w:autoSpaceDE w:val="0"/>
              <w:autoSpaceDN w:val="0"/>
              <w:bidi w:val="0"/>
              <w:adjustRightInd w:val="0"/>
              <w:snapToGrid w:val="0"/>
              <w:spacing w:before="80"/>
              <w:jc w:val="center"/>
            </w:pPr>
          </w:p>
        </w:tc>
      </w:tr>
      <w:tr w14:paraId="32F4A0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6688" w:type="dxa"/>
            <w:gridSpan w:val="6"/>
          </w:tcPr>
          <w:p w14:paraId="2090FE56">
            <w:pPr>
              <w:spacing w:before="78" w:line="220" w:lineRule="auto"/>
              <w:ind w:left="3144"/>
              <w:rPr>
                <w:rFonts w:ascii="宋体" w:hAnsi="宋体" w:eastAsia="宋体" w:cs="宋体"/>
                <w:sz w:val="20"/>
                <w:szCs w:val="20"/>
              </w:rPr>
            </w:pPr>
            <w:r>
              <w:rPr>
                <w:rFonts w:ascii="宋体" w:hAnsi="宋体" w:eastAsia="宋体" w:cs="宋体"/>
                <w:spacing w:val="4"/>
                <w:sz w:val="20"/>
                <w:szCs w:val="20"/>
              </w:rPr>
              <w:t>总分</w:t>
            </w:r>
          </w:p>
        </w:tc>
        <w:tc>
          <w:tcPr>
            <w:tcW w:w="809" w:type="dxa"/>
          </w:tcPr>
          <w:p w14:paraId="48C53D65">
            <w:pPr>
              <w:spacing w:before="128" w:line="184" w:lineRule="auto"/>
              <w:ind w:left="246"/>
              <w:rPr>
                <w:rFonts w:ascii="宋体" w:hAnsi="宋体" w:eastAsia="宋体" w:cs="宋体"/>
                <w:sz w:val="20"/>
                <w:szCs w:val="20"/>
              </w:rPr>
            </w:pPr>
            <w:r>
              <w:rPr>
                <w:rFonts w:ascii="宋体" w:hAnsi="宋体" w:eastAsia="宋体" w:cs="宋体"/>
                <w:spacing w:val="-6"/>
                <w:sz w:val="20"/>
                <w:szCs w:val="20"/>
              </w:rPr>
              <w:t>100</w:t>
            </w:r>
          </w:p>
        </w:tc>
        <w:tc>
          <w:tcPr>
            <w:tcW w:w="869" w:type="dxa"/>
            <w:shd w:val="clear" w:color="auto" w:fill="auto"/>
            <w:vAlign w:val="center"/>
          </w:tcPr>
          <w:p w14:paraId="2C573B80">
            <w:pPr>
              <w:keepNext w:val="0"/>
              <w:keepLines w:val="0"/>
              <w:pageBreakBefore w:val="0"/>
              <w:widowControl/>
              <w:suppressLineNumbers w:val="0"/>
              <w:kinsoku w:val="0"/>
              <w:wordWrap/>
              <w:overflowPunct/>
              <w:topLinePunct w:val="0"/>
              <w:autoSpaceDE w:val="0"/>
              <w:autoSpaceDN w:val="0"/>
              <w:bidi w:val="0"/>
              <w:adjustRightInd w:val="0"/>
              <w:snapToGrid w:val="0"/>
              <w:spacing w:before="8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98</w:t>
            </w:r>
          </w:p>
        </w:tc>
        <w:tc>
          <w:tcPr>
            <w:tcW w:w="1413" w:type="dxa"/>
          </w:tcPr>
          <w:p w14:paraId="3254CF9D">
            <w:pPr>
              <w:pStyle w:val="8"/>
            </w:pPr>
          </w:p>
        </w:tc>
      </w:tr>
    </w:tbl>
    <w:p w14:paraId="6213DCA3">
      <w:pPr>
        <w:pStyle w:val="2"/>
        <w:spacing w:before="12" w:line="285" w:lineRule="auto"/>
        <w:ind w:right="285" w:firstLine="420" w:firstLineChars="200"/>
        <w:rPr>
          <w:rFonts w:ascii="宋体" w:hAnsi="宋体" w:eastAsia="宋体" w:cs="宋体"/>
          <w:sz w:val="21"/>
          <w:szCs w:val="21"/>
        </w:rPr>
      </w:pPr>
    </w:p>
    <w:p w14:paraId="1A8DCE04">
      <w:pPr>
        <w:pStyle w:val="2"/>
        <w:spacing w:before="12" w:line="285" w:lineRule="auto"/>
        <w:ind w:right="285" w:firstLine="420" w:firstLineChars="200"/>
        <w:rPr>
          <w:rFonts w:hint="eastAsia" w:ascii="宋体" w:hAnsi="宋体" w:eastAsia="宋体" w:cs="宋体"/>
          <w:sz w:val="21"/>
          <w:szCs w:val="21"/>
          <w:lang w:val="en-US" w:eastAsia="zh-CN"/>
        </w:rPr>
      </w:pPr>
      <w:r>
        <w:rPr>
          <w:rFonts w:ascii="宋体" w:hAnsi="宋体" w:eastAsia="宋体" w:cs="宋体"/>
          <w:sz w:val="21"/>
          <w:szCs w:val="21"/>
          <w:lang w:eastAsia="zh-CN"/>
        </w:rPr>
        <w:t>填表人：</w:t>
      </w:r>
      <w:r>
        <w:rPr>
          <w:rFonts w:hint="eastAsia" w:ascii="宋体" w:hAnsi="宋体" w:eastAsia="宋体" w:cs="宋体"/>
          <w:sz w:val="21"/>
          <w:szCs w:val="21"/>
          <w:lang w:eastAsia="zh-CN"/>
        </w:rPr>
        <w:t>丁乙</w:t>
      </w:r>
      <w:r>
        <w:rPr>
          <w:rFonts w:hint="eastAsia" w:ascii="宋体" w:hAnsi="宋体" w:eastAsia="宋体" w:cs="宋体"/>
          <w:sz w:val="21"/>
          <w:szCs w:val="21"/>
          <w:lang w:val="en-US" w:eastAsia="zh-CN"/>
        </w:rPr>
        <w:t xml:space="preserve">  </w:t>
      </w:r>
      <w:r>
        <w:rPr>
          <w:rFonts w:ascii="宋体" w:hAnsi="宋体" w:eastAsia="宋体" w:cs="宋体"/>
          <w:sz w:val="21"/>
          <w:szCs w:val="21"/>
          <w:lang w:eastAsia="zh-CN"/>
        </w:rPr>
        <w:t>填报日期：</w:t>
      </w:r>
      <w:r>
        <w:rPr>
          <w:rFonts w:hint="eastAsia" w:ascii="宋体" w:hAnsi="宋体" w:eastAsia="宋体" w:cs="宋体"/>
          <w:sz w:val="21"/>
          <w:szCs w:val="21"/>
          <w:lang w:val="en-US" w:eastAsia="zh-CN"/>
        </w:rPr>
        <w:t xml:space="preserve">2024年10月16日  </w:t>
      </w:r>
      <w:r>
        <w:rPr>
          <w:rFonts w:ascii="宋体" w:hAnsi="宋体" w:eastAsia="宋体" w:cs="宋体"/>
          <w:sz w:val="21"/>
          <w:szCs w:val="21"/>
          <w:lang w:eastAsia="zh-CN"/>
        </w:rPr>
        <w:t>联系电话：</w:t>
      </w:r>
      <w:r>
        <w:rPr>
          <w:rFonts w:hint="eastAsia" w:ascii="宋体" w:hAnsi="宋体" w:eastAsia="宋体" w:cs="宋体"/>
          <w:sz w:val="21"/>
          <w:szCs w:val="21"/>
          <w:lang w:val="en-US" w:eastAsia="zh-CN"/>
        </w:rPr>
        <w:t>15259181837</w:t>
      </w:r>
    </w:p>
    <w:p w14:paraId="6C832B97">
      <w:pPr>
        <w:spacing w:before="75" w:line="219" w:lineRule="auto"/>
        <w:rPr>
          <w:rFonts w:ascii="宋体" w:hAnsi="宋体" w:eastAsia="宋体" w:cs="宋体"/>
          <w:spacing w:val="-10"/>
          <w:sz w:val="23"/>
          <w:szCs w:val="23"/>
          <w:lang w:eastAsia="zh-CN"/>
        </w:rPr>
      </w:pPr>
    </w:p>
    <w:p w14:paraId="691EBD81">
      <w:pPr>
        <w:spacing w:before="75" w:line="219" w:lineRule="auto"/>
        <w:rPr>
          <w:rFonts w:ascii="宋体" w:hAnsi="宋体" w:eastAsia="宋体" w:cs="宋体"/>
          <w:sz w:val="23"/>
          <w:szCs w:val="23"/>
          <w:lang w:eastAsia="zh-CN"/>
        </w:rPr>
      </w:pPr>
      <w:r>
        <w:rPr>
          <w:rFonts w:ascii="宋体" w:hAnsi="宋体" w:eastAsia="宋体" w:cs="宋体"/>
          <w:spacing w:val="-10"/>
          <w:sz w:val="23"/>
          <w:szCs w:val="23"/>
          <w:lang w:eastAsia="zh-CN"/>
        </w:rPr>
        <w:t>附件2-1</w:t>
      </w:r>
    </w:p>
    <w:p w14:paraId="28D1D092">
      <w:pPr>
        <w:spacing w:before="27" w:line="220" w:lineRule="auto"/>
        <w:ind w:left="3658"/>
        <w:rPr>
          <w:rFonts w:ascii="宋体" w:hAnsi="宋体" w:eastAsia="宋体" w:cs="宋体"/>
          <w:sz w:val="28"/>
          <w:szCs w:val="28"/>
          <w:lang w:eastAsia="zh-CN"/>
        </w:rPr>
      </w:pPr>
      <w:r>
        <w:rPr>
          <w:rFonts w:ascii="宋体" w:hAnsi="宋体" w:eastAsia="宋体" w:cs="宋体"/>
          <w:b/>
          <w:bCs/>
          <w:spacing w:val="-3"/>
          <w:sz w:val="28"/>
          <w:szCs w:val="28"/>
          <w:lang w:eastAsia="zh-CN"/>
        </w:rPr>
        <w:t>项目支出绩效自评表</w:t>
      </w:r>
    </w:p>
    <w:p w14:paraId="13C9C5B0">
      <w:pPr>
        <w:spacing w:line="62" w:lineRule="exact"/>
        <w:rPr>
          <w:lang w:eastAsia="zh-CN"/>
        </w:rPr>
      </w:pPr>
    </w:p>
    <w:tbl>
      <w:tblPr>
        <w:tblStyle w:val="7"/>
        <w:tblpPr w:leftFromText="180" w:rightFromText="180" w:vertAnchor="text" w:horzAnchor="page" w:tblpX="1184" w:tblpY="145"/>
        <w:tblOverlap w:val="never"/>
        <w:tblW w:w="977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64"/>
        <w:gridCol w:w="1069"/>
        <w:gridCol w:w="1038"/>
        <w:gridCol w:w="1170"/>
        <w:gridCol w:w="1209"/>
        <w:gridCol w:w="1138"/>
        <w:gridCol w:w="809"/>
        <w:gridCol w:w="869"/>
        <w:gridCol w:w="1413"/>
      </w:tblGrid>
      <w:tr w14:paraId="675AA9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4" w:hRule="atLeast"/>
        </w:trPr>
        <w:tc>
          <w:tcPr>
            <w:tcW w:w="1064" w:type="dxa"/>
          </w:tcPr>
          <w:p w14:paraId="1627132D">
            <w:pPr>
              <w:spacing w:before="34"/>
              <w:ind w:left="224" w:right="218"/>
              <w:rPr>
                <w:rFonts w:ascii="宋体" w:hAnsi="宋体" w:eastAsia="宋体" w:cs="宋体"/>
                <w:sz w:val="20"/>
                <w:szCs w:val="20"/>
              </w:rPr>
            </w:pPr>
            <w:r>
              <w:rPr>
                <w:rFonts w:ascii="宋体" w:hAnsi="宋体" w:eastAsia="宋体" w:cs="宋体"/>
                <w:spacing w:val="3"/>
                <w:sz w:val="20"/>
                <w:szCs w:val="20"/>
              </w:rPr>
              <w:t>项目支出名称</w:t>
            </w:r>
          </w:p>
        </w:tc>
        <w:tc>
          <w:tcPr>
            <w:tcW w:w="8715" w:type="dxa"/>
            <w:gridSpan w:val="8"/>
          </w:tcPr>
          <w:p w14:paraId="510EFEC9">
            <w:pPr>
              <w:pStyle w:val="8"/>
              <w:keepNext w:val="0"/>
              <w:keepLines w:val="0"/>
              <w:pageBreakBefore w:val="0"/>
              <w:widowControl/>
              <w:kinsoku w:val="0"/>
              <w:wordWrap/>
              <w:overflowPunct/>
              <w:topLinePunct w:val="0"/>
              <w:autoSpaceDE w:val="0"/>
              <w:autoSpaceDN w:val="0"/>
              <w:bidi w:val="0"/>
              <w:adjustRightInd w:val="0"/>
              <w:snapToGrid w:val="0"/>
              <w:spacing w:before="120"/>
              <w:textAlignment w:val="baseline"/>
              <w:rPr>
                <w:rFonts w:hint="eastAsia" w:eastAsia="宋体"/>
                <w:lang w:eastAsia="zh-CN"/>
              </w:rPr>
            </w:pPr>
            <w:r>
              <w:rPr>
                <w:rFonts w:hint="eastAsia" w:eastAsia="宋体"/>
                <w:lang w:eastAsia="zh-CN"/>
              </w:rPr>
              <w:t>财政所信息化建设经费</w:t>
            </w:r>
          </w:p>
        </w:tc>
      </w:tr>
      <w:tr w14:paraId="5C631E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 w:hRule="atLeast"/>
        </w:trPr>
        <w:tc>
          <w:tcPr>
            <w:tcW w:w="1064" w:type="dxa"/>
          </w:tcPr>
          <w:p w14:paraId="1B06C7BD">
            <w:pPr>
              <w:spacing w:before="38" w:line="204" w:lineRule="auto"/>
              <w:ind w:left="125"/>
              <w:rPr>
                <w:rFonts w:ascii="宋体" w:hAnsi="宋体" w:eastAsia="宋体" w:cs="宋体"/>
                <w:sz w:val="20"/>
                <w:szCs w:val="20"/>
              </w:rPr>
            </w:pPr>
            <w:r>
              <w:rPr>
                <w:rFonts w:ascii="宋体" w:hAnsi="宋体" w:eastAsia="宋体" w:cs="宋体"/>
                <w:spacing w:val="5"/>
                <w:sz w:val="20"/>
                <w:szCs w:val="20"/>
              </w:rPr>
              <w:t>主管部门</w:t>
            </w:r>
          </w:p>
        </w:tc>
        <w:tc>
          <w:tcPr>
            <w:tcW w:w="4486" w:type="dxa"/>
            <w:gridSpan w:val="4"/>
          </w:tcPr>
          <w:p w14:paraId="4B596BE6">
            <w:pPr>
              <w:pStyle w:val="8"/>
              <w:rPr>
                <w:rFonts w:hint="eastAsia" w:eastAsia="宋体"/>
                <w:lang w:eastAsia="zh-CN"/>
              </w:rPr>
            </w:pPr>
            <w:r>
              <w:rPr>
                <w:rFonts w:hint="eastAsia" w:eastAsia="宋体"/>
                <w:lang w:eastAsia="zh-CN"/>
              </w:rPr>
              <w:t>区财政局、黄岩管理处</w:t>
            </w:r>
          </w:p>
        </w:tc>
        <w:tc>
          <w:tcPr>
            <w:tcW w:w="1138" w:type="dxa"/>
          </w:tcPr>
          <w:p w14:paraId="2D5E91DC">
            <w:pPr>
              <w:spacing w:before="40" w:line="203" w:lineRule="auto"/>
              <w:ind w:left="164"/>
              <w:rPr>
                <w:rFonts w:ascii="宋体" w:hAnsi="宋体" w:eastAsia="宋体" w:cs="宋体"/>
                <w:sz w:val="20"/>
                <w:szCs w:val="20"/>
              </w:rPr>
            </w:pPr>
            <w:r>
              <w:rPr>
                <w:rFonts w:ascii="宋体" w:hAnsi="宋体" w:eastAsia="宋体" w:cs="宋体"/>
                <w:spacing w:val="1"/>
                <w:sz w:val="20"/>
                <w:szCs w:val="20"/>
              </w:rPr>
              <w:t>实施单位</w:t>
            </w:r>
          </w:p>
        </w:tc>
        <w:tc>
          <w:tcPr>
            <w:tcW w:w="3091" w:type="dxa"/>
            <w:gridSpan w:val="3"/>
          </w:tcPr>
          <w:p w14:paraId="55707D4A">
            <w:pPr>
              <w:pStyle w:val="8"/>
              <w:rPr>
                <w:rFonts w:hint="eastAsia" w:eastAsia="宋体"/>
                <w:lang w:eastAsia="zh-CN"/>
              </w:rPr>
            </w:pPr>
            <w:r>
              <w:rPr>
                <w:rFonts w:hint="eastAsia" w:eastAsia="宋体"/>
                <w:lang w:eastAsia="zh-CN"/>
              </w:rPr>
              <w:t>黄岩财政所</w:t>
            </w:r>
          </w:p>
        </w:tc>
      </w:tr>
      <w:tr w14:paraId="0C04CF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1064" w:type="dxa"/>
            <w:vMerge w:val="restart"/>
            <w:tcBorders>
              <w:bottom w:val="nil"/>
            </w:tcBorders>
          </w:tcPr>
          <w:p w14:paraId="61DCE0A0">
            <w:pPr>
              <w:pStyle w:val="8"/>
              <w:spacing w:line="325" w:lineRule="auto"/>
            </w:pPr>
          </w:p>
          <w:p w14:paraId="75C795C6">
            <w:pPr>
              <w:pStyle w:val="8"/>
              <w:spacing w:line="325" w:lineRule="auto"/>
            </w:pPr>
          </w:p>
          <w:p w14:paraId="1C45A82E">
            <w:pPr>
              <w:spacing w:before="65" w:line="220" w:lineRule="auto"/>
              <w:ind w:left="125"/>
              <w:rPr>
                <w:rFonts w:ascii="宋体" w:hAnsi="宋体" w:eastAsia="宋体" w:cs="宋体"/>
                <w:sz w:val="20"/>
                <w:szCs w:val="20"/>
              </w:rPr>
            </w:pPr>
            <w:r>
              <w:rPr>
                <w:rFonts w:ascii="宋体" w:hAnsi="宋体" w:eastAsia="宋体" w:cs="宋体"/>
                <w:spacing w:val="-3"/>
                <w:sz w:val="20"/>
                <w:szCs w:val="20"/>
              </w:rPr>
              <w:t>项目资金</w:t>
            </w:r>
          </w:p>
          <w:p w14:paraId="1B28514C">
            <w:pPr>
              <w:spacing w:before="31" w:line="220" w:lineRule="auto"/>
              <w:ind w:left="224"/>
              <w:rPr>
                <w:rFonts w:ascii="宋体" w:hAnsi="宋体" w:eastAsia="宋体" w:cs="宋体"/>
                <w:sz w:val="20"/>
                <w:szCs w:val="20"/>
              </w:rPr>
            </w:pPr>
            <w:r>
              <w:rPr>
                <w:rFonts w:ascii="宋体" w:hAnsi="宋体" w:eastAsia="宋体" w:cs="宋体"/>
                <w:spacing w:val="10"/>
                <w:sz w:val="20"/>
                <w:szCs w:val="20"/>
              </w:rPr>
              <w:t>(万元)</w:t>
            </w:r>
          </w:p>
        </w:tc>
        <w:tc>
          <w:tcPr>
            <w:tcW w:w="2107" w:type="dxa"/>
            <w:gridSpan w:val="2"/>
          </w:tcPr>
          <w:p w14:paraId="28969815">
            <w:pPr>
              <w:pStyle w:val="8"/>
            </w:pPr>
          </w:p>
        </w:tc>
        <w:tc>
          <w:tcPr>
            <w:tcW w:w="1170" w:type="dxa"/>
          </w:tcPr>
          <w:p w14:paraId="60DB1A76">
            <w:pPr>
              <w:spacing w:before="59" w:line="226" w:lineRule="auto"/>
              <w:ind w:left="253" w:right="275" w:firstLine="99"/>
              <w:rPr>
                <w:rFonts w:ascii="宋体" w:hAnsi="宋体" w:eastAsia="宋体" w:cs="宋体"/>
                <w:sz w:val="20"/>
                <w:szCs w:val="20"/>
              </w:rPr>
            </w:pPr>
            <w:r>
              <w:rPr>
                <w:rFonts w:ascii="宋体" w:hAnsi="宋体" w:eastAsia="宋体" w:cs="宋体"/>
                <w:spacing w:val="-5"/>
                <w:sz w:val="20"/>
                <w:szCs w:val="20"/>
              </w:rPr>
              <w:t>年初</w:t>
            </w:r>
            <w:r>
              <w:rPr>
                <w:rFonts w:ascii="宋体" w:hAnsi="宋体" w:eastAsia="宋体" w:cs="宋体"/>
                <w:spacing w:val="-4"/>
                <w:sz w:val="20"/>
                <w:szCs w:val="20"/>
              </w:rPr>
              <w:t>预算数</w:t>
            </w:r>
          </w:p>
        </w:tc>
        <w:tc>
          <w:tcPr>
            <w:tcW w:w="1209" w:type="dxa"/>
          </w:tcPr>
          <w:p w14:paraId="34C8EA8D">
            <w:pPr>
              <w:spacing w:before="68" w:line="222" w:lineRule="auto"/>
              <w:ind w:left="293" w:right="314" w:firstLine="99"/>
              <w:rPr>
                <w:rFonts w:ascii="宋体" w:hAnsi="宋体" w:eastAsia="宋体" w:cs="宋体"/>
                <w:sz w:val="20"/>
                <w:szCs w:val="20"/>
              </w:rPr>
            </w:pPr>
            <w:r>
              <w:rPr>
                <w:rFonts w:ascii="宋体" w:hAnsi="宋体" w:eastAsia="宋体" w:cs="宋体"/>
                <w:spacing w:val="-4"/>
                <w:sz w:val="20"/>
                <w:szCs w:val="20"/>
              </w:rPr>
              <w:t>全年预算数</w:t>
            </w:r>
          </w:p>
        </w:tc>
        <w:tc>
          <w:tcPr>
            <w:tcW w:w="1138" w:type="dxa"/>
          </w:tcPr>
          <w:p w14:paraId="237CFC0B">
            <w:pPr>
              <w:spacing w:before="68" w:line="222" w:lineRule="auto"/>
              <w:ind w:left="264" w:right="270" w:firstLine="100"/>
              <w:rPr>
                <w:rFonts w:ascii="宋体" w:hAnsi="宋体" w:eastAsia="宋体" w:cs="宋体"/>
                <w:sz w:val="20"/>
                <w:szCs w:val="20"/>
              </w:rPr>
            </w:pPr>
            <w:r>
              <w:rPr>
                <w:rFonts w:ascii="宋体" w:hAnsi="宋体" w:eastAsia="宋体" w:cs="宋体"/>
                <w:spacing w:val="-4"/>
                <w:sz w:val="20"/>
                <w:szCs w:val="20"/>
              </w:rPr>
              <w:t>全年</w:t>
            </w:r>
            <w:r>
              <w:rPr>
                <w:rFonts w:ascii="宋体" w:hAnsi="宋体" w:eastAsia="宋体" w:cs="宋体"/>
                <w:spacing w:val="-3"/>
                <w:sz w:val="20"/>
                <w:szCs w:val="20"/>
              </w:rPr>
              <w:t>执行数</w:t>
            </w:r>
          </w:p>
        </w:tc>
        <w:tc>
          <w:tcPr>
            <w:tcW w:w="809" w:type="dxa"/>
          </w:tcPr>
          <w:p w14:paraId="1B254EC6">
            <w:pPr>
              <w:spacing w:before="179" w:line="219" w:lineRule="auto"/>
              <w:ind w:left="196"/>
              <w:rPr>
                <w:rFonts w:ascii="宋体" w:hAnsi="宋体" w:eastAsia="宋体" w:cs="宋体"/>
                <w:sz w:val="20"/>
                <w:szCs w:val="20"/>
              </w:rPr>
            </w:pPr>
            <w:r>
              <w:rPr>
                <w:rFonts w:ascii="宋体" w:hAnsi="宋体" w:eastAsia="宋体" w:cs="宋体"/>
                <w:spacing w:val="-3"/>
                <w:sz w:val="20"/>
                <w:szCs w:val="20"/>
              </w:rPr>
              <w:t>分值</w:t>
            </w:r>
          </w:p>
        </w:tc>
        <w:tc>
          <w:tcPr>
            <w:tcW w:w="869" w:type="dxa"/>
          </w:tcPr>
          <w:p w14:paraId="6C45805C">
            <w:pPr>
              <w:spacing w:before="179" w:line="219" w:lineRule="auto"/>
              <w:ind w:left="128"/>
              <w:rPr>
                <w:rFonts w:ascii="宋体" w:hAnsi="宋体" w:eastAsia="宋体" w:cs="宋体"/>
                <w:sz w:val="20"/>
                <w:szCs w:val="20"/>
              </w:rPr>
            </w:pPr>
            <w:r>
              <w:rPr>
                <w:rFonts w:ascii="宋体" w:hAnsi="宋体" w:eastAsia="宋体" w:cs="宋体"/>
                <w:spacing w:val="-2"/>
                <w:sz w:val="20"/>
                <w:szCs w:val="20"/>
              </w:rPr>
              <w:t>执行率</w:t>
            </w:r>
          </w:p>
        </w:tc>
        <w:tc>
          <w:tcPr>
            <w:tcW w:w="1413" w:type="dxa"/>
          </w:tcPr>
          <w:p w14:paraId="463A357A">
            <w:pPr>
              <w:spacing w:before="179" w:line="219" w:lineRule="auto"/>
              <w:ind w:left="499"/>
              <w:rPr>
                <w:rFonts w:ascii="宋体" w:hAnsi="宋体" w:eastAsia="宋体" w:cs="宋体"/>
                <w:sz w:val="20"/>
                <w:szCs w:val="20"/>
              </w:rPr>
            </w:pPr>
            <w:r>
              <w:rPr>
                <w:rFonts w:ascii="宋体" w:hAnsi="宋体" w:eastAsia="宋体" w:cs="宋体"/>
                <w:spacing w:val="-3"/>
                <w:sz w:val="20"/>
                <w:szCs w:val="20"/>
              </w:rPr>
              <w:t>得分</w:t>
            </w:r>
          </w:p>
        </w:tc>
      </w:tr>
      <w:tr w14:paraId="7BC2F0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3" w:hRule="atLeast"/>
        </w:trPr>
        <w:tc>
          <w:tcPr>
            <w:tcW w:w="1064" w:type="dxa"/>
            <w:vMerge w:val="continue"/>
            <w:tcBorders>
              <w:top w:val="nil"/>
              <w:bottom w:val="nil"/>
            </w:tcBorders>
          </w:tcPr>
          <w:p w14:paraId="355F768E">
            <w:pPr>
              <w:pStyle w:val="8"/>
            </w:pPr>
          </w:p>
        </w:tc>
        <w:tc>
          <w:tcPr>
            <w:tcW w:w="2107" w:type="dxa"/>
            <w:gridSpan w:val="2"/>
          </w:tcPr>
          <w:p w14:paraId="44B54F07">
            <w:pPr>
              <w:spacing w:before="80" w:line="219" w:lineRule="auto"/>
              <w:ind w:left="110"/>
              <w:rPr>
                <w:rFonts w:ascii="宋体" w:hAnsi="宋体" w:eastAsia="宋体" w:cs="宋体"/>
                <w:sz w:val="20"/>
                <w:szCs w:val="20"/>
              </w:rPr>
            </w:pPr>
            <w:r>
              <w:rPr>
                <w:rFonts w:ascii="宋体" w:hAnsi="宋体" w:eastAsia="宋体" w:cs="宋体"/>
                <w:spacing w:val="-2"/>
                <w:sz w:val="20"/>
                <w:szCs w:val="20"/>
              </w:rPr>
              <w:t>年度资金总额</w:t>
            </w:r>
          </w:p>
        </w:tc>
        <w:tc>
          <w:tcPr>
            <w:tcW w:w="1170" w:type="dxa"/>
          </w:tcPr>
          <w:p w14:paraId="7C36D6F8">
            <w:pPr>
              <w:pStyle w:val="8"/>
              <w:keepNext w:val="0"/>
              <w:keepLines w:val="0"/>
              <w:pageBreakBefore w:val="0"/>
              <w:widowControl/>
              <w:kinsoku w:val="0"/>
              <w:wordWrap/>
              <w:overflowPunct/>
              <w:topLinePunct w:val="0"/>
              <w:autoSpaceDE w:val="0"/>
              <w:autoSpaceDN w:val="0"/>
              <w:bidi w:val="0"/>
              <w:adjustRightInd w:val="0"/>
              <w:snapToGrid w:val="0"/>
              <w:spacing w:before="80"/>
              <w:jc w:val="center"/>
              <w:textAlignment w:val="baseline"/>
              <w:rPr>
                <w:rFonts w:hint="default" w:eastAsia="宋体"/>
                <w:lang w:val="en-US" w:eastAsia="zh-CN"/>
              </w:rPr>
            </w:pPr>
            <w:r>
              <w:rPr>
                <w:rFonts w:hint="eastAsia" w:eastAsia="宋体"/>
                <w:lang w:val="en-US" w:eastAsia="zh-CN"/>
              </w:rPr>
              <w:t>4</w:t>
            </w:r>
          </w:p>
        </w:tc>
        <w:tc>
          <w:tcPr>
            <w:tcW w:w="1209" w:type="dxa"/>
          </w:tcPr>
          <w:p w14:paraId="4F0B4D4F">
            <w:pPr>
              <w:pStyle w:val="8"/>
              <w:keepNext w:val="0"/>
              <w:keepLines w:val="0"/>
              <w:pageBreakBefore w:val="0"/>
              <w:widowControl/>
              <w:kinsoku w:val="0"/>
              <w:wordWrap/>
              <w:overflowPunct/>
              <w:topLinePunct w:val="0"/>
              <w:autoSpaceDE w:val="0"/>
              <w:autoSpaceDN w:val="0"/>
              <w:bidi w:val="0"/>
              <w:adjustRightInd w:val="0"/>
              <w:snapToGrid w:val="0"/>
              <w:spacing w:before="80"/>
              <w:jc w:val="center"/>
              <w:textAlignment w:val="baseline"/>
              <w:rPr>
                <w:rFonts w:hint="default" w:eastAsia="宋体"/>
                <w:lang w:val="en-US" w:eastAsia="zh-CN"/>
              </w:rPr>
            </w:pPr>
            <w:r>
              <w:rPr>
                <w:rFonts w:hint="eastAsia" w:eastAsia="宋体"/>
                <w:lang w:val="en-US" w:eastAsia="zh-CN"/>
              </w:rPr>
              <w:t>4</w:t>
            </w:r>
          </w:p>
        </w:tc>
        <w:tc>
          <w:tcPr>
            <w:tcW w:w="1138" w:type="dxa"/>
          </w:tcPr>
          <w:p w14:paraId="7EC9FABF">
            <w:pPr>
              <w:pStyle w:val="8"/>
              <w:keepNext w:val="0"/>
              <w:keepLines w:val="0"/>
              <w:pageBreakBefore w:val="0"/>
              <w:widowControl/>
              <w:kinsoku w:val="0"/>
              <w:wordWrap/>
              <w:overflowPunct/>
              <w:topLinePunct w:val="0"/>
              <w:autoSpaceDE w:val="0"/>
              <w:autoSpaceDN w:val="0"/>
              <w:bidi w:val="0"/>
              <w:adjustRightInd w:val="0"/>
              <w:snapToGrid w:val="0"/>
              <w:spacing w:before="80"/>
              <w:jc w:val="center"/>
              <w:textAlignment w:val="baseline"/>
              <w:rPr>
                <w:rFonts w:hint="default" w:eastAsia="宋体"/>
                <w:lang w:val="en-US" w:eastAsia="zh-CN"/>
              </w:rPr>
            </w:pPr>
            <w:r>
              <w:rPr>
                <w:rFonts w:hint="eastAsia" w:eastAsia="宋体"/>
                <w:lang w:val="en-US" w:eastAsia="zh-CN"/>
              </w:rPr>
              <w:t>4</w:t>
            </w:r>
          </w:p>
        </w:tc>
        <w:tc>
          <w:tcPr>
            <w:tcW w:w="809" w:type="dxa"/>
          </w:tcPr>
          <w:p w14:paraId="66730A41">
            <w:pPr>
              <w:pStyle w:val="8"/>
              <w:keepNext w:val="0"/>
              <w:keepLines w:val="0"/>
              <w:pageBreakBefore w:val="0"/>
              <w:widowControl/>
              <w:kinsoku w:val="0"/>
              <w:wordWrap/>
              <w:overflowPunct/>
              <w:topLinePunct w:val="0"/>
              <w:autoSpaceDE w:val="0"/>
              <w:autoSpaceDN w:val="0"/>
              <w:bidi w:val="0"/>
              <w:adjustRightInd w:val="0"/>
              <w:snapToGrid w:val="0"/>
              <w:spacing w:before="80"/>
              <w:jc w:val="center"/>
              <w:textAlignment w:val="baseline"/>
              <w:rPr>
                <w:rFonts w:hint="eastAsia" w:eastAsia="宋体"/>
                <w:lang w:val="en-US" w:eastAsia="zh-CN"/>
              </w:rPr>
            </w:pPr>
            <w:r>
              <w:rPr>
                <w:rFonts w:hint="eastAsia" w:eastAsia="宋体"/>
                <w:lang w:val="en-US" w:eastAsia="zh-CN"/>
              </w:rPr>
              <w:t>10</w:t>
            </w:r>
          </w:p>
        </w:tc>
        <w:tc>
          <w:tcPr>
            <w:tcW w:w="869" w:type="dxa"/>
          </w:tcPr>
          <w:p w14:paraId="3410660D">
            <w:pPr>
              <w:pStyle w:val="8"/>
              <w:keepNext w:val="0"/>
              <w:keepLines w:val="0"/>
              <w:pageBreakBefore w:val="0"/>
              <w:widowControl/>
              <w:kinsoku w:val="0"/>
              <w:wordWrap/>
              <w:overflowPunct/>
              <w:topLinePunct w:val="0"/>
              <w:autoSpaceDE w:val="0"/>
              <w:autoSpaceDN w:val="0"/>
              <w:bidi w:val="0"/>
              <w:adjustRightInd w:val="0"/>
              <w:snapToGrid w:val="0"/>
              <w:spacing w:before="80"/>
              <w:jc w:val="center"/>
              <w:textAlignment w:val="baseline"/>
              <w:rPr>
                <w:rFonts w:hint="default" w:eastAsia="宋体"/>
                <w:lang w:val="en-US" w:eastAsia="zh-CN"/>
              </w:rPr>
            </w:pPr>
            <w:r>
              <w:rPr>
                <w:rFonts w:hint="eastAsia" w:eastAsia="宋体"/>
                <w:lang w:val="en-US" w:eastAsia="zh-CN"/>
              </w:rPr>
              <w:t>100%</w:t>
            </w:r>
          </w:p>
        </w:tc>
        <w:tc>
          <w:tcPr>
            <w:tcW w:w="1413" w:type="dxa"/>
          </w:tcPr>
          <w:p w14:paraId="656CFDF4">
            <w:pPr>
              <w:pStyle w:val="8"/>
              <w:keepNext w:val="0"/>
              <w:keepLines w:val="0"/>
              <w:pageBreakBefore w:val="0"/>
              <w:widowControl/>
              <w:kinsoku w:val="0"/>
              <w:wordWrap/>
              <w:overflowPunct/>
              <w:topLinePunct w:val="0"/>
              <w:autoSpaceDE w:val="0"/>
              <w:autoSpaceDN w:val="0"/>
              <w:bidi w:val="0"/>
              <w:adjustRightInd w:val="0"/>
              <w:snapToGrid w:val="0"/>
              <w:spacing w:before="80"/>
              <w:jc w:val="center"/>
              <w:textAlignment w:val="baseline"/>
              <w:rPr>
                <w:rFonts w:hint="default" w:eastAsia="宋体"/>
                <w:lang w:val="en-US" w:eastAsia="zh-CN"/>
              </w:rPr>
            </w:pPr>
            <w:r>
              <w:rPr>
                <w:rFonts w:hint="eastAsia" w:eastAsia="宋体"/>
                <w:lang w:val="en-US" w:eastAsia="zh-CN"/>
              </w:rPr>
              <w:t>10</w:t>
            </w:r>
          </w:p>
        </w:tc>
      </w:tr>
      <w:tr w14:paraId="07436C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1064" w:type="dxa"/>
            <w:vMerge w:val="continue"/>
            <w:tcBorders>
              <w:top w:val="nil"/>
              <w:bottom w:val="nil"/>
            </w:tcBorders>
          </w:tcPr>
          <w:p w14:paraId="54385751">
            <w:pPr>
              <w:pStyle w:val="8"/>
            </w:pPr>
          </w:p>
        </w:tc>
        <w:tc>
          <w:tcPr>
            <w:tcW w:w="2107" w:type="dxa"/>
            <w:gridSpan w:val="2"/>
          </w:tcPr>
          <w:p w14:paraId="7BC22A56">
            <w:pPr>
              <w:spacing w:before="70" w:line="219" w:lineRule="auto"/>
              <w:ind w:left="110"/>
              <w:rPr>
                <w:rFonts w:ascii="宋体" w:hAnsi="宋体" w:eastAsia="宋体" w:cs="宋体"/>
                <w:sz w:val="20"/>
                <w:szCs w:val="20"/>
              </w:rPr>
            </w:pPr>
            <w:r>
              <w:rPr>
                <w:rFonts w:ascii="宋体" w:hAnsi="宋体" w:eastAsia="宋体" w:cs="宋体"/>
                <w:spacing w:val="-1"/>
                <w:sz w:val="20"/>
                <w:szCs w:val="20"/>
              </w:rPr>
              <w:t>其中：当年财政拨款</w:t>
            </w:r>
          </w:p>
        </w:tc>
        <w:tc>
          <w:tcPr>
            <w:tcW w:w="1170" w:type="dxa"/>
          </w:tcPr>
          <w:p w14:paraId="14BE2AE6">
            <w:pPr>
              <w:pStyle w:val="8"/>
              <w:keepNext w:val="0"/>
              <w:keepLines w:val="0"/>
              <w:pageBreakBefore w:val="0"/>
              <w:widowControl/>
              <w:kinsoku w:val="0"/>
              <w:wordWrap/>
              <w:overflowPunct/>
              <w:topLinePunct w:val="0"/>
              <w:autoSpaceDE w:val="0"/>
              <w:autoSpaceDN w:val="0"/>
              <w:bidi w:val="0"/>
              <w:adjustRightInd w:val="0"/>
              <w:snapToGrid w:val="0"/>
              <w:spacing w:before="80"/>
              <w:jc w:val="center"/>
              <w:textAlignment w:val="baseline"/>
              <w:rPr>
                <w:rFonts w:hint="default" w:eastAsia="宋体"/>
                <w:lang w:val="en-US" w:eastAsia="zh-CN"/>
              </w:rPr>
            </w:pPr>
            <w:r>
              <w:rPr>
                <w:rFonts w:hint="eastAsia" w:eastAsia="宋体"/>
                <w:lang w:val="en-US" w:eastAsia="zh-CN"/>
              </w:rPr>
              <w:t>4</w:t>
            </w:r>
          </w:p>
        </w:tc>
        <w:tc>
          <w:tcPr>
            <w:tcW w:w="1209" w:type="dxa"/>
          </w:tcPr>
          <w:p w14:paraId="2E108C46">
            <w:pPr>
              <w:pStyle w:val="8"/>
              <w:keepNext w:val="0"/>
              <w:keepLines w:val="0"/>
              <w:pageBreakBefore w:val="0"/>
              <w:widowControl/>
              <w:kinsoku w:val="0"/>
              <w:wordWrap/>
              <w:overflowPunct/>
              <w:topLinePunct w:val="0"/>
              <w:autoSpaceDE w:val="0"/>
              <w:autoSpaceDN w:val="0"/>
              <w:bidi w:val="0"/>
              <w:adjustRightInd w:val="0"/>
              <w:snapToGrid w:val="0"/>
              <w:spacing w:before="80"/>
              <w:jc w:val="center"/>
              <w:textAlignment w:val="baseline"/>
            </w:pPr>
          </w:p>
        </w:tc>
        <w:tc>
          <w:tcPr>
            <w:tcW w:w="1138" w:type="dxa"/>
          </w:tcPr>
          <w:p w14:paraId="2DE31F6B">
            <w:pPr>
              <w:pStyle w:val="8"/>
              <w:keepNext w:val="0"/>
              <w:keepLines w:val="0"/>
              <w:pageBreakBefore w:val="0"/>
              <w:widowControl/>
              <w:kinsoku w:val="0"/>
              <w:wordWrap/>
              <w:overflowPunct/>
              <w:topLinePunct w:val="0"/>
              <w:autoSpaceDE w:val="0"/>
              <w:autoSpaceDN w:val="0"/>
              <w:bidi w:val="0"/>
              <w:adjustRightInd w:val="0"/>
              <w:snapToGrid w:val="0"/>
              <w:spacing w:before="80"/>
              <w:jc w:val="center"/>
              <w:textAlignment w:val="baseline"/>
            </w:pPr>
          </w:p>
        </w:tc>
        <w:tc>
          <w:tcPr>
            <w:tcW w:w="809" w:type="dxa"/>
          </w:tcPr>
          <w:p w14:paraId="6EEE685D">
            <w:pPr>
              <w:pStyle w:val="8"/>
              <w:keepNext w:val="0"/>
              <w:keepLines w:val="0"/>
              <w:pageBreakBefore w:val="0"/>
              <w:widowControl/>
              <w:kinsoku w:val="0"/>
              <w:wordWrap/>
              <w:overflowPunct/>
              <w:topLinePunct w:val="0"/>
              <w:autoSpaceDE w:val="0"/>
              <w:autoSpaceDN w:val="0"/>
              <w:bidi w:val="0"/>
              <w:adjustRightInd w:val="0"/>
              <w:snapToGrid w:val="0"/>
              <w:spacing w:before="80"/>
              <w:jc w:val="center"/>
              <w:textAlignment w:val="baseline"/>
            </w:pPr>
          </w:p>
        </w:tc>
        <w:tc>
          <w:tcPr>
            <w:tcW w:w="869" w:type="dxa"/>
          </w:tcPr>
          <w:p w14:paraId="1C025DC0">
            <w:pPr>
              <w:pStyle w:val="8"/>
              <w:keepNext w:val="0"/>
              <w:keepLines w:val="0"/>
              <w:pageBreakBefore w:val="0"/>
              <w:widowControl/>
              <w:kinsoku w:val="0"/>
              <w:wordWrap/>
              <w:overflowPunct/>
              <w:topLinePunct w:val="0"/>
              <w:autoSpaceDE w:val="0"/>
              <w:autoSpaceDN w:val="0"/>
              <w:bidi w:val="0"/>
              <w:adjustRightInd w:val="0"/>
              <w:snapToGrid w:val="0"/>
              <w:spacing w:before="80"/>
              <w:jc w:val="center"/>
              <w:textAlignment w:val="baseline"/>
            </w:pPr>
          </w:p>
        </w:tc>
        <w:tc>
          <w:tcPr>
            <w:tcW w:w="1413" w:type="dxa"/>
          </w:tcPr>
          <w:p w14:paraId="14C9BA75">
            <w:pPr>
              <w:pStyle w:val="8"/>
              <w:keepNext w:val="0"/>
              <w:keepLines w:val="0"/>
              <w:pageBreakBefore w:val="0"/>
              <w:widowControl/>
              <w:kinsoku w:val="0"/>
              <w:wordWrap/>
              <w:overflowPunct/>
              <w:topLinePunct w:val="0"/>
              <w:autoSpaceDE w:val="0"/>
              <w:autoSpaceDN w:val="0"/>
              <w:bidi w:val="0"/>
              <w:adjustRightInd w:val="0"/>
              <w:snapToGrid w:val="0"/>
              <w:spacing w:before="80"/>
              <w:jc w:val="center"/>
              <w:textAlignment w:val="baseline"/>
            </w:pPr>
          </w:p>
        </w:tc>
      </w:tr>
      <w:tr w14:paraId="6DBECF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1064" w:type="dxa"/>
            <w:vMerge w:val="continue"/>
            <w:tcBorders>
              <w:top w:val="nil"/>
              <w:bottom w:val="nil"/>
            </w:tcBorders>
          </w:tcPr>
          <w:p w14:paraId="186D541A">
            <w:pPr>
              <w:pStyle w:val="8"/>
            </w:pPr>
          </w:p>
        </w:tc>
        <w:tc>
          <w:tcPr>
            <w:tcW w:w="2107" w:type="dxa"/>
            <w:gridSpan w:val="2"/>
          </w:tcPr>
          <w:p w14:paraId="300AD05C">
            <w:pPr>
              <w:spacing w:before="70" w:line="219" w:lineRule="auto"/>
              <w:ind w:left="690"/>
              <w:rPr>
                <w:rFonts w:ascii="宋体" w:hAnsi="宋体" w:eastAsia="宋体" w:cs="宋体"/>
                <w:sz w:val="20"/>
                <w:szCs w:val="20"/>
              </w:rPr>
            </w:pPr>
            <w:r>
              <w:rPr>
                <w:rFonts w:ascii="宋体" w:hAnsi="宋体" w:eastAsia="宋体" w:cs="宋体"/>
                <w:spacing w:val="-2"/>
                <w:sz w:val="20"/>
                <w:szCs w:val="20"/>
              </w:rPr>
              <w:t>上年结转资金</w:t>
            </w:r>
          </w:p>
        </w:tc>
        <w:tc>
          <w:tcPr>
            <w:tcW w:w="1170" w:type="dxa"/>
          </w:tcPr>
          <w:p w14:paraId="52E90CFF">
            <w:pPr>
              <w:pStyle w:val="8"/>
            </w:pPr>
          </w:p>
        </w:tc>
        <w:tc>
          <w:tcPr>
            <w:tcW w:w="1209" w:type="dxa"/>
          </w:tcPr>
          <w:p w14:paraId="3EE36A2D">
            <w:pPr>
              <w:pStyle w:val="8"/>
            </w:pPr>
          </w:p>
        </w:tc>
        <w:tc>
          <w:tcPr>
            <w:tcW w:w="1138" w:type="dxa"/>
          </w:tcPr>
          <w:p w14:paraId="2A4494F6">
            <w:pPr>
              <w:pStyle w:val="8"/>
            </w:pPr>
          </w:p>
        </w:tc>
        <w:tc>
          <w:tcPr>
            <w:tcW w:w="809" w:type="dxa"/>
          </w:tcPr>
          <w:p w14:paraId="26A37A10">
            <w:pPr>
              <w:pStyle w:val="8"/>
            </w:pPr>
          </w:p>
        </w:tc>
        <w:tc>
          <w:tcPr>
            <w:tcW w:w="869" w:type="dxa"/>
          </w:tcPr>
          <w:p w14:paraId="76EF1E25">
            <w:pPr>
              <w:pStyle w:val="8"/>
            </w:pPr>
          </w:p>
        </w:tc>
        <w:tc>
          <w:tcPr>
            <w:tcW w:w="1413" w:type="dxa"/>
          </w:tcPr>
          <w:p w14:paraId="29228D69">
            <w:pPr>
              <w:pStyle w:val="8"/>
            </w:pPr>
          </w:p>
        </w:tc>
      </w:tr>
      <w:tr w14:paraId="191271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1064" w:type="dxa"/>
            <w:vMerge w:val="continue"/>
            <w:tcBorders>
              <w:top w:val="nil"/>
            </w:tcBorders>
          </w:tcPr>
          <w:p w14:paraId="36ADC4FD">
            <w:pPr>
              <w:pStyle w:val="8"/>
            </w:pPr>
          </w:p>
        </w:tc>
        <w:tc>
          <w:tcPr>
            <w:tcW w:w="2107" w:type="dxa"/>
            <w:gridSpan w:val="2"/>
          </w:tcPr>
          <w:p w14:paraId="08506E4B">
            <w:pPr>
              <w:spacing w:before="41" w:line="211" w:lineRule="auto"/>
              <w:ind w:left="690"/>
              <w:rPr>
                <w:rFonts w:ascii="宋体" w:hAnsi="宋体" w:eastAsia="宋体" w:cs="宋体"/>
                <w:sz w:val="20"/>
                <w:szCs w:val="20"/>
              </w:rPr>
            </w:pPr>
            <w:r>
              <w:rPr>
                <w:rFonts w:ascii="宋体" w:hAnsi="宋体" w:eastAsia="宋体" w:cs="宋体"/>
                <w:spacing w:val="-2"/>
                <w:sz w:val="20"/>
                <w:szCs w:val="20"/>
              </w:rPr>
              <w:t>其他资金</w:t>
            </w:r>
          </w:p>
        </w:tc>
        <w:tc>
          <w:tcPr>
            <w:tcW w:w="1170" w:type="dxa"/>
          </w:tcPr>
          <w:p w14:paraId="15A5E065">
            <w:pPr>
              <w:pStyle w:val="8"/>
            </w:pPr>
          </w:p>
        </w:tc>
        <w:tc>
          <w:tcPr>
            <w:tcW w:w="1209" w:type="dxa"/>
          </w:tcPr>
          <w:p w14:paraId="563404EB">
            <w:pPr>
              <w:pStyle w:val="8"/>
            </w:pPr>
          </w:p>
        </w:tc>
        <w:tc>
          <w:tcPr>
            <w:tcW w:w="1138" w:type="dxa"/>
          </w:tcPr>
          <w:p w14:paraId="6A350A69">
            <w:pPr>
              <w:pStyle w:val="8"/>
            </w:pPr>
          </w:p>
        </w:tc>
        <w:tc>
          <w:tcPr>
            <w:tcW w:w="809" w:type="dxa"/>
          </w:tcPr>
          <w:p w14:paraId="66D2E22F">
            <w:pPr>
              <w:pStyle w:val="8"/>
            </w:pPr>
          </w:p>
        </w:tc>
        <w:tc>
          <w:tcPr>
            <w:tcW w:w="869" w:type="dxa"/>
          </w:tcPr>
          <w:p w14:paraId="6C1D844C">
            <w:pPr>
              <w:pStyle w:val="8"/>
            </w:pPr>
          </w:p>
        </w:tc>
        <w:tc>
          <w:tcPr>
            <w:tcW w:w="1413" w:type="dxa"/>
          </w:tcPr>
          <w:p w14:paraId="28FCF884">
            <w:pPr>
              <w:pStyle w:val="8"/>
            </w:pPr>
          </w:p>
        </w:tc>
      </w:tr>
      <w:tr w14:paraId="6FF29D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1064" w:type="dxa"/>
            <w:vMerge w:val="restart"/>
            <w:tcBorders>
              <w:bottom w:val="nil"/>
            </w:tcBorders>
          </w:tcPr>
          <w:p w14:paraId="0CA0AE76">
            <w:pPr>
              <w:spacing w:before="50" w:line="235" w:lineRule="auto"/>
              <w:ind w:left="324" w:right="137" w:hanging="199"/>
              <w:rPr>
                <w:rFonts w:ascii="宋体" w:hAnsi="宋体" w:eastAsia="宋体" w:cs="宋体"/>
                <w:sz w:val="20"/>
                <w:szCs w:val="20"/>
              </w:rPr>
            </w:pPr>
            <w:r>
              <w:rPr>
                <w:rFonts w:ascii="宋体" w:hAnsi="宋体" w:eastAsia="宋体" w:cs="宋体"/>
                <w:spacing w:val="-3"/>
                <w:sz w:val="20"/>
                <w:szCs w:val="20"/>
              </w:rPr>
              <w:t>年度总体</w:t>
            </w:r>
            <w:r>
              <w:rPr>
                <w:rFonts w:ascii="宋体" w:hAnsi="宋体" w:eastAsia="宋体" w:cs="宋体"/>
                <w:spacing w:val="8"/>
                <w:sz w:val="20"/>
                <w:szCs w:val="20"/>
              </w:rPr>
              <w:t>目标</w:t>
            </w:r>
          </w:p>
        </w:tc>
        <w:tc>
          <w:tcPr>
            <w:tcW w:w="4486" w:type="dxa"/>
            <w:gridSpan w:val="4"/>
          </w:tcPr>
          <w:p w14:paraId="5655B835">
            <w:pPr>
              <w:spacing w:before="41" w:line="211" w:lineRule="auto"/>
              <w:ind w:left="1840"/>
              <w:rPr>
                <w:rFonts w:ascii="宋体" w:hAnsi="宋体" w:eastAsia="宋体" w:cs="宋体"/>
                <w:sz w:val="20"/>
                <w:szCs w:val="20"/>
              </w:rPr>
            </w:pPr>
            <w:r>
              <w:rPr>
                <w:rFonts w:ascii="宋体" w:hAnsi="宋体" w:eastAsia="宋体" w:cs="宋体"/>
                <w:spacing w:val="-2"/>
                <w:sz w:val="20"/>
                <w:szCs w:val="20"/>
              </w:rPr>
              <w:t>预期目标</w:t>
            </w:r>
          </w:p>
        </w:tc>
        <w:tc>
          <w:tcPr>
            <w:tcW w:w="4229" w:type="dxa"/>
            <w:gridSpan w:val="4"/>
          </w:tcPr>
          <w:p w14:paraId="3F4E8664">
            <w:pPr>
              <w:spacing w:before="41" w:line="211" w:lineRule="auto"/>
              <w:ind w:left="1514"/>
              <w:rPr>
                <w:rFonts w:ascii="宋体" w:hAnsi="宋体" w:eastAsia="宋体" w:cs="宋体"/>
                <w:sz w:val="20"/>
                <w:szCs w:val="20"/>
              </w:rPr>
            </w:pPr>
            <w:r>
              <w:rPr>
                <w:rFonts w:ascii="宋体" w:hAnsi="宋体" w:eastAsia="宋体" w:cs="宋体"/>
                <w:spacing w:val="1"/>
                <w:sz w:val="20"/>
                <w:szCs w:val="20"/>
              </w:rPr>
              <w:t>实际完成情况</w:t>
            </w:r>
          </w:p>
        </w:tc>
      </w:tr>
      <w:tr w14:paraId="236A88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 w:hRule="atLeast"/>
        </w:trPr>
        <w:tc>
          <w:tcPr>
            <w:tcW w:w="1064" w:type="dxa"/>
            <w:vMerge w:val="continue"/>
            <w:tcBorders>
              <w:top w:val="nil"/>
            </w:tcBorders>
          </w:tcPr>
          <w:p w14:paraId="4E78B1E4">
            <w:pPr>
              <w:pStyle w:val="8"/>
            </w:pPr>
          </w:p>
        </w:tc>
        <w:tc>
          <w:tcPr>
            <w:tcW w:w="4486" w:type="dxa"/>
            <w:gridSpan w:val="4"/>
          </w:tcPr>
          <w:p w14:paraId="7197F44F">
            <w:pPr>
              <w:pStyle w:val="8"/>
              <w:rPr>
                <w:rFonts w:hint="eastAsia" w:eastAsia="宋体"/>
                <w:lang w:eastAsia="zh-CN"/>
              </w:rPr>
            </w:pPr>
            <w:r>
              <w:rPr>
                <w:rFonts w:hint="eastAsia" w:eastAsia="宋体"/>
                <w:lang w:eastAsia="zh-CN"/>
              </w:rPr>
              <w:t>财政所信息化建设水平提高</w:t>
            </w:r>
          </w:p>
        </w:tc>
        <w:tc>
          <w:tcPr>
            <w:tcW w:w="4229" w:type="dxa"/>
            <w:gridSpan w:val="4"/>
          </w:tcPr>
          <w:p w14:paraId="1465A572">
            <w:pPr>
              <w:pStyle w:val="8"/>
            </w:pPr>
            <w:r>
              <w:rPr>
                <w:rFonts w:hint="eastAsia" w:eastAsia="宋体"/>
                <w:lang w:eastAsia="zh-CN"/>
              </w:rPr>
              <w:t>财政所信息化建设效果明显</w:t>
            </w:r>
          </w:p>
        </w:tc>
      </w:tr>
      <w:tr w14:paraId="06D2D0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9" w:hRule="atLeast"/>
        </w:trPr>
        <w:tc>
          <w:tcPr>
            <w:tcW w:w="1064" w:type="dxa"/>
            <w:vMerge w:val="restart"/>
            <w:tcBorders>
              <w:bottom w:val="nil"/>
            </w:tcBorders>
            <w:textDirection w:val="tbRlV"/>
          </w:tcPr>
          <w:p w14:paraId="26A52367">
            <w:pPr>
              <w:pStyle w:val="8"/>
              <w:spacing w:line="357" w:lineRule="auto"/>
            </w:pPr>
          </w:p>
          <w:p w14:paraId="694D3A96">
            <w:pPr>
              <w:spacing w:before="67" w:line="202" w:lineRule="auto"/>
              <w:ind w:left="3083"/>
              <w:rPr>
                <w:rFonts w:ascii="宋体" w:hAnsi="宋体" w:eastAsia="宋体" w:cs="宋体"/>
                <w:sz w:val="20"/>
                <w:szCs w:val="20"/>
              </w:rPr>
            </w:pPr>
            <w:r>
              <w:rPr>
                <w:rFonts w:ascii="宋体" w:hAnsi="宋体" w:eastAsia="宋体" w:cs="宋体"/>
                <w:spacing w:val="-1"/>
                <w:sz w:val="20"/>
                <w:szCs w:val="20"/>
              </w:rPr>
              <w:t>绩效指标</w:t>
            </w:r>
          </w:p>
        </w:tc>
        <w:tc>
          <w:tcPr>
            <w:tcW w:w="1069" w:type="dxa"/>
          </w:tcPr>
          <w:p w14:paraId="6B5230E5">
            <w:pPr>
              <w:pStyle w:val="8"/>
              <w:spacing w:line="255" w:lineRule="auto"/>
            </w:pPr>
          </w:p>
          <w:p w14:paraId="7D4ABC76">
            <w:pPr>
              <w:spacing w:before="65" w:line="220" w:lineRule="auto"/>
              <w:ind w:left="120"/>
              <w:rPr>
                <w:rFonts w:ascii="宋体" w:hAnsi="宋体" w:eastAsia="宋体" w:cs="宋体"/>
                <w:sz w:val="20"/>
                <w:szCs w:val="20"/>
              </w:rPr>
            </w:pPr>
            <w:r>
              <w:rPr>
                <w:rFonts w:ascii="宋体" w:hAnsi="宋体" w:eastAsia="宋体" w:cs="宋体"/>
                <w:spacing w:val="-3"/>
                <w:sz w:val="20"/>
                <w:szCs w:val="20"/>
              </w:rPr>
              <w:t>一级指标</w:t>
            </w:r>
          </w:p>
        </w:tc>
        <w:tc>
          <w:tcPr>
            <w:tcW w:w="1038" w:type="dxa"/>
          </w:tcPr>
          <w:p w14:paraId="3C334018">
            <w:pPr>
              <w:pStyle w:val="8"/>
              <w:spacing w:line="255" w:lineRule="auto"/>
            </w:pPr>
          </w:p>
          <w:p w14:paraId="587596EA">
            <w:pPr>
              <w:spacing w:before="65" w:line="220" w:lineRule="auto"/>
              <w:ind w:left="131"/>
              <w:rPr>
                <w:rFonts w:ascii="宋体" w:hAnsi="宋体" w:eastAsia="宋体" w:cs="宋体"/>
                <w:sz w:val="20"/>
                <w:szCs w:val="20"/>
              </w:rPr>
            </w:pPr>
            <w:r>
              <w:rPr>
                <w:rFonts w:ascii="宋体" w:hAnsi="宋体" w:eastAsia="宋体" w:cs="宋体"/>
                <w:spacing w:val="-3"/>
                <w:sz w:val="20"/>
                <w:szCs w:val="20"/>
              </w:rPr>
              <w:t>二级指标</w:t>
            </w:r>
          </w:p>
        </w:tc>
        <w:tc>
          <w:tcPr>
            <w:tcW w:w="1170" w:type="dxa"/>
          </w:tcPr>
          <w:p w14:paraId="0E6301A2">
            <w:pPr>
              <w:pStyle w:val="8"/>
              <w:spacing w:line="255" w:lineRule="auto"/>
            </w:pPr>
          </w:p>
          <w:p w14:paraId="02126E9E">
            <w:pPr>
              <w:spacing w:before="65" w:line="220" w:lineRule="auto"/>
              <w:ind w:left="152"/>
              <w:rPr>
                <w:rFonts w:ascii="宋体" w:hAnsi="宋体" w:eastAsia="宋体" w:cs="宋体"/>
                <w:sz w:val="20"/>
                <w:szCs w:val="20"/>
              </w:rPr>
            </w:pPr>
            <w:r>
              <w:rPr>
                <w:rFonts w:ascii="宋体" w:hAnsi="宋体" w:eastAsia="宋体" w:cs="宋体"/>
                <w:spacing w:val="-2"/>
                <w:sz w:val="20"/>
                <w:szCs w:val="20"/>
              </w:rPr>
              <w:t>三级指标</w:t>
            </w:r>
          </w:p>
        </w:tc>
        <w:tc>
          <w:tcPr>
            <w:tcW w:w="1209" w:type="dxa"/>
          </w:tcPr>
          <w:p w14:paraId="2C20DBB2">
            <w:pPr>
              <w:spacing w:before="190" w:line="230" w:lineRule="auto"/>
              <w:ind w:left="293" w:right="315" w:firstLine="99"/>
              <w:rPr>
                <w:rFonts w:ascii="宋体" w:hAnsi="宋体" w:eastAsia="宋体" w:cs="宋体"/>
                <w:sz w:val="20"/>
                <w:szCs w:val="20"/>
              </w:rPr>
            </w:pPr>
            <w:r>
              <w:rPr>
                <w:rFonts w:ascii="宋体" w:hAnsi="宋体" w:eastAsia="宋体" w:cs="宋体"/>
                <w:spacing w:val="5"/>
                <w:sz w:val="20"/>
                <w:szCs w:val="20"/>
              </w:rPr>
              <w:t>年度</w:t>
            </w:r>
            <w:r>
              <w:rPr>
                <w:rFonts w:ascii="宋体" w:hAnsi="宋体" w:eastAsia="宋体" w:cs="宋体"/>
                <w:spacing w:val="-4"/>
                <w:sz w:val="20"/>
                <w:szCs w:val="20"/>
              </w:rPr>
              <w:t>指标值</w:t>
            </w:r>
          </w:p>
        </w:tc>
        <w:tc>
          <w:tcPr>
            <w:tcW w:w="1138" w:type="dxa"/>
          </w:tcPr>
          <w:p w14:paraId="757FC353">
            <w:pPr>
              <w:spacing w:before="192" w:line="235" w:lineRule="auto"/>
              <w:ind w:left="264" w:right="272" w:firstLine="100"/>
              <w:rPr>
                <w:rFonts w:ascii="宋体" w:hAnsi="宋体" w:eastAsia="宋体" w:cs="宋体"/>
                <w:sz w:val="20"/>
                <w:szCs w:val="20"/>
              </w:rPr>
            </w:pPr>
            <w:r>
              <w:rPr>
                <w:rFonts w:ascii="宋体" w:hAnsi="宋体" w:eastAsia="宋体" w:cs="宋体"/>
                <w:spacing w:val="4"/>
                <w:sz w:val="20"/>
                <w:szCs w:val="20"/>
              </w:rPr>
              <w:t>实际</w:t>
            </w:r>
            <w:r>
              <w:rPr>
                <w:rFonts w:ascii="宋体" w:hAnsi="宋体" w:eastAsia="宋体" w:cs="宋体"/>
                <w:spacing w:val="-4"/>
                <w:sz w:val="20"/>
                <w:szCs w:val="20"/>
              </w:rPr>
              <w:t>完成值</w:t>
            </w:r>
          </w:p>
        </w:tc>
        <w:tc>
          <w:tcPr>
            <w:tcW w:w="809" w:type="dxa"/>
          </w:tcPr>
          <w:p w14:paraId="089C786E">
            <w:pPr>
              <w:pStyle w:val="8"/>
              <w:spacing w:line="254" w:lineRule="auto"/>
            </w:pPr>
          </w:p>
          <w:p w14:paraId="4CCC72E5">
            <w:pPr>
              <w:spacing w:before="65" w:line="219" w:lineRule="auto"/>
              <w:ind w:left="196"/>
              <w:rPr>
                <w:rFonts w:ascii="宋体" w:hAnsi="宋体" w:eastAsia="宋体" w:cs="宋体"/>
                <w:sz w:val="20"/>
                <w:szCs w:val="20"/>
              </w:rPr>
            </w:pPr>
            <w:r>
              <w:rPr>
                <w:rFonts w:ascii="宋体" w:hAnsi="宋体" w:eastAsia="宋体" w:cs="宋体"/>
                <w:spacing w:val="-3"/>
                <w:sz w:val="20"/>
                <w:szCs w:val="20"/>
              </w:rPr>
              <w:t>分值</w:t>
            </w:r>
          </w:p>
        </w:tc>
        <w:tc>
          <w:tcPr>
            <w:tcW w:w="869" w:type="dxa"/>
          </w:tcPr>
          <w:p w14:paraId="47294CDF">
            <w:pPr>
              <w:pStyle w:val="8"/>
              <w:spacing w:line="254" w:lineRule="auto"/>
            </w:pPr>
          </w:p>
          <w:p w14:paraId="243574C3">
            <w:pPr>
              <w:spacing w:before="65" w:line="219" w:lineRule="auto"/>
              <w:ind w:left="227"/>
              <w:rPr>
                <w:rFonts w:ascii="宋体" w:hAnsi="宋体" w:eastAsia="宋体" w:cs="宋体"/>
                <w:sz w:val="20"/>
                <w:szCs w:val="20"/>
              </w:rPr>
            </w:pPr>
            <w:r>
              <w:rPr>
                <w:rFonts w:ascii="宋体" w:hAnsi="宋体" w:eastAsia="宋体" w:cs="宋体"/>
                <w:spacing w:val="-3"/>
                <w:sz w:val="20"/>
                <w:szCs w:val="20"/>
              </w:rPr>
              <w:t>得分</w:t>
            </w:r>
          </w:p>
        </w:tc>
        <w:tc>
          <w:tcPr>
            <w:tcW w:w="1413" w:type="dxa"/>
          </w:tcPr>
          <w:p w14:paraId="6D8A9F7C">
            <w:pPr>
              <w:spacing w:before="11" w:line="219" w:lineRule="auto"/>
              <w:ind w:left="298"/>
              <w:rPr>
                <w:rFonts w:ascii="宋体" w:hAnsi="宋体" w:eastAsia="宋体" w:cs="宋体"/>
                <w:sz w:val="20"/>
                <w:szCs w:val="20"/>
                <w:lang w:eastAsia="zh-CN"/>
              </w:rPr>
            </w:pPr>
            <w:r>
              <w:rPr>
                <w:rFonts w:ascii="宋体" w:hAnsi="宋体" w:eastAsia="宋体" w:cs="宋体"/>
                <w:spacing w:val="5"/>
                <w:sz w:val="20"/>
                <w:szCs w:val="20"/>
                <w:lang w:eastAsia="zh-CN"/>
              </w:rPr>
              <w:t>偏差原因</w:t>
            </w:r>
          </w:p>
          <w:p w14:paraId="799DBC9E">
            <w:pPr>
              <w:spacing w:before="83" w:line="220" w:lineRule="auto"/>
              <w:ind w:left="398"/>
              <w:rPr>
                <w:rFonts w:ascii="宋体" w:hAnsi="宋体" w:eastAsia="宋体" w:cs="宋体"/>
                <w:sz w:val="20"/>
                <w:szCs w:val="20"/>
                <w:lang w:eastAsia="zh-CN"/>
              </w:rPr>
            </w:pPr>
            <w:r>
              <w:rPr>
                <w:rFonts w:ascii="宋体" w:hAnsi="宋体" w:eastAsia="宋体" w:cs="宋体"/>
                <w:spacing w:val="3"/>
                <w:sz w:val="20"/>
                <w:szCs w:val="20"/>
                <w:lang w:eastAsia="zh-CN"/>
              </w:rPr>
              <w:t>分析及</w:t>
            </w:r>
          </w:p>
          <w:p w14:paraId="7BB1CDC3">
            <w:pPr>
              <w:spacing w:before="21" w:line="210" w:lineRule="auto"/>
              <w:ind w:left="298"/>
              <w:rPr>
                <w:rFonts w:ascii="宋体" w:hAnsi="宋体" w:eastAsia="宋体" w:cs="宋体"/>
                <w:sz w:val="20"/>
                <w:szCs w:val="20"/>
                <w:lang w:eastAsia="zh-CN"/>
              </w:rPr>
            </w:pPr>
            <w:r>
              <w:rPr>
                <w:rFonts w:ascii="宋体" w:hAnsi="宋体" w:eastAsia="宋体" w:cs="宋体"/>
                <w:spacing w:val="2"/>
                <w:sz w:val="20"/>
                <w:szCs w:val="20"/>
                <w:lang w:eastAsia="zh-CN"/>
              </w:rPr>
              <w:t>改进措施</w:t>
            </w:r>
          </w:p>
        </w:tc>
      </w:tr>
      <w:tr w14:paraId="4E33AD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0" w:hRule="atLeast"/>
        </w:trPr>
        <w:tc>
          <w:tcPr>
            <w:tcW w:w="1064" w:type="dxa"/>
            <w:vMerge w:val="continue"/>
            <w:tcBorders>
              <w:top w:val="nil"/>
              <w:bottom w:val="nil"/>
            </w:tcBorders>
            <w:textDirection w:val="tbRlV"/>
          </w:tcPr>
          <w:p w14:paraId="06A2E746">
            <w:pPr>
              <w:pStyle w:val="8"/>
              <w:rPr>
                <w:lang w:eastAsia="zh-CN"/>
              </w:rPr>
            </w:pPr>
          </w:p>
        </w:tc>
        <w:tc>
          <w:tcPr>
            <w:tcW w:w="1069" w:type="dxa"/>
            <w:vMerge w:val="restart"/>
            <w:tcBorders>
              <w:bottom w:val="nil"/>
            </w:tcBorders>
          </w:tcPr>
          <w:p w14:paraId="0D295884">
            <w:pPr>
              <w:pStyle w:val="8"/>
              <w:spacing w:line="275" w:lineRule="auto"/>
              <w:rPr>
                <w:lang w:eastAsia="zh-CN"/>
              </w:rPr>
            </w:pPr>
          </w:p>
          <w:p w14:paraId="0A1EB805">
            <w:pPr>
              <w:pStyle w:val="8"/>
              <w:spacing w:line="275" w:lineRule="auto"/>
              <w:rPr>
                <w:lang w:eastAsia="zh-CN"/>
              </w:rPr>
            </w:pPr>
          </w:p>
          <w:p w14:paraId="043403EC">
            <w:pPr>
              <w:pStyle w:val="8"/>
              <w:spacing w:line="275" w:lineRule="auto"/>
              <w:rPr>
                <w:lang w:eastAsia="zh-CN"/>
              </w:rPr>
            </w:pPr>
          </w:p>
          <w:p w14:paraId="69C2A7EB">
            <w:pPr>
              <w:pStyle w:val="8"/>
              <w:spacing w:line="275" w:lineRule="auto"/>
              <w:rPr>
                <w:lang w:eastAsia="zh-CN"/>
              </w:rPr>
            </w:pPr>
          </w:p>
          <w:p w14:paraId="39B7AA0A">
            <w:pPr>
              <w:spacing w:before="65" w:line="219" w:lineRule="auto"/>
              <w:ind w:left="120"/>
              <w:rPr>
                <w:rFonts w:ascii="宋体" w:hAnsi="宋体" w:eastAsia="宋体" w:cs="宋体"/>
                <w:sz w:val="20"/>
                <w:szCs w:val="20"/>
              </w:rPr>
            </w:pPr>
            <w:r>
              <w:rPr>
                <w:rFonts w:ascii="宋体" w:hAnsi="宋体" w:eastAsia="宋体" w:cs="宋体"/>
                <w:spacing w:val="-2"/>
                <w:sz w:val="20"/>
                <w:szCs w:val="20"/>
              </w:rPr>
              <w:t>产出指标</w:t>
            </w:r>
          </w:p>
          <w:p w14:paraId="6BB463BC">
            <w:pPr>
              <w:spacing w:before="63" w:line="220" w:lineRule="auto"/>
              <w:ind w:left="220"/>
              <w:rPr>
                <w:rFonts w:ascii="宋体" w:hAnsi="宋体" w:eastAsia="宋体" w:cs="宋体"/>
                <w:sz w:val="20"/>
                <w:szCs w:val="20"/>
              </w:rPr>
            </w:pPr>
            <w:r>
              <w:rPr>
                <w:rFonts w:ascii="宋体" w:hAnsi="宋体" w:eastAsia="宋体" w:cs="宋体"/>
                <w:spacing w:val="8"/>
                <w:sz w:val="20"/>
                <w:szCs w:val="20"/>
              </w:rPr>
              <w:t>(50分)</w:t>
            </w:r>
          </w:p>
        </w:tc>
        <w:tc>
          <w:tcPr>
            <w:tcW w:w="1038" w:type="dxa"/>
            <w:tcBorders>
              <w:bottom w:val="nil"/>
            </w:tcBorders>
          </w:tcPr>
          <w:p w14:paraId="1EF92C34">
            <w:pPr>
              <w:spacing w:before="252" w:line="219" w:lineRule="auto"/>
              <w:ind w:left="131"/>
              <w:rPr>
                <w:rFonts w:ascii="宋体" w:hAnsi="宋体" w:eastAsia="宋体" w:cs="宋体"/>
                <w:sz w:val="20"/>
                <w:szCs w:val="20"/>
              </w:rPr>
            </w:pPr>
            <w:r>
              <w:rPr>
                <w:rFonts w:ascii="宋体" w:hAnsi="宋体" w:eastAsia="宋体" w:cs="宋体"/>
                <w:spacing w:val="-2"/>
                <w:sz w:val="20"/>
                <w:szCs w:val="20"/>
              </w:rPr>
              <w:t>数量指标</w:t>
            </w:r>
          </w:p>
        </w:tc>
        <w:tc>
          <w:tcPr>
            <w:tcW w:w="1170" w:type="dxa"/>
            <w:shd w:val="clear" w:color="auto" w:fill="auto"/>
            <w:vAlign w:val="center"/>
          </w:tcPr>
          <w:p w14:paraId="5B1F2CC4">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信息化建设经费支付率</w:t>
            </w:r>
          </w:p>
        </w:tc>
        <w:tc>
          <w:tcPr>
            <w:tcW w:w="1209" w:type="dxa"/>
            <w:shd w:val="clear" w:color="auto" w:fill="auto"/>
            <w:vAlign w:val="center"/>
          </w:tcPr>
          <w:p w14:paraId="43CB2047">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100%</w:t>
            </w:r>
          </w:p>
        </w:tc>
        <w:tc>
          <w:tcPr>
            <w:tcW w:w="1138" w:type="dxa"/>
            <w:shd w:val="clear" w:color="auto" w:fill="auto"/>
            <w:vAlign w:val="center"/>
          </w:tcPr>
          <w:p w14:paraId="0F033EBB">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100%</w:t>
            </w:r>
          </w:p>
        </w:tc>
        <w:tc>
          <w:tcPr>
            <w:tcW w:w="809" w:type="dxa"/>
            <w:shd w:val="clear" w:color="auto" w:fill="auto"/>
            <w:vAlign w:val="center"/>
          </w:tcPr>
          <w:p w14:paraId="6C86AA20">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869" w:type="dxa"/>
            <w:shd w:val="clear" w:color="auto" w:fill="auto"/>
            <w:vAlign w:val="center"/>
          </w:tcPr>
          <w:p w14:paraId="4135F864">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1413" w:type="dxa"/>
          </w:tcPr>
          <w:p w14:paraId="304E8956">
            <w:pPr>
              <w:pStyle w:val="8"/>
              <w:jc w:val="center"/>
            </w:pPr>
          </w:p>
        </w:tc>
      </w:tr>
      <w:tr w14:paraId="57CCD5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9" w:hRule="atLeast"/>
        </w:trPr>
        <w:tc>
          <w:tcPr>
            <w:tcW w:w="1064" w:type="dxa"/>
            <w:vMerge w:val="continue"/>
            <w:tcBorders>
              <w:top w:val="nil"/>
              <w:bottom w:val="nil"/>
            </w:tcBorders>
            <w:textDirection w:val="tbRlV"/>
          </w:tcPr>
          <w:p w14:paraId="42DB6E08">
            <w:pPr>
              <w:pStyle w:val="8"/>
            </w:pPr>
          </w:p>
        </w:tc>
        <w:tc>
          <w:tcPr>
            <w:tcW w:w="1069" w:type="dxa"/>
            <w:vMerge w:val="continue"/>
            <w:tcBorders>
              <w:top w:val="nil"/>
              <w:bottom w:val="nil"/>
            </w:tcBorders>
          </w:tcPr>
          <w:p w14:paraId="4F305A73">
            <w:pPr>
              <w:pStyle w:val="8"/>
            </w:pPr>
          </w:p>
        </w:tc>
        <w:tc>
          <w:tcPr>
            <w:tcW w:w="1038" w:type="dxa"/>
            <w:tcBorders>
              <w:bottom w:val="nil"/>
            </w:tcBorders>
          </w:tcPr>
          <w:p w14:paraId="18689757">
            <w:pPr>
              <w:spacing w:before="252" w:line="220" w:lineRule="auto"/>
              <w:ind w:left="131"/>
              <w:rPr>
                <w:rFonts w:ascii="宋体" w:hAnsi="宋体" w:eastAsia="宋体" w:cs="宋体"/>
                <w:sz w:val="20"/>
                <w:szCs w:val="20"/>
              </w:rPr>
            </w:pPr>
            <w:r>
              <w:rPr>
                <w:rFonts w:ascii="宋体" w:hAnsi="宋体" w:eastAsia="宋体" w:cs="宋体"/>
                <w:spacing w:val="-2"/>
                <w:sz w:val="20"/>
                <w:szCs w:val="20"/>
              </w:rPr>
              <w:t>质量指标</w:t>
            </w:r>
          </w:p>
        </w:tc>
        <w:tc>
          <w:tcPr>
            <w:tcW w:w="1170" w:type="dxa"/>
            <w:shd w:val="clear" w:color="auto" w:fill="auto"/>
            <w:vAlign w:val="center"/>
          </w:tcPr>
          <w:p w14:paraId="21F12B25">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项目绩效目标达成率</w:t>
            </w:r>
          </w:p>
        </w:tc>
        <w:tc>
          <w:tcPr>
            <w:tcW w:w="1209" w:type="dxa"/>
            <w:shd w:val="clear" w:color="auto" w:fill="auto"/>
            <w:vAlign w:val="center"/>
          </w:tcPr>
          <w:p w14:paraId="0E60ABE5">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100%</w:t>
            </w:r>
          </w:p>
        </w:tc>
        <w:tc>
          <w:tcPr>
            <w:tcW w:w="1138" w:type="dxa"/>
            <w:shd w:val="clear" w:color="auto" w:fill="auto"/>
            <w:vAlign w:val="center"/>
          </w:tcPr>
          <w:p w14:paraId="084B64AE">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100%</w:t>
            </w:r>
          </w:p>
        </w:tc>
        <w:tc>
          <w:tcPr>
            <w:tcW w:w="809" w:type="dxa"/>
            <w:shd w:val="clear" w:color="auto" w:fill="auto"/>
            <w:vAlign w:val="center"/>
          </w:tcPr>
          <w:p w14:paraId="0EB02344">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869" w:type="dxa"/>
            <w:shd w:val="clear" w:color="auto" w:fill="auto"/>
            <w:vAlign w:val="center"/>
          </w:tcPr>
          <w:p w14:paraId="3C06B898">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zh-CN" w:bidi="ar-SA"/>
              </w:rPr>
            </w:pPr>
            <w:r>
              <w:rPr>
                <w:rFonts w:hint="eastAsia" w:ascii="宋体" w:hAnsi="宋体" w:eastAsia="宋体" w:cs="宋体"/>
                <w:i w:val="0"/>
                <w:iCs w:val="0"/>
                <w:snapToGrid w:val="0"/>
                <w:color w:val="000000"/>
                <w:sz w:val="20"/>
                <w:szCs w:val="20"/>
                <w:u w:val="none"/>
                <w:lang w:val="en-US" w:eastAsia="zh-CN" w:bidi="ar-SA"/>
              </w:rPr>
              <w:t>10</w:t>
            </w:r>
          </w:p>
        </w:tc>
        <w:tc>
          <w:tcPr>
            <w:tcW w:w="1413" w:type="dxa"/>
          </w:tcPr>
          <w:p w14:paraId="502D9B2D">
            <w:pPr>
              <w:pStyle w:val="8"/>
              <w:jc w:val="center"/>
            </w:pPr>
          </w:p>
        </w:tc>
      </w:tr>
      <w:tr w14:paraId="4F9F47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1064" w:type="dxa"/>
            <w:vMerge w:val="continue"/>
            <w:tcBorders>
              <w:top w:val="nil"/>
              <w:bottom w:val="nil"/>
            </w:tcBorders>
            <w:textDirection w:val="tbRlV"/>
          </w:tcPr>
          <w:p w14:paraId="5CA84E1F">
            <w:pPr>
              <w:pStyle w:val="8"/>
            </w:pPr>
          </w:p>
        </w:tc>
        <w:tc>
          <w:tcPr>
            <w:tcW w:w="1069" w:type="dxa"/>
            <w:vMerge w:val="continue"/>
            <w:tcBorders>
              <w:top w:val="nil"/>
              <w:bottom w:val="nil"/>
            </w:tcBorders>
          </w:tcPr>
          <w:p w14:paraId="716531A4">
            <w:pPr>
              <w:pStyle w:val="8"/>
            </w:pPr>
          </w:p>
        </w:tc>
        <w:tc>
          <w:tcPr>
            <w:tcW w:w="1038" w:type="dxa"/>
            <w:tcBorders>
              <w:bottom w:val="nil"/>
            </w:tcBorders>
          </w:tcPr>
          <w:p w14:paraId="7665EFC8">
            <w:pPr>
              <w:spacing w:before="243" w:line="220" w:lineRule="auto"/>
              <w:ind w:left="131"/>
              <w:rPr>
                <w:rFonts w:ascii="宋体" w:hAnsi="宋体" w:eastAsia="宋体" w:cs="宋体"/>
                <w:sz w:val="20"/>
                <w:szCs w:val="20"/>
              </w:rPr>
            </w:pPr>
            <w:r>
              <w:rPr>
                <w:rFonts w:ascii="宋体" w:hAnsi="宋体" w:eastAsia="宋体" w:cs="宋体"/>
                <w:spacing w:val="1"/>
                <w:sz w:val="20"/>
                <w:szCs w:val="20"/>
              </w:rPr>
              <w:t>时效指标</w:t>
            </w:r>
          </w:p>
        </w:tc>
        <w:tc>
          <w:tcPr>
            <w:tcW w:w="1170" w:type="dxa"/>
            <w:shd w:val="clear" w:color="auto" w:fill="auto"/>
            <w:vAlign w:val="center"/>
          </w:tcPr>
          <w:p w14:paraId="180490D7">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完成及时性</w:t>
            </w:r>
          </w:p>
        </w:tc>
        <w:tc>
          <w:tcPr>
            <w:tcW w:w="1209" w:type="dxa"/>
            <w:shd w:val="clear" w:color="auto" w:fill="auto"/>
            <w:vAlign w:val="center"/>
          </w:tcPr>
          <w:p w14:paraId="30A7AC91">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2023年12月31日</w:t>
            </w:r>
          </w:p>
        </w:tc>
        <w:tc>
          <w:tcPr>
            <w:tcW w:w="1138" w:type="dxa"/>
            <w:shd w:val="clear" w:color="auto" w:fill="auto"/>
            <w:vAlign w:val="center"/>
          </w:tcPr>
          <w:p w14:paraId="67EC86DE">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2023您12月31日前完成</w:t>
            </w:r>
          </w:p>
        </w:tc>
        <w:tc>
          <w:tcPr>
            <w:tcW w:w="809" w:type="dxa"/>
            <w:shd w:val="clear" w:color="auto" w:fill="auto"/>
            <w:vAlign w:val="center"/>
          </w:tcPr>
          <w:p w14:paraId="6D8D0B67">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869" w:type="dxa"/>
            <w:shd w:val="clear" w:color="auto" w:fill="auto"/>
            <w:vAlign w:val="center"/>
          </w:tcPr>
          <w:p w14:paraId="5AE1E162">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1413" w:type="dxa"/>
          </w:tcPr>
          <w:p w14:paraId="12A58488">
            <w:pPr>
              <w:pStyle w:val="8"/>
              <w:jc w:val="center"/>
            </w:pPr>
          </w:p>
        </w:tc>
      </w:tr>
      <w:tr w14:paraId="47F99A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1064" w:type="dxa"/>
            <w:vMerge w:val="continue"/>
            <w:tcBorders>
              <w:top w:val="nil"/>
              <w:bottom w:val="nil"/>
            </w:tcBorders>
            <w:textDirection w:val="tbRlV"/>
          </w:tcPr>
          <w:p w14:paraId="351190E9">
            <w:pPr>
              <w:pStyle w:val="8"/>
            </w:pPr>
          </w:p>
        </w:tc>
        <w:tc>
          <w:tcPr>
            <w:tcW w:w="1069" w:type="dxa"/>
            <w:vMerge w:val="continue"/>
            <w:tcBorders>
              <w:top w:val="nil"/>
              <w:bottom w:val="nil"/>
            </w:tcBorders>
          </w:tcPr>
          <w:p w14:paraId="4F4F6733">
            <w:pPr>
              <w:pStyle w:val="8"/>
            </w:pPr>
          </w:p>
        </w:tc>
        <w:tc>
          <w:tcPr>
            <w:tcW w:w="1038" w:type="dxa"/>
            <w:tcBorders>
              <w:bottom w:val="nil"/>
            </w:tcBorders>
          </w:tcPr>
          <w:p w14:paraId="16B060AB">
            <w:pPr>
              <w:spacing w:before="251" w:line="219" w:lineRule="auto"/>
              <w:ind w:left="131"/>
              <w:rPr>
                <w:rFonts w:ascii="宋体" w:hAnsi="宋体" w:eastAsia="宋体" w:cs="宋体"/>
                <w:sz w:val="20"/>
                <w:szCs w:val="20"/>
              </w:rPr>
            </w:pPr>
            <w:r>
              <w:rPr>
                <w:rFonts w:ascii="宋体" w:hAnsi="宋体" w:eastAsia="宋体" w:cs="宋体"/>
                <w:spacing w:val="-2"/>
                <w:sz w:val="20"/>
                <w:szCs w:val="20"/>
              </w:rPr>
              <w:t>成本指标</w:t>
            </w:r>
          </w:p>
        </w:tc>
        <w:tc>
          <w:tcPr>
            <w:tcW w:w="1170" w:type="dxa"/>
            <w:shd w:val="clear" w:color="auto" w:fill="auto"/>
            <w:vAlign w:val="center"/>
          </w:tcPr>
          <w:p w14:paraId="2DF4B3E6">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项目成本</w:t>
            </w:r>
          </w:p>
        </w:tc>
        <w:tc>
          <w:tcPr>
            <w:tcW w:w="1209" w:type="dxa"/>
            <w:shd w:val="clear" w:color="auto" w:fill="auto"/>
            <w:vAlign w:val="center"/>
          </w:tcPr>
          <w:p w14:paraId="1DA67B7E">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4万元</w:t>
            </w:r>
          </w:p>
        </w:tc>
        <w:tc>
          <w:tcPr>
            <w:tcW w:w="1138" w:type="dxa"/>
            <w:shd w:val="clear" w:color="auto" w:fill="auto"/>
            <w:vAlign w:val="center"/>
          </w:tcPr>
          <w:p w14:paraId="42FDF6E2">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不超过4万元</w:t>
            </w:r>
          </w:p>
        </w:tc>
        <w:tc>
          <w:tcPr>
            <w:tcW w:w="809" w:type="dxa"/>
            <w:shd w:val="clear" w:color="auto" w:fill="auto"/>
            <w:vAlign w:val="center"/>
          </w:tcPr>
          <w:p w14:paraId="05D9C584">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869" w:type="dxa"/>
            <w:shd w:val="clear" w:color="auto" w:fill="auto"/>
            <w:vAlign w:val="center"/>
          </w:tcPr>
          <w:p w14:paraId="0B1EE092">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1413" w:type="dxa"/>
          </w:tcPr>
          <w:p w14:paraId="0F321726">
            <w:pPr>
              <w:pStyle w:val="8"/>
              <w:jc w:val="center"/>
            </w:pPr>
          </w:p>
        </w:tc>
      </w:tr>
      <w:tr w14:paraId="249A14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0" w:hRule="atLeast"/>
        </w:trPr>
        <w:tc>
          <w:tcPr>
            <w:tcW w:w="1064" w:type="dxa"/>
            <w:vMerge w:val="continue"/>
            <w:tcBorders>
              <w:top w:val="nil"/>
              <w:bottom w:val="nil"/>
            </w:tcBorders>
            <w:textDirection w:val="tbRlV"/>
          </w:tcPr>
          <w:p w14:paraId="5F84F0A6">
            <w:pPr>
              <w:pStyle w:val="8"/>
            </w:pPr>
          </w:p>
        </w:tc>
        <w:tc>
          <w:tcPr>
            <w:tcW w:w="1069" w:type="dxa"/>
            <w:vMerge w:val="restart"/>
            <w:tcBorders>
              <w:bottom w:val="nil"/>
            </w:tcBorders>
          </w:tcPr>
          <w:p w14:paraId="110D3F3E">
            <w:pPr>
              <w:pStyle w:val="8"/>
              <w:spacing w:line="270" w:lineRule="auto"/>
            </w:pPr>
          </w:p>
          <w:p w14:paraId="20B7D803">
            <w:pPr>
              <w:pStyle w:val="8"/>
              <w:spacing w:line="271" w:lineRule="auto"/>
            </w:pPr>
          </w:p>
          <w:p w14:paraId="71BEDA1E">
            <w:pPr>
              <w:pStyle w:val="8"/>
              <w:spacing w:line="271" w:lineRule="auto"/>
            </w:pPr>
          </w:p>
          <w:p w14:paraId="5E052645">
            <w:pPr>
              <w:pStyle w:val="8"/>
              <w:spacing w:line="271" w:lineRule="auto"/>
            </w:pPr>
          </w:p>
          <w:p w14:paraId="3FB3C154">
            <w:pPr>
              <w:spacing w:before="65" w:line="220" w:lineRule="auto"/>
              <w:ind w:left="120"/>
              <w:rPr>
                <w:rFonts w:ascii="宋体" w:hAnsi="宋体" w:eastAsia="宋体" w:cs="宋体"/>
                <w:sz w:val="20"/>
                <w:szCs w:val="20"/>
              </w:rPr>
            </w:pPr>
            <w:r>
              <w:rPr>
                <w:rFonts w:ascii="宋体" w:hAnsi="宋体" w:eastAsia="宋体" w:cs="宋体"/>
                <w:spacing w:val="1"/>
                <w:sz w:val="20"/>
                <w:szCs w:val="20"/>
              </w:rPr>
              <w:t>效益指标</w:t>
            </w:r>
          </w:p>
          <w:p w14:paraId="6E57CBCA">
            <w:pPr>
              <w:spacing w:before="61" w:line="220" w:lineRule="auto"/>
              <w:ind w:left="220"/>
              <w:rPr>
                <w:rFonts w:ascii="宋体" w:hAnsi="宋体" w:eastAsia="宋体" w:cs="宋体"/>
                <w:sz w:val="20"/>
                <w:szCs w:val="20"/>
              </w:rPr>
            </w:pPr>
            <w:r>
              <w:rPr>
                <w:rFonts w:ascii="宋体" w:hAnsi="宋体" w:eastAsia="宋体" w:cs="宋体"/>
                <w:spacing w:val="8"/>
                <w:sz w:val="20"/>
                <w:szCs w:val="20"/>
              </w:rPr>
              <w:t>(30分)</w:t>
            </w:r>
          </w:p>
        </w:tc>
        <w:tc>
          <w:tcPr>
            <w:tcW w:w="1038" w:type="dxa"/>
            <w:tcBorders>
              <w:bottom w:val="nil"/>
            </w:tcBorders>
          </w:tcPr>
          <w:p w14:paraId="583D2CCF">
            <w:pPr>
              <w:spacing w:before="134" w:line="230" w:lineRule="auto"/>
              <w:ind w:left="231" w:right="246"/>
              <w:rPr>
                <w:rFonts w:ascii="宋体" w:hAnsi="宋体" w:eastAsia="宋体" w:cs="宋体"/>
                <w:sz w:val="20"/>
                <w:szCs w:val="20"/>
              </w:rPr>
            </w:pPr>
            <w:r>
              <w:rPr>
                <w:rFonts w:ascii="宋体" w:hAnsi="宋体" w:eastAsia="宋体" w:cs="宋体"/>
                <w:spacing w:val="-4"/>
                <w:sz w:val="20"/>
                <w:szCs w:val="20"/>
              </w:rPr>
              <w:t>经济效益指标</w:t>
            </w:r>
          </w:p>
        </w:tc>
        <w:tc>
          <w:tcPr>
            <w:tcW w:w="1170" w:type="dxa"/>
            <w:shd w:val="clear" w:color="auto" w:fill="auto"/>
            <w:vAlign w:val="center"/>
          </w:tcPr>
          <w:p w14:paraId="7AD969D0">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对经济发展影响</w:t>
            </w:r>
          </w:p>
        </w:tc>
        <w:tc>
          <w:tcPr>
            <w:tcW w:w="1209" w:type="dxa"/>
            <w:shd w:val="clear" w:color="auto" w:fill="auto"/>
            <w:vAlign w:val="center"/>
          </w:tcPr>
          <w:p w14:paraId="3C19EDAB">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正向影响</w:t>
            </w:r>
          </w:p>
        </w:tc>
        <w:tc>
          <w:tcPr>
            <w:tcW w:w="1138" w:type="dxa"/>
            <w:shd w:val="clear" w:color="auto" w:fill="auto"/>
            <w:vAlign w:val="center"/>
          </w:tcPr>
          <w:p w14:paraId="694535DF">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间接产生正向影响</w:t>
            </w:r>
          </w:p>
        </w:tc>
        <w:tc>
          <w:tcPr>
            <w:tcW w:w="809" w:type="dxa"/>
            <w:shd w:val="clear" w:color="auto" w:fill="auto"/>
            <w:vAlign w:val="center"/>
          </w:tcPr>
          <w:p w14:paraId="50ECD561">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869" w:type="dxa"/>
            <w:shd w:val="clear" w:color="auto" w:fill="auto"/>
            <w:vAlign w:val="center"/>
          </w:tcPr>
          <w:p w14:paraId="507CAF6B">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zh-CN"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1413" w:type="dxa"/>
          </w:tcPr>
          <w:p w14:paraId="70182A70">
            <w:pPr>
              <w:pStyle w:val="8"/>
              <w:jc w:val="center"/>
            </w:pPr>
          </w:p>
        </w:tc>
      </w:tr>
      <w:tr w14:paraId="09393F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0" w:hRule="atLeast"/>
        </w:trPr>
        <w:tc>
          <w:tcPr>
            <w:tcW w:w="1064" w:type="dxa"/>
            <w:vMerge w:val="continue"/>
            <w:tcBorders>
              <w:top w:val="nil"/>
              <w:bottom w:val="nil"/>
            </w:tcBorders>
            <w:textDirection w:val="tbRlV"/>
          </w:tcPr>
          <w:p w14:paraId="0EC6E73D">
            <w:pPr>
              <w:pStyle w:val="8"/>
            </w:pPr>
          </w:p>
        </w:tc>
        <w:tc>
          <w:tcPr>
            <w:tcW w:w="1069" w:type="dxa"/>
            <w:vMerge w:val="continue"/>
            <w:tcBorders>
              <w:top w:val="nil"/>
              <w:bottom w:val="nil"/>
            </w:tcBorders>
          </w:tcPr>
          <w:p w14:paraId="73DB0F24">
            <w:pPr>
              <w:pStyle w:val="8"/>
            </w:pPr>
          </w:p>
        </w:tc>
        <w:tc>
          <w:tcPr>
            <w:tcW w:w="1038" w:type="dxa"/>
            <w:tcBorders>
              <w:bottom w:val="nil"/>
            </w:tcBorders>
          </w:tcPr>
          <w:p w14:paraId="1149CC35">
            <w:pPr>
              <w:spacing w:before="132" w:line="231" w:lineRule="auto"/>
              <w:ind w:left="231" w:right="246"/>
              <w:rPr>
                <w:rFonts w:ascii="宋体" w:hAnsi="宋体" w:eastAsia="宋体" w:cs="宋体"/>
                <w:sz w:val="20"/>
                <w:szCs w:val="20"/>
              </w:rPr>
            </w:pPr>
            <w:r>
              <w:rPr>
                <w:rFonts w:ascii="宋体" w:hAnsi="宋体" w:eastAsia="宋体" w:cs="宋体"/>
                <w:spacing w:val="-4"/>
                <w:sz w:val="20"/>
                <w:szCs w:val="20"/>
              </w:rPr>
              <w:t>社会效益指标</w:t>
            </w:r>
          </w:p>
        </w:tc>
        <w:tc>
          <w:tcPr>
            <w:tcW w:w="1170" w:type="dxa"/>
            <w:shd w:val="clear" w:color="auto" w:fill="auto"/>
            <w:vAlign w:val="center"/>
          </w:tcPr>
          <w:p w14:paraId="1DEE3F42">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对经济的发展的支持</w:t>
            </w:r>
          </w:p>
        </w:tc>
        <w:tc>
          <w:tcPr>
            <w:tcW w:w="1209" w:type="dxa"/>
            <w:shd w:val="clear" w:color="auto" w:fill="auto"/>
            <w:vAlign w:val="center"/>
          </w:tcPr>
          <w:p w14:paraId="363D55FE">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效果明显</w:t>
            </w:r>
          </w:p>
        </w:tc>
        <w:tc>
          <w:tcPr>
            <w:tcW w:w="1138" w:type="dxa"/>
            <w:shd w:val="clear" w:color="auto" w:fill="auto"/>
            <w:vAlign w:val="center"/>
          </w:tcPr>
          <w:p w14:paraId="6A06C090">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保障部门正常运转</w:t>
            </w:r>
          </w:p>
        </w:tc>
        <w:tc>
          <w:tcPr>
            <w:tcW w:w="809" w:type="dxa"/>
            <w:shd w:val="clear" w:color="auto" w:fill="auto"/>
            <w:vAlign w:val="center"/>
          </w:tcPr>
          <w:p w14:paraId="0C846B98">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15</w:t>
            </w:r>
          </w:p>
        </w:tc>
        <w:tc>
          <w:tcPr>
            <w:tcW w:w="869" w:type="dxa"/>
            <w:shd w:val="clear" w:color="auto" w:fill="auto"/>
            <w:vAlign w:val="center"/>
          </w:tcPr>
          <w:p w14:paraId="6EE96CAA">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15</w:t>
            </w:r>
          </w:p>
        </w:tc>
        <w:tc>
          <w:tcPr>
            <w:tcW w:w="1413" w:type="dxa"/>
          </w:tcPr>
          <w:p w14:paraId="513246C7">
            <w:pPr>
              <w:pStyle w:val="8"/>
              <w:jc w:val="center"/>
            </w:pPr>
          </w:p>
        </w:tc>
      </w:tr>
      <w:tr w14:paraId="7F3EBA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8" w:hRule="atLeast"/>
        </w:trPr>
        <w:tc>
          <w:tcPr>
            <w:tcW w:w="1064" w:type="dxa"/>
            <w:vMerge w:val="continue"/>
            <w:tcBorders>
              <w:top w:val="nil"/>
              <w:bottom w:val="nil"/>
            </w:tcBorders>
            <w:textDirection w:val="tbRlV"/>
          </w:tcPr>
          <w:p w14:paraId="161FCABC">
            <w:pPr>
              <w:pStyle w:val="8"/>
            </w:pPr>
          </w:p>
        </w:tc>
        <w:tc>
          <w:tcPr>
            <w:tcW w:w="1069" w:type="dxa"/>
            <w:vMerge w:val="continue"/>
            <w:tcBorders>
              <w:top w:val="nil"/>
              <w:bottom w:val="nil"/>
            </w:tcBorders>
          </w:tcPr>
          <w:p w14:paraId="0DC50EE6">
            <w:pPr>
              <w:pStyle w:val="8"/>
            </w:pPr>
          </w:p>
        </w:tc>
        <w:tc>
          <w:tcPr>
            <w:tcW w:w="1038" w:type="dxa"/>
            <w:tcBorders>
              <w:bottom w:val="nil"/>
            </w:tcBorders>
          </w:tcPr>
          <w:p w14:paraId="4A7C5862">
            <w:pPr>
              <w:keepNext w:val="0"/>
              <w:keepLines w:val="0"/>
              <w:pageBreakBefore w:val="0"/>
              <w:widowControl/>
              <w:kinsoku w:val="0"/>
              <w:wordWrap/>
              <w:overflowPunct/>
              <w:topLinePunct w:val="0"/>
              <w:autoSpaceDE w:val="0"/>
              <w:autoSpaceDN w:val="0"/>
              <w:bidi w:val="0"/>
              <w:adjustRightInd w:val="0"/>
              <w:snapToGrid w:val="0"/>
              <w:spacing w:before="115" w:line="226" w:lineRule="auto"/>
              <w:ind w:left="232" w:right="244"/>
              <w:textAlignment w:val="baseline"/>
              <w:rPr>
                <w:rFonts w:ascii="宋体" w:hAnsi="宋体" w:eastAsia="宋体" w:cs="宋体"/>
                <w:sz w:val="20"/>
                <w:szCs w:val="20"/>
              </w:rPr>
            </w:pPr>
            <w:r>
              <w:rPr>
                <w:rFonts w:ascii="宋体" w:hAnsi="宋体" w:eastAsia="宋体" w:cs="宋体"/>
                <w:spacing w:val="-4"/>
                <w:sz w:val="20"/>
                <w:szCs w:val="20"/>
              </w:rPr>
              <w:t>生态效益指标</w:t>
            </w:r>
          </w:p>
        </w:tc>
        <w:tc>
          <w:tcPr>
            <w:tcW w:w="1170" w:type="dxa"/>
            <w:shd w:val="clear" w:color="auto" w:fill="auto"/>
            <w:vAlign w:val="center"/>
          </w:tcPr>
          <w:p w14:paraId="447E780C">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生态效益情况</w:t>
            </w:r>
          </w:p>
        </w:tc>
        <w:tc>
          <w:tcPr>
            <w:tcW w:w="1209" w:type="dxa"/>
            <w:shd w:val="clear" w:color="auto" w:fill="auto"/>
            <w:vAlign w:val="center"/>
          </w:tcPr>
          <w:p w14:paraId="5EA22535">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效果明显</w:t>
            </w:r>
          </w:p>
        </w:tc>
        <w:tc>
          <w:tcPr>
            <w:tcW w:w="1138" w:type="dxa"/>
            <w:shd w:val="clear" w:color="auto" w:fill="auto"/>
            <w:vAlign w:val="center"/>
          </w:tcPr>
          <w:p w14:paraId="5EE2150E">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对生态环境带来好的间接影响</w:t>
            </w:r>
          </w:p>
        </w:tc>
        <w:tc>
          <w:tcPr>
            <w:tcW w:w="809" w:type="dxa"/>
            <w:shd w:val="clear" w:color="auto" w:fill="auto"/>
            <w:vAlign w:val="center"/>
          </w:tcPr>
          <w:p w14:paraId="0A760FC1">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869" w:type="dxa"/>
            <w:shd w:val="clear" w:color="auto" w:fill="auto"/>
            <w:vAlign w:val="center"/>
          </w:tcPr>
          <w:p w14:paraId="511AFC36">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8</w:t>
            </w:r>
          </w:p>
        </w:tc>
        <w:tc>
          <w:tcPr>
            <w:tcW w:w="1413" w:type="dxa"/>
          </w:tcPr>
          <w:p w14:paraId="4B096114">
            <w:pPr>
              <w:pStyle w:val="8"/>
              <w:jc w:val="center"/>
              <w:rPr>
                <w:rFonts w:hint="eastAsia" w:eastAsia="宋体"/>
                <w:lang w:eastAsia="zh-CN"/>
              </w:rPr>
            </w:pPr>
            <w:r>
              <w:rPr>
                <w:rFonts w:hint="eastAsia" w:eastAsia="宋体"/>
                <w:lang w:eastAsia="zh-CN"/>
              </w:rPr>
              <w:t>偏差原因：生态效益不明显；改进措施：加强正向影响</w:t>
            </w:r>
          </w:p>
        </w:tc>
      </w:tr>
      <w:tr w14:paraId="1C9C9E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1064" w:type="dxa"/>
            <w:vMerge w:val="continue"/>
            <w:tcBorders>
              <w:top w:val="nil"/>
              <w:bottom w:val="nil"/>
            </w:tcBorders>
            <w:textDirection w:val="tbRlV"/>
          </w:tcPr>
          <w:p w14:paraId="21D77018">
            <w:pPr>
              <w:pStyle w:val="8"/>
            </w:pPr>
          </w:p>
        </w:tc>
        <w:tc>
          <w:tcPr>
            <w:tcW w:w="1069" w:type="dxa"/>
            <w:vMerge w:val="continue"/>
            <w:tcBorders>
              <w:top w:val="nil"/>
              <w:bottom w:val="nil"/>
            </w:tcBorders>
          </w:tcPr>
          <w:p w14:paraId="1A0EA34E">
            <w:pPr>
              <w:pStyle w:val="8"/>
            </w:pPr>
          </w:p>
        </w:tc>
        <w:tc>
          <w:tcPr>
            <w:tcW w:w="1038" w:type="dxa"/>
            <w:tcBorders>
              <w:bottom w:val="nil"/>
            </w:tcBorders>
          </w:tcPr>
          <w:p w14:paraId="41FF8F4D">
            <w:pPr>
              <w:spacing w:before="106" w:line="219" w:lineRule="auto"/>
              <w:ind w:left="131"/>
              <w:rPr>
                <w:rFonts w:ascii="宋体" w:hAnsi="宋体" w:eastAsia="宋体" w:cs="宋体"/>
                <w:sz w:val="20"/>
                <w:szCs w:val="20"/>
              </w:rPr>
            </w:pPr>
            <w:r>
              <w:rPr>
                <w:rFonts w:ascii="宋体" w:hAnsi="宋体" w:eastAsia="宋体" w:cs="宋体"/>
                <w:spacing w:val="-2"/>
                <w:sz w:val="20"/>
                <w:szCs w:val="20"/>
              </w:rPr>
              <w:t>可持续影</w:t>
            </w:r>
          </w:p>
          <w:p w14:paraId="5878FFEC">
            <w:pPr>
              <w:spacing w:before="63" w:line="220" w:lineRule="auto"/>
              <w:ind w:left="231"/>
              <w:rPr>
                <w:rFonts w:ascii="宋体" w:hAnsi="宋体" w:eastAsia="宋体" w:cs="宋体"/>
                <w:sz w:val="20"/>
                <w:szCs w:val="20"/>
              </w:rPr>
            </w:pPr>
            <w:r>
              <w:rPr>
                <w:rFonts w:ascii="宋体" w:hAnsi="宋体" w:eastAsia="宋体" w:cs="宋体"/>
                <w:spacing w:val="2"/>
                <w:sz w:val="20"/>
                <w:szCs w:val="20"/>
              </w:rPr>
              <w:t>响指标</w:t>
            </w:r>
          </w:p>
        </w:tc>
        <w:tc>
          <w:tcPr>
            <w:tcW w:w="1170" w:type="dxa"/>
            <w:shd w:val="clear" w:color="auto" w:fill="auto"/>
            <w:vAlign w:val="center"/>
          </w:tcPr>
          <w:p w14:paraId="184C9028">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切实有效管理和规范各项收支</w:t>
            </w:r>
          </w:p>
        </w:tc>
        <w:tc>
          <w:tcPr>
            <w:tcW w:w="1209" w:type="dxa"/>
            <w:shd w:val="clear" w:color="auto" w:fill="auto"/>
            <w:vAlign w:val="center"/>
          </w:tcPr>
          <w:p w14:paraId="0670C715">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效果显著</w:t>
            </w:r>
          </w:p>
        </w:tc>
        <w:tc>
          <w:tcPr>
            <w:tcW w:w="1138" w:type="dxa"/>
            <w:shd w:val="clear" w:color="auto" w:fill="auto"/>
            <w:vAlign w:val="center"/>
          </w:tcPr>
          <w:p w14:paraId="578DCE79">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正向影响可持续</w:t>
            </w:r>
          </w:p>
        </w:tc>
        <w:tc>
          <w:tcPr>
            <w:tcW w:w="809" w:type="dxa"/>
            <w:shd w:val="clear" w:color="auto" w:fill="auto"/>
            <w:vAlign w:val="center"/>
          </w:tcPr>
          <w:p w14:paraId="263B146F">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zh-CN" w:bidi="ar-SA"/>
              </w:rPr>
            </w:pPr>
            <w:r>
              <w:rPr>
                <w:rFonts w:hint="eastAsia" w:ascii="宋体" w:hAnsi="宋体" w:eastAsia="宋体" w:cs="宋体"/>
                <w:i w:val="0"/>
                <w:iCs w:val="0"/>
                <w:snapToGrid w:val="0"/>
                <w:color w:val="000000"/>
                <w:sz w:val="20"/>
                <w:szCs w:val="20"/>
                <w:u w:val="none"/>
                <w:lang w:val="en-US" w:eastAsia="zh-CN" w:bidi="ar-SA"/>
              </w:rPr>
              <w:t>15</w:t>
            </w:r>
          </w:p>
        </w:tc>
        <w:tc>
          <w:tcPr>
            <w:tcW w:w="869" w:type="dxa"/>
            <w:shd w:val="clear" w:color="auto" w:fill="auto"/>
            <w:vAlign w:val="center"/>
          </w:tcPr>
          <w:p w14:paraId="27688198">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15</w:t>
            </w:r>
          </w:p>
        </w:tc>
        <w:tc>
          <w:tcPr>
            <w:tcW w:w="1413" w:type="dxa"/>
          </w:tcPr>
          <w:p w14:paraId="1C56287C">
            <w:pPr>
              <w:pStyle w:val="8"/>
              <w:jc w:val="center"/>
            </w:pPr>
          </w:p>
        </w:tc>
      </w:tr>
      <w:tr w14:paraId="6B17B2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8" w:hRule="atLeast"/>
        </w:trPr>
        <w:tc>
          <w:tcPr>
            <w:tcW w:w="1064" w:type="dxa"/>
            <w:vMerge w:val="continue"/>
            <w:tcBorders>
              <w:top w:val="nil"/>
              <w:bottom w:val="nil"/>
            </w:tcBorders>
            <w:textDirection w:val="tbRlV"/>
          </w:tcPr>
          <w:p w14:paraId="6304130D">
            <w:pPr>
              <w:pStyle w:val="8"/>
            </w:pPr>
          </w:p>
        </w:tc>
        <w:tc>
          <w:tcPr>
            <w:tcW w:w="1069" w:type="dxa"/>
            <w:tcBorders>
              <w:bottom w:val="nil"/>
            </w:tcBorders>
          </w:tcPr>
          <w:p w14:paraId="7BBC9122">
            <w:pPr>
              <w:spacing w:before="36" w:line="219" w:lineRule="auto"/>
              <w:ind w:left="220"/>
              <w:rPr>
                <w:rFonts w:ascii="宋体" w:hAnsi="宋体" w:eastAsia="宋体" w:cs="宋体"/>
                <w:sz w:val="20"/>
                <w:szCs w:val="20"/>
              </w:rPr>
            </w:pPr>
            <w:r>
              <w:rPr>
                <w:rFonts w:ascii="宋体" w:hAnsi="宋体" w:eastAsia="宋体" w:cs="宋体"/>
                <w:spacing w:val="-2"/>
                <w:sz w:val="20"/>
                <w:szCs w:val="20"/>
              </w:rPr>
              <w:t>满意度</w:t>
            </w:r>
          </w:p>
          <w:p w14:paraId="75C0E365">
            <w:pPr>
              <w:spacing w:before="73" w:line="220" w:lineRule="auto"/>
              <w:ind w:left="320"/>
              <w:rPr>
                <w:rFonts w:ascii="宋体" w:hAnsi="宋体" w:eastAsia="宋体" w:cs="宋体"/>
                <w:sz w:val="20"/>
                <w:szCs w:val="20"/>
              </w:rPr>
            </w:pPr>
            <w:r>
              <w:rPr>
                <w:rFonts w:ascii="宋体" w:hAnsi="宋体" w:eastAsia="宋体" w:cs="宋体"/>
                <w:spacing w:val="-3"/>
                <w:sz w:val="20"/>
                <w:szCs w:val="20"/>
              </w:rPr>
              <w:t>指标</w:t>
            </w:r>
          </w:p>
          <w:p w14:paraId="4A22B990">
            <w:pPr>
              <w:spacing w:before="41" w:line="186" w:lineRule="auto"/>
              <w:ind w:left="220"/>
              <w:rPr>
                <w:rFonts w:ascii="宋体" w:hAnsi="宋体" w:eastAsia="宋体" w:cs="宋体"/>
                <w:sz w:val="20"/>
                <w:szCs w:val="20"/>
              </w:rPr>
            </w:pPr>
            <w:r>
              <w:rPr>
                <w:rFonts w:ascii="宋体" w:hAnsi="宋体" w:eastAsia="宋体" w:cs="宋体"/>
                <w:spacing w:val="8"/>
                <w:sz w:val="20"/>
                <w:szCs w:val="20"/>
              </w:rPr>
              <w:t>(10分)</w:t>
            </w:r>
          </w:p>
        </w:tc>
        <w:tc>
          <w:tcPr>
            <w:tcW w:w="1038" w:type="dxa"/>
            <w:tcBorders>
              <w:bottom w:val="nil"/>
            </w:tcBorders>
          </w:tcPr>
          <w:p w14:paraId="4981200A">
            <w:pPr>
              <w:spacing w:before="46" w:line="219" w:lineRule="auto"/>
              <w:ind w:left="131"/>
              <w:rPr>
                <w:rFonts w:ascii="宋体" w:hAnsi="宋体" w:eastAsia="宋体" w:cs="宋体"/>
                <w:sz w:val="20"/>
                <w:szCs w:val="20"/>
              </w:rPr>
            </w:pPr>
            <w:r>
              <w:rPr>
                <w:rFonts w:ascii="宋体" w:hAnsi="宋体" w:eastAsia="宋体" w:cs="宋体"/>
                <w:spacing w:val="-2"/>
                <w:sz w:val="20"/>
                <w:szCs w:val="20"/>
              </w:rPr>
              <w:t>服务对象</w:t>
            </w:r>
          </w:p>
          <w:p w14:paraId="4DD808C1">
            <w:pPr>
              <w:spacing w:before="62" w:line="219" w:lineRule="auto"/>
              <w:ind w:left="131"/>
              <w:rPr>
                <w:rFonts w:ascii="宋体" w:hAnsi="宋体" w:eastAsia="宋体" w:cs="宋体"/>
                <w:sz w:val="20"/>
                <w:szCs w:val="20"/>
              </w:rPr>
            </w:pPr>
            <w:r>
              <w:rPr>
                <w:rFonts w:ascii="宋体" w:hAnsi="宋体" w:eastAsia="宋体" w:cs="宋体"/>
                <w:spacing w:val="3"/>
                <w:sz w:val="20"/>
                <w:szCs w:val="20"/>
              </w:rPr>
              <w:t>满意度指</w:t>
            </w:r>
          </w:p>
          <w:p w14:paraId="6AC3CA0E">
            <w:pPr>
              <w:spacing w:before="53" w:line="176" w:lineRule="auto"/>
              <w:ind w:left="431"/>
              <w:rPr>
                <w:rFonts w:ascii="宋体" w:hAnsi="宋体" w:eastAsia="宋体" w:cs="宋体"/>
                <w:sz w:val="20"/>
                <w:szCs w:val="20"/>
              </w:rPr>
            </w:pPr>
            <w:r>
              <w:rPr>
                <w:rFonts w:ascii="宋体" w:hAnsi="宋体" w:eastAsia="宋体" w:cs="宋体"/>
                <w:sz w:val="20"/>
                <w:szCs w:val="20"/>
              </w:rPr>
              <w:t>标</w:t>
            </w:r>
          </w:p>
        </w:tc>
        <w:tc>
          <w:tcPr>
            <w:tcW w:w="1170" w:type="dxa"/>
            <w:shd w:val="clear" w:color="auto" w:fill="auto"/>
            <w:vAlign w:val="center"/>
          </w:tcPr>
          <w:p w14:paraId="4FF9C0CB">
            <w:pPr>
              <w:keepNext w:val="0"/>
              <w:keepLines w:val="0"/>
              <w:widowControl/>
              <w:suppressLineNumbers w:val="0"/>
              <w:jc w:val="center"/>
              <w:textAlignment w:val="center"/>
              <w:rPr>
                <w:rFonts w:hint="eastAsia"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服务对象满意率</w:t>
            </w:r>
          </w:p>
        </w:tc>
        <w:tc>
          <w:tcPr>
            <w:tcW w:w="1209" w:type="dxa"/>
            <w:shd w:val="clear" w:color="auto" w:fill="auto"/>
            <w:vAlign w:val="center"/>
          </w:tcPr>
          <w:p w14:paraId="59B47AFE">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90%</w:t>
            </w:r>
          </w:p>
        </w:tc>
        <w:tc>
          <w:tcPr>
            <w:tcW w:w="1138" w:type="dxa"/>
            <w:shd w:val="clear" w:color="auto" w:fill="auto"/>
            <w:vAlign w:val="center"/>
          </w:tcPr>
          <w:p w14:paraId="5A1170CF">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90%以上</w:t>
            </w:r>
          </w:p>
        </w:tc>
        <w:tc>
          <w:tcPr>
            <w:tcW w:w="809" w:type="dxa"/>
            <w:shd w:val="clear" w:color="auto" w:fill="auto"/>
            <w:vAlign w:val="center"/>
          </w:tcPr>
          <w:p w14:paraId="55115DD2">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869" w:type="dxa"/>
            <w:shd w:val="clear" w:color="auto" w:fill="auto"/>
            <w:vAlign w:val="center"/>
          </w:tcPr>
          <w:p w14:paraId="539553F4">
            <w:pPr>
              <w:keepNext w:val="0"/>
              <w:keepLines w:val="0"/>
              <w:widowControl/>
              <w:suppressLineNumbers w:val="0"/>
              <w:jc w:val="center"/>
              <w:textAlignment w:val="center"/>
              <w:rPr>
                <w:rFonts w:hint="default" w:ascii="宋体" w:hAnsi="宋体" w:eastAsia="宋体" w:cs="宋体"/>
                <w:i w:val="0"/>
                <w:iCs w:val="0"/>
                <w:snapToGrid w:val="0"/>
                <w:color w:val="000000"/>
                <w:sz w:val="20"/>
                <w:szCs w:val="20"/>
                <w:u w:val="none"/>
                <w:lang w:val="en-US" w:eastAsia="en-US" w:bidi="ar-SA"/>
              </w:rPr>
            </w:pPr>
            <w:r>
              <w:rPr>
                <w:rFonts w:hint="eastAsia" w:ascii="宋体" w:hAnsi="宋体" w:eastAsia="宋体" w:cs="宋体"/>
                <w:i w:val="0"/>
                <w:iCs w:val="0"/>
                <w:snapToGrid w:val="0"/>
                <w:color w:val="000000"/>
                <w:kern w:val="0"/>
                <w:sz w:val="20"/>
                <w:szCs w:val="20"/>
                <w:u w:val="none"/>
                <w:lang w:val="en-US" w:eastAsia="zh-CN" w:bidi="ar"/>
              </w:rPr>
              <w:t>10</w:t>
            </w:r>
          </w:p>
        </w:tc>
        <w:tc>
          <w:tcPr>
            <w:tcW w:w="1413" w:type="dxa"/>
          </w:tcPr>
          <w:p w14:paraId="453B1DAE">
            <w:pPr>
              <w:pStyle w:val="8"/>
              <w:jc w:val="center"/>
            </w:pPr>
          </w:p>
        </w:tc>
      </w:tr>
      <w:tr w14:paraId="4A5BF1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6688" w:type="dxa"/>
            <w:gridSpan w:val="6"/>
          </w:tcPr>
          <w:p w14:paraId="26119546">
            <w:pPr>
              <w:spacing w:before="78" w:line="220" w:lineRule="auto"/>
              <w:ind w:left="3144"/>
              <w:rPr>
                <w:rFonts w:ascii="宋体" w:hAnsi="宋体" w:eastAsia="宋体" w:cs="宋体"/>
                <w:sz w:val="20"/>
                <w:szCs w:val="20"/>
              </w:rPr>
            </w:pPr>
            <w:r>
              <w:rPr>
                <w:rFonts w:ascii="宋体" w:hAnsi="宋体" w:eastAsia="宋体" w:cs="宋体"/>
                <w:spacing w:val="4"/>
                <w:sz w:val="20"/>
                <w:szCs w:val="20"/>
              </w:rPr>
              <w:t>总分</w:t>
            </w:r>
          </w:p>
        </w:tc>
        <w:tc>
          <w:tcPr>
            <w:tcW w:w="809" w:type="dxa"/>
          </w:tcPr>
          <w:p w14:paraId="71BAA8E5">
            <w:pPr>
              <w:spacing w:before="128" w:line="184" w:lineRule="auto"/>
              <w:ind w:left="246"/>
              <w:rPr>
                <w:rFonts w:ascii="宋体" w:hAnsi="宋体" w:eastAsia="宋体" w:cs="宋体"/>
                <w:sz w:val="20"/>
                <w:szCs w:val="20"/>
              </w:rPr>
            </w:pPr>
            <w:r>
              <w:rPr>
                <w:rFonts w:ascii="宋体" w:hAnsi="宋体" w:eastAsia="宋体" w:cs="宋体"/>
                <w:spacing w:val="-6"/>
                <w:sz w:val="20"/>
                <w:szCs w:val="20"/>
              </w:rPr>
              <w:t>100</w:t>
            </w:r>
          </w:p>
        </w:tc>
        <w:tc>
          <w:tcPr>
            <w:tcW w:w="869" w:type="dxa"/>
          </w:tcPr>
          <w:p w14:paraId="33DBE9DA">
            <w:pPr>
              <w:pStyle w:val="8"/>
              <w:keepNext w:val="0"/>
              <w:keepLines w:val="0"/>
              <w:pageBreakBefore w:val="0"/>
              <w:widowControl/>
              <w:kinsoku w:val="0"/>
              <w:wordWrap/>
              <w:overflowPunct/>
              <w:topLinePunct w:val="0"/>
              <w:autoSpaceDE w:val="0"/>
              <w:autoSpaceDN w:val="0"/>
              <w:bidi w:val="0"/>
              <w:adjustRightInd w:val="0"/>
              <w:snapToGrid w:val="0"/>
              <w:spacing w:before="120"/>
              <w:jc w:val="center"/>
              <w:textAlignment w:val="baseline"/>
              <w:rPr>
                <w:rFonts w:hint="default" w:eastAsia="宋体"/>
                <w:lang w:val="en-US" w:eastAsia="zh-CN"/>
              </w:rPr>
            </w:pPr>
            <w:r>
              <w:rPr>
                <w:rFonts w:hint="eastAsia" w:eastAsia="宋体"/>
                <w:lang w:val="en-US" w:eastAsia="zh-CN"/>
              </w:rPr>
              <w:t>98</w:t>
            </w:r>
          </w:p>
        </w:tc>
        <w:tc>
          <w:tcPr>
            <w:tcW w:w="1413" w:type="dxa"/>
          </w:tcPr>
          <w:p w14:paraId="0C8F9ADE">
            <w:pPr>
              <w:pStyle w:val="8"/>
            </w:pPr>
          </w:p>
        </w:tc>
      </w:tr>
    </w:tbl>
    <w:p w14:paraId="06A0315F">
      <w:pPr>
        <w:pStyle w:val="2"/>
        <w:spacing w:before="12" w:line="285" w:lineRule="auto"/>
        <w:ind w:right="285"/>
        <w:rPr>
          <w:rFonts w:hint="default" w:ascii="宋体" w:hAnsi="宋体" w:eastAsia="宋体" w:cs="宋体"/>
          <w:sz w:val="21"/>
          <w:szCs w:val="21"/>
          <w:lang w:val="en-US" w:eastAsia="zh-CN"/>
        </w:rPr>
      </w:pPr>
      <w:r>
        <w:rPr>
          <w:rFonts w:ascii="宋体" w:hAnsi="宋体" w:eastAsia="宋体" w:cs="宋体"/>
          <w:sz w:val="21"/>
          <w:szCs w:val="21"/>
          <w:lang w:eastAsia="zh-CN"/>
        </w:rPr>
        <w:t>填表人：</w:t>
      </w:r>
      <w:r>
        <w:rPr>
          <w:rFonts w:hint="eastAsia" w:ascii="宋体" w:hAnsi="宋体" w:eastAsia="宋体" w:cs="宋体"/>
          <w:sz w:val="21"/>
          <w:szCs w:val="21"/>
          <w:lang w:eastAsia="zh-CN"/>
        </w:rPr>
        <w:t>丁乙</w:t>
      </w:r>
      <w:r>
        <w:rPr>
          <w:rFonts w:hint="eastAsia" w:ascii="宋体" w:hAnsi="宋体" w:eastAsia="宋体" w:cs="宋体"/>
          <w:sz w:val="21"/>
          <w:szCs w:val="21"/>
          <w:lang w:val="en-US" w:eastAsia="zh-CN"/>
        </w:rPr>
        <w:t xml:space="preserve">  </w:t>
      </w:r>
      <w:r>
        <w:rPr>
          <w:rFonts w:ascii="宋体" w:hAnsi="宋体" w:eastAsia="宋体" w:cs="宋体"/>
          <w:sz w:val="21"/>
          <w:szCs w:val="21"/>
          <w:lang w:eastAsia="zh-CN"/>
        </w:rPr>
        <w:t>填报日期：</w:t>
      </w:r>
      <w:r>
        <w:rPr>
          <w:rFonts w:hint="eastAsia" w:ascii="宋体" w:hAnsi="宋体" w:eastAsia="宋体" w:cs="宋体"/>
          <w:sz w:val="21"/>
          <w:szCs w:val="21"/>
          <w:lang w:val="en-US" w:eastAsia="zh-CN"/>
        </w:rPr>
        <w:t xml:space="preserve">2024年10月16日  </w:t>
      </w:r>
      <w:r>
        <w:rPr>
          <w:rFonts w:ascii="宋体" w:hAnsi="宋体" w:eastAsia="宋体" w:cs="宋体"/>
          <w:sz w:val="21"/>
          <w:szCs w:val="21"/>
          <w:lang w:eastAsia="zh-CN"/>
        </w:rPr>
        <w:t>联系电话：</w:t>
      </w:r>
      <w:r>
        <w:rPr>
          <w:rFonts w:hint="eastAsia" w:ascii="宋体" w:hAnsi="宋体" w:eastAsia="宋体" w:cs="宋体"/>
          <w:sz w:val="21"/>
          <w:szCs w:val="21"/>
          <w:lang w:val="en-US" w:eastAsia="zh-CN"/>
        </w:rPr>
        <w:t>15259181837</w:t>
      </w:r>
    </w:p>
    <w:sectPr>
      <w:pgSz w:w="11900" w:h="16838"/>
      <w:pgMar w:top="1417" w:right="1474" w:bottom="1417" w:left="1474" w:header="0" w:footer="947" w:gutter="0"/>
      <w:pgNumType w:fmt="numberInDash"/>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861019"/>
      <w:docPartObj>
        <w:docPartGallery w:val="autotext"/>
      </w:docPartObj>
    </w:sdtPr>
    <w:sdtContent>
      <w:p w14:paraId="174D899D">
        <w:pPr>
          <w:pStyle w:val="3"/>
          <w:jc w:val="center"/>
        </w:pPr>
        <w:r>
          <w:fldChar w:fldCharType="begin"/>
        </w:r>
        <w:r>
          <w:instrText xml:space="preserve"> PAGE   \* MERGEFORMAT </w:instrText>
        </w:r>
        <w:r>
          <w:fldChar w:fldCharType="separate"/>
        </w:r>
        <w:r>
          <w:rPr>
            <w:lang w:val="zh-CN"/>
          </w:rPr>
          <w:t>-</w:t>
        </w:r>
        <w:r>
          <w:t xml:space="preserve"> 3 -</w:t>
        </w:r>
        <w:r>
          <w:fldChar w:fldCharType="end"/>
        </w:r>
      </w:p>
    </w:sdtContent>
  </w:sdt>
  <w:p w14:paraId="4B4FC771">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5A95F9">
    <w:pPr>
      <w:pStyle w:val="3"/>
      <w:jc w:val="center"/>
    </w:pPr>
    <w:r>
      <w:fldChar w:fldCharType="begin"/>
    </w:r>
    <w:r>
      <w:instrText xml:space="preserve"> PAGE   \* MERGEFORMAT </w:instrText>
    </w:r>
    <w:r>
      <w:fldChar w:fldCharType="separate"/>
    </w:r>
    <w:r>
      <w:rPr>
        <w:lang w:val="zh-CN"/>
      </w:rPr>
      <w:t>-</w:t>
    </w:r>
    <w:r>
      <w:t xml:space="preserve"> 5 -</w:t>
    </w:r>
    <w:r>
      <w:fldChar w:fldCharType="end"/>
    </w:r>
  </w:p>
  <w:p w14:paraId="573707C1">
    <w:pPr>
      <w:spacing w:line="179" w:lineRule="auto"/>
      <w:ind w:left="8854"/>
      <w:rPr>
        <w:rFonts w:ascii="Times New Roman" w:hAnsi="Times New Roman" w:eastAsia="Times New Roman" w:cs="Times New Roman"/>
        <w:sz w:val="23"/>
        <w:szCs w:val="23"/>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17E5E8">
    <w:pPr>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C64F050"/>
    <w:multiLevelType w:val="singleLevel"/>
    <w:tmpl w:val="BC64F050"/>
    <w:lvl w:ilvl="0" w:tentative="0">
      <w:start w:val="2"/>
      <w:numFmt w:val="decimal"/>
      <w:lvlText w:val="(%1)"/>
      <w:lvlJc w:val="left"/>
      <w:pPr>
        <w:tabs>
          <w:tab w:val="left" w:pos="312"/>
        </w:tabs>
      </w:pPr>
    </w:lvl>
  </w:abstractNum>
  <w:abstractNum w:abstractNumId="1">
    <w:nsid w:val="C326195B"/>
    <w:multiLevelType w:val="singleLevel"/>
    <w:tmpl w:val="C326195B"/>
    <w:lvl w:ilvl="0" w:tentative="0">
      <w:start w:val="3"/>
      <w:numFmt w:val="chineseCounting"/>
      <w:suff w:val="nothing"/>
      <w:lvlText w:val="%1、"/>
      <w:lvlJc w:val="left"/>
      <w:rPr>
        <w:rFonts w:hint="eastAsia"/>
      </w:rPr>
    </w:lvl>
  </w:abstractNum>
  <w:abstractNum w:abstractNumId="2">
    <w:nsid w:val="775FDDA5"/>
    <w:multiLevelType w:val="singleLevel"/>
    <w:tmpl w:val="775FDDA5"/>
    <w:lvl w:ilvl="0" w:tentative="0">
      <w:start w:val="1"/>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displayBackgroundShape w:val="1"/>
  <w:bordersDoNotSurroundHeader w:val="0"/>
  <w:bordersDoNotSurroundFooter w:val="0"/>
  <w:documentProtection w:enforcement="0"/>
  <w:defaultTabStop w:val="420"/>
  <w:drawingGridHorizontalSpacing w:val="105"/>
  <w:displayHorizontalDrawingGridEvery w:val="1"/>
  <w:displayVerticalDrawingGridEvery w:val="1"/>
  <w:noPunctuationKerning w:val="1"/>
  <w:characterSpacingControl w:val="doNotCompress"/>
  <w:compat>
    <w:spaceForUL/>
    <w:balanceSingleByteDoubleByteWidth/>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E5YTZhMzViYWY0ZDUwNmUxOTk0MWJiMTAzYjUxNmIifQ=="/>
  </w:docVars>
  <w:rsids>
    <w:rsidRoot w:val="00D65F4E"/>
    <w:rsid w:val="00035B4F"/>
    <w:rsid w:val="00252DD3"/>
    <w:rsid w:val="003A0F30"/>
    <w:rsid w:val="006B3AFB"/>
    <w:rsid w:val="007E706E"/>
    <w:rsid w:val="00814CEE"/>
    <w:rsid w:val="00A403D2"/>
    <w:rsid w:val="00BD215C"/>
    <w:rsid w:val="00C24372"/>
    <w:rsid w:val="00D65F4E"/>
    <w:rsid w:val="0C1038D1"/>
    <w:rsid w:val="0D0A17F5"/>
    <w:rsid w:val="177C4139"/>
    <w:rsid w:val="248A3369"/>
    <w:rsid w:val="24BD6DE1"/>
    <w:rsid w:val="2FECE574"/>
    <w:rsid w:val="325A4C76"/>
    <w:rsid w:val="3F7D3D52"/>
    <w:rsid w:val="3F9DD004"/>
    <w:rsid w:val="452455D5"/>
    <w:rsid w:val="4C920ED6"/>
    <w:rsid w:val="4F3BC71C"/>
    <w:rsid w:val="4FC03602"/>
    <w:rsid w:val="52713D71"/>
    <w:rsid w:val="52D26380"/>
    <w:rsid w:val="5882481A"/>
    <w:rsid w:val="5A625C12"/>
    <w:rsid w:val="5F983BE5"/>
    <w:rsid w:val="64D96331"/>
    <w:rsid w:val="673BA62A"/>
    <w:rsid w:val="68A74A73"/>
    <w:rsid w:val="6BD7A7ED"/>
    <w:rsid w:val="72333E41"/>
    <w:rsid w:val="74293E44"/>
    <w:rsid w:val="7561375B"/>
    <w:rsid w:val="75ECE37B"/>
    <w:rsid w:val="7620067C"/>
    <w:rsid w:val="7C7F423C"/>
    <w:rsid w:val="7FFF9DB5"/>
    <w:rsid w:val="97FDB6DE"/>
    <w:rsid w:val="BFC7BA4C"/>
    <w:rsid w:val="CFCC39E5"/>
    <w:rsid w:val="DFFA7680"/>
    <w:rsid w:val="E6FF343A"/>
    <w:rsid w:val="EFDF4342"/>
    <w:rsid w:val="F3FF532E"/>
    <w:rsid w:val="F9BE7C56"/>
    <w:rsid w:val="FF83E629"/>
    <w:rsid w:val="FFF66C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semiHidden/>
    <w:unhideWhenUsed/>
    <w:qFormat/>
    <w:uiPriority w:val="1"/>
  </w:style>
  <w:style w:type="table" w:default="1" w:styleId="5">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eastAsia="宋体" w:cs="Times New Roman"/>
      <w:kern w:val="2"/>
      <w:sz w:val="21"/>
      <w:szCs w:val="22"/>
    </w:rPr>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6"/>
      <w:szCs w:val="36"/>
    </w:rPr>
  </w:style>
  <w:style w:type="paragraph" w:styleId="3">
    <w:name w:val="footer"/>
    <w:basedOn w:val="1"/>
    <w:link w:val="10"/>
    <w:qFormat/>
    <w:uiPriority w:val="99"/>
    <w:pPr>
      <w:tabs>
        <w:tab w:val="center" w:pos="4153"/>
        <w:tab w:val="right" w:pos="8306"/>
      </w:tabs>
    </w:pPr>
    <w:rPr>
      <w:sz w:val="18"/>
      <w:szCs w:val="18"/>
    </w:rPr>
  </w:style>
  <w:style w:type="paragraph" w:styleId="4">
    <w:name w:val="header"/>
    <w:basedOn w:val="1"/>
    <w:link w:val="9"/>
    <w:qFormat/>
    <w:uiPriority w:val="0"/>
    <w:pPr>
      <w:pBdr>
        <w:bottom w:val="single" w:color="auto" w:sz="6" w:space="1"/>
      </w:pBdr>
      <w:tabs>
        <w:tab w:val="center" w:pos="4153"/>
        <w:tab w:val="right" w:pos="8306"/>
      </w:tabs>
      <w:jc w:val="center"/>
    </w:pPr>
    <w:rPr>
      <w:sz w:val="18"/>
      <w:szCs w:val="18"/>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style>
  <w:style w:type="character" w:customStyle="1" w:styleId="9">
    <w:name w:val="页眉 Char"/>
    <w:basedOn w:val="6"/>
    <w:link w:val="4"/>
    <w:qFormat/>
    <w:uiPriority w:val="0"/>
    <w:rPr>
      <w:rFonts w:eastAsia="Arial"/>
      <w:snapToGrid w:val="0"/>
      <w:color w:val="000000"/>
      <w:sz w:val="18"/>
      <w:szCs w:val="18"/>
      <w:lang w:eastAsia="en-US"/>
    </w:rPr>
  </w:style>
  <w:style w:type="character" w:customStyle="1" w:styleId="10">
    <w:name w:val="页脚 Char"/>
    <w:basedOn w:val="6"/>
    <w:link w:val="3"/>
    <w:qFormat/>
    <w:uiPriority w:val="99"/>
    <w:rPr>
      <w:rFonts w:eastAsia="Arial"/>
      <w:snapToGrid w:val="0"/>
      <w:color w:val="000000"/>
      <w:sz w:val="18"/>
      <w:szCs w:val="18"/>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22</Pages>
  <Words>9456</Words>
  <Characters>10038</Characters>
  <Lines>21</Lines>
  <Paragraphs>5</Paragraphs>
  <TotalTime>31</TotalTime>
  <ScaleCrop>false</ScaleCrop>
  <LinksUpToDate>false</LinksUpToDate>
  <CharactersWithSpaces>10130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2024-09-20T08:39:00Z</dcterms:created>
  <dc:creator>Kingsoft-PDF</dc:creator>
  <cp:lastModifiedBy>Administrator</cp:lastModifiedBy>
  <cp:lastPrinted>2024-10-17T07:31:00Z</cp:lastPrinted>
  <dcterms:modified xsi:type="dcterms:W3CDTF">2024-10-18T03:28:36Z</dcterms:modified>
  <dc:subject>pdfbuilder</dc:subject>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2024-09-18T16:39:34Z</vt:filetime>
  </property>
  <property fmtid="{D5CDD505-2E9C-101B-9397-08002B2CF9AE}" pid="4" name="UsrData">
    <vt:lpwstr>66ea91c2a2edd9001f7ce060wl</vt:lpwstr>
  </property>
  <property fmtid="{D5CDD505-2E9C-101B-9397-08002B2CF9AE}" pid="5" name="KSOProductBuildVer">
    <vt:lpwstr>2052-12.1.0.18608</vt:lpwstr>
  </property>
  <property fmtid="{D5CDD505-2E9C-101B-9397-08002B2CF9AE}" pid="6" name="ICV">
    <vt:lpwstr>225F50177A314D8BAB6905DD2DEFD74E_13</vt:lpwstr>
  </property>
</Properties>
</file>