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kinsoku/>
        <w:overflowPunct w:val="0"/>
        <w:spacing w:line="360" w:lineRule="auto"/>
        <w:rPr>
          <w:sz w:val="32"/>
          <w:szCs w:val="32"/>
          <w:lang w:eastAsia="zh-CN"/>
        </w:rPr>
      </w:pPr>
      <w:r>
        <w:rPr>
          <w:spacing w:val="17"/>
          <w:sz w:val="32"/>
          <w:szCs w:val="32"/>
          <w:lang w:eastAsia="zh-CN"/>
        </w:rPr>
        <w:t>附件1</w:t>
      </w:r>
    </w:p>
    <w:p>
      <w:pPr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202</w:t>
      </w:r>
      <w:r>
        <w:rPr>
          <w:rFonts w:hint="eastAsia" w:eastAsia="方正小标宋_GBK"/>
          <w:sz w:val="52"/>
          <w:szCs w:val="52"/>
          <w:lang w:val="en-US" w:eastAsia="zh-CN"/>
        </w:rPr>
        <w:t>3</w:t>
      </w:r>
      <w:r>
        <w:rPr>
          <w:rFonts w:eastAsia="方正小标宋_GBK"/>
          <w:sz w:val="52"/>
          <w:szCs w:val="52"/>
        </w:rPr>
        <w:t>年度</w:t>
      </w:r>
      <w:r>
        <w:rPr>
          <w:rFonts w:hint="eastAsia" w:eastAsia="方正小标宋_GBK"/>
          <w:sz w:val="52"/>
          <w:szCs w:val="52"/>
          <w:lang w:val="en-US" w:eastAsia="zh-CN"/>
        </w:rPr>
        <w:t>鹤城区委政法委</w:t>
      </w:r>
      <w:r>
        <w:rPr>
          <w:rFonts w:eastAsia="方正小标宋_GBK"/>
          <w:sz w:val="52"/>
          <w:szCs w:val="52"/>
        </w:rPr>
        <w:t>整体支出</w:t>
      </w:r>
    </w:p>
    <w:p>
      <w:pPr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绩效自评报告</w:t>
      </w:r>
    </w:p>
    <w:p>
      <w:pPr>
        <w:widowControl w:val="0"/>
        <w:kinsoku/>
        <w:overflowPunct w:val="0"/>
        <w:spacing w:line="360" w:lineRule="auto"/>
        <w:ind w:firstLine="880" w:firstLineChars="200"/>
        <w:jc w:val="center"/>
        <w:rPr>
          <w:rFonts w:ascii="宋体" w:hAnsi="宋体" w:eastAsia="宋体" w:cs="宋体"/>
          <w:sz w:val="44"/>
          <w:szCs w:val="44"/>
          <w:lang w:eastAsia="zh-CN"/>
        </w:rPr>
      </w:pPr>
    </w:p>
    <w:p>
      <w:pPr>
        <w:widowControl w:val="0"/>
        <w:kinsoku/>
        <w:overflowPunct w:val="0"/>
        <w:spacing w:line="360" w:lineRule="auto"/>
        <w:ind w:firstLine="640" w:firstLineChars="200"/>
        <w:rPr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560" w:lineRule="exact"/>
        <w:ind w:firstLine="603" w:firstLineChars="200"/>
        <w:outlineLvl w:val="6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0"/>
          <w:sz w:val="32"/>
          <w:szCs w:val="32"/>
          <w:lang w:eastAsia="zh-CN"/>
        </w:rPr>
        <w:t>一、部门、单位基本情况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560" w:lineRule="exact"/>
        <w:ind w:firstLine="684" w:firstLineChars="200"/>
        <w:rPr>
          <w:rFonts w:ascii="楷体" w:hAnsi="楷体" w:eastAsia="楷体" w:cs="楷体"/>
          <w:spacing w:val="11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11"/>
          <w:sz w:val="32"/>
          <w:szCs w:val="32"/>
          <w:lang w:eastAsia="zh-CN"/>
        </w:rPr>
        <w:t>(一)机构设置情况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pacing w:val="1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区政法委属全额拨款的行政单位，</w:t>
      </w:r>
      <w:r>
        <w:rPr>
          <w:rFonts w:hint="eastAsia" w:ascii="仿宋_GB2312" w:hAnsi="仿宋_GB2312" w:eastAsia="仿宋_GB2312" w:cs="仿宋_GB2312"/>
          <w:sz w:val="32"/>
          <w:szCs w:val="32"/>
        </w:rPr>
        <w:t>设8个股室，分别为为：办公室、政工室、维护稳定指导办公室、社会治安综合治理督导办公室、反邪教协调办公室、执法监督办公室、铁路护路联防办公室、宣传教育办公室。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 w:val="0"/>
        <w:topLinePunct w:val="0"/>
        <w:bidi w:val="0"/>
        <w:spacing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人员编制情况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 w:val="0"/>
        <w:topLinePunct w:val="0"/>
        <w:bidi w:val="0"/>
        <w:spacing w:line="560" w:lineRule="exact"/>
        <w:ind w:firstLine="640" w:firstLineChars="200"/>
        <w:rPr>
          <w:rFonts w:hint="eastAsia" w:ascii="楷体_GB2312" w:hAnsi="楷体_GB2312" w:eastAsia="楷体_GB2312" w:cs="楷体_GB2312"/>
          <w:spacing w:val="8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年本单位年未实有人数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共有行政编制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人员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个，全额事业编制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人员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比上年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增加了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人员变化的主要原因是：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人员调入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560" w:lineRule="exact"/>
        <w:ind w:firstLine="680" w:firstLineChars="200"/>
        <w:rPr>
          <w:rFonts w:ascii="楷体" w:hAnsi="楷体" w:eastAsia="楷体" w:cs="楷体"/>
          <w:spacing w:val="10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10"/>
          <w:sz w:val="32"/>
          <w:szCs w:val="32"/>
          <w:lang w:eastAsia="zh-CN"/>
        </w:rPr>
        <w:t>(三)主要职能职责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(1)根据党的路线方针和中央、省、市委政法委以及区委、区政府对政法综治工作的部署，统一政法综治各部门的思想和行动；(2)对一定时期内的全区政法综治工作做出全局性部署，并督促贯彻落实；(3)组织协调、指导维护全区社会稳定的工作；(4)检查政法各部门执行法律、法规和党的方针、政策的情况，结合实际，研究制定严格执法、落实党的方针和政策的具体措施；(5)大力支持和严格监督政法各部门依法行使职权，指导和协调政法各部门在依法相互制约的同时密切配合，督促、推动大案要案的查处工作，研究、协调有争议的重大疑难案件；(6)组织、协调社会治安综合治理工作，推动各项措施的落实；开展全区禁毒工作、国家安全、民调工作；(7)组织推动政法综治方面的调研和宣传工作，探索政法综治工作改革，研究政法综治工作理论、政策及有关重大问题；(8)研究加强政法队伍建设和领导班子建设的措施；协助区委及其组织部门考察、管理区政法部门的领导干部；协助纪检、监察部门查处涉及政法领导干部的案件，加强政法干部队伍执法监督工作；(9)指导各街道乡镇社会治安综合治理办公室的工作；(10)办理区委、区政府和市委政法委、市综治办交办的其他事项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560" w:lineRule="exact"/>
        <w:ind w:firstLine="676" w:firstLineChars="200"/>
        <w:rPr>
          <w:rFonts w:ascii="楷体" w:hAnsi="楷体" w:eastAsia="楷体" w:cs="楷体"/>
          <w:spacing w:val="9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9"/>
          <w:sz w:val="32"/>
          <w:szCs w:val="32"/>
          <w:lang w:eastAsia="zh-CN"/>
        </w:rPr>
        <w:t>(四)绩效目标设定情况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560" w:lineRule="exact"/>
        <w:ind w:firstLine="676" w:firstLineChars="200"/>
        <w:rPr>
          <w:rFonts w:ascii="楷体" w:hAnsi="楷体" w:eastAsia="楷体" w:cs="楷体"/>
          <w:spacing w:val="9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9"/>
          <w:sz w:val="32"/>
          <w:szCs w:val="32"/>
          <w:lang w:eastAsia="zh-CN"/>
        </w:rPr>
        <w:t>根据我单位实际开展业务情况分别设置相应的绩效目标，如受理涉法涉诉案件数、接待涉法涉诉群众来信来访人数、接待处理上访人数、受理司法救助案件件数、发放反邪宣传资料份数、组织反邪教宣传场数、铁路沿线隐患排查公里数、排查率、扫黑除恶宣传人数、肇事肇祸精神障碍患者强制送医治疗人数等的数量指标，矛盾纠纷调解成功率、民调走访率、摸排线索执行率、全区收到各类线索结办率的质量指标，以及相关工作开展的时效指标，成本指标，相关工作开展后的社会效益指标，可持续影响指标等</w:t>
      </w:r>
      <w:r>
        <w:rPr>
          <w:rFonts w:hint="eastAsia" w:ascii="楷体" w:hAnsi="楷体" w:eastAsia="楷体" w:cs="楷体"/>
          <w:spacing w:val="9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560" w:lineRule="exact"/>
        <w:ind w:firstLine="583" w:firstLineChars="200"/>
        <w:outlineLvl w:val="6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5"/>
          <w:sz w:val="32"/>
          <w:szCs w:val="32"/>
          <w:lang w:eastAsia="zh-CN"/>
        </w:rPr>
        <w:t>二、部门整体支出管理及使用情况</w:t>
      </w:r>
    </w:p>
    <w:p>
      <w:pPr>
        <w:keepNext w:val="0"/>
        <w:keepLines w:val="0"/>
        <w:pageBreakBefore w:val="0"/>
        <w:wordWrap/>
        <w:topLinePunct w:val="0"/>
        <w:bidi w:val="0"/>
        <w:spacing w:line="560" w:lineRule="exact"/>
        <w:ind w:firstLine="644" w:firstLineChars="200"/>
        <w:rPr>
          <w:rFonts w:ascii="楷体" w:hAnsi="楷体" w:eastAsia="楷体" w:cs="楷体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1"/>
          <w:sz w:val="32"/>
          <w:szCs w:val="32"/>
          <w:lang w:eastAsia="zh-CN"/>
        </w:rPr>
        <w:t>(一)预算执行、使用、管理总体情况。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年部门整体支出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1516.68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万元，使用主要内容包括基本支出和项目支出。202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年基本支出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477.56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万元，其中人员经费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435.17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万元，主要用于在职人员的基本工资、津贴</w:t>
      </w:r>
      <w:r>
        <w:rPr>
          <w:rFonts w:hint="eastAsia" w:ascii="仿宋_GB2312" w:hAnsi="仿宋_GB2312" w:eastAsia="仿宋_GB2312" w:cs="仿宋_GB2312"/>
          <w:sz w:val="32"/>
          <w:szCs w:val="32"/>
        </w:rPr>
        <w:t>补贴等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；公用经费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42.40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万元，主要用于</w:t>
      </w:r>
      <w:r>
        <w:rPr>
          <w:rFonts w:hint="eastAsia" w:ascii="仿宋_GB2312" w:hAnsi="仿宋_GB2312" w:eastAsia="仿宋_GB2312" w:cs="仿宋_GB2312"/>
          <w:sz w:val="32"/>
          <w:szCs w:val="32"/>
        </w:rPr>
        <w:t>为保障单位机构正常运转、完成日常工作任务而发生的各项支出，包括用于办公费、印刷费等日常公用经费。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年专项资金支出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1039.12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万元，主要内容包括社会治安综合治理、雪亮工程、肇事肇事精神障碍患者管理、铁路护路、舆情应对、维稳、执法监督、司法救助、见义勇为奖励走访、风险评估等。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560" w:lineRule="exact"/>
        <w:ind w:firstLine="676" w:firstLineChars="200"/>
        <w:rPr>
          <w:rFonts w:ascii="楷体" w:hAnsi="楷体" w:eastAsia="楷体" w:cs="楷体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9"/>
          <w:sz w:val="32"/>
          <w:szCs w:val="32"/>
          <w:lang w:eastAsia="zh-CN"/>
        </w:rPr>
        <w:t>(二)部门预算执行情况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560" w:lineRule="exact"/>
        <w:ind w:firstLine="620" w:firstLineChars="200"/>
        <w:rPr>
          <w:rFonts w:hint="eastAsia" w:ascii="仿宋_GB2312" w:hAnsi="仿宋_GB2312" w:eastAsia="仿宋_GB2312" w:cs="仿宋_GB2312"/>
          <w:spacing w:val="-5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5"/>
          <w:sz w:val="32"/>
          <w:szCs w:val="32"/>
          <w:lang w:eastAsia="zh-CN"/>
        </w:rPr>
        <w:t>1.基本支出情况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年基本支出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477.56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万元，其中人员经费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435.17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万元，主要用于在职人员的</w:t>
      </w:r>
      <w:r>
        <w:rPr>
          <w:rFonts w:hint="eastAsia" w:ascii="仿宋_GB2312" w:hAnsi="仿宋_GB2312" w:eastAsia="仿宋_GB2312" w:cs="仿宋_GB2312"/>
          <w:sz w:val="32"/>
          <w:szCs w:val="32"/>
        </w:rPr>
        <w:t>基本工资、津贴补贴等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；公用经费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42.40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万元，主要用于</w:t>
      </w:r>
      <w:r>
        <w:rPr>
          <w:rFonts w:hint="eastAsia" w:ascii="仿宋_GB2312" w:hAnsi="仿宋_GB2312" w:eastAsia="仿宋_GB2312" w:cs="仿宋_GB2312"/>
          <w:sz w:val="32"/>
          <w:szCs w:val="32"/>
        </w:rPr>
        <w:t>为保障单位机构正常运转、完成日常工作任务而发生的各项支出，包括用于办公费、印刷费等日常公用经费。</w:t>
      </w:r>
    </w:p>
    <w:p>
      <w:pPr>
        <w:keepNext w:val="0"/>
        <w:keepLines w:val="0"/>
        <w:pageBreakBefore w:val="0"/>
        <w:wordWrap/>
        <w:topLinePunct w:val="0"/>
        <w:bidi w:val="0"/>
        <w:spacing w:line="560" w:lineRule="exact"/>
        <w:ind w:firstLine="620" w:firstLineChars="200"/>
        <w:rPr>
          <w:spacing w:val="-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pacing w:val="-5"/>
          <w:sz w:val="32"/>
          <w:szCs w:val="32"/>
          <w:lang w:val="en-US" w:eastAsia="zh-CN" w:bidi="ar-SA"/>
        </w:rPr>
        <w:t>2.</w:t>
      </w:r>
      <w:r>
        <w:rPr>
          <w:spacing w:val="-2"/>
          <w:sz w:val="32"/>
          <w:szCs w:val="32"/>
          <w:lang w:eastAsia="zh-CN"/>
        </w:rPr>
        <w:t>项目支出情况</w:t>
      </w:r>
    </w:p>
    <w:p>
      <w:pPr>
        <w:keepNext w:val="0"/>
        <w:keepLines w:val="0"/>
        <w:pageBreakBefore w:val="0"/>
        <w:wordWrap/>
        <w:topLinePunct w:val="0"/>
        <w:bidi w:val="0"/>
        <w:spacing w:line="560" w:lineRule="exact"/>
        <w:ind w:firstLine="632" w:firstLineChars="200"/>
        <w:rPr>
          <w:spacing w:val="-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t>年，项目资金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lang w:val="en-US" w:eastAsia="zh-CN"/>
        </w:rPr>
        <w:t>1039.12万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t>元，预算执行率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lang w:val="en-US" w:eastAsia="zh-CN"/>
        </w:rPr>
        <w:t>187.57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t>%。其中，司法救助金年初预算数为30万元，年末决算数为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lang w:eastAsia="zh-CN"/>
        </w:rPr>
        <w:t>，为上级补助资金；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t>雪亮工程年初预算数为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lang w:val="en-US" w:eastAsia="zh-CN"/>
        </w:rPr>
        <w:t>156.59万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t>元，年末决算数为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lang w:val="en-US" w:eastAsia="zh-CN"/>
        </w:rPr>
        <w:t>689.74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t>万元，原因是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lang w:eastAsia="zh-CN"/>
        </w:rPr>
        <w:t>支付雪亮工程上年度欠款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lang w:eastAsia="zh-CN"/>
        </w:rPr>
        <w:t>肇事肇祸精神障碍患者服务管理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t>经费年初预算数为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t>万元，年末决算数为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lang w:val="en-US" w:eastAsia="zh-CN"/>
        </w:rPr>
        <w:t>103.73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lang w:eastAsia="zh-CN"/>
        </w:rPr>
        <w:t>支付上年度欠款，维稳经费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lang w:val="en-US" w:eastAsia="zh-CN"/>
        </w:rPr>
        <w:t>5.1万元，年末决算数为51.58万元，原因是年中追加特防期维稳经费等情况导致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 w:val="0"/>
        <w:topLinePunct w:val="0"/>
        <w:bidi w:val="0"/>
        <w:spacing w:line="560" w:lineRule="exact"/>
        <w:ind w:firstLine="660" w:firstLineChars="200"/>
        <w:rPr>
          <w:rFonts w:ascii="楷体" w:hAnsi="楷体" w:eastAsia="楷体" w:cs="楷体"/>
          <w:spacing w:val="5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5"/>
          <w:sz w:val="32"/>
          <w:szCs w:val="32"/>
          <w:lang w:eastAsia="zh-CN"/>
        </w:rPr>
        <w:t>"三公"经费使用和管理情况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 w:val="0"/>
        <w:topLinePunct w:val="0"/>
        <w:bidi w:val="0"/>
        <w:spacing w:line="560" w:lineRule="exact"/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pacing w:val="5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“三公”经费年初预算公务接待费1万元，年末决算数为0.36万元，根据财政过紧日子要求，进一步缩减开支。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 w:val="0"/>
        <w:topLinePunct w:val="0"/>
        <w:bidi w:val="0"/>
        <w:spacing w:line="560" w:lineRule="exact"/>
        <w:ind w:firstLine="599" w:firstLineChars="200"/>
        <w:rPr>
          <w:rFonts w:ascii="黑体" w:hAnsi="黑体" w:eastAsia="黑体" w:cs="黑体"/>
          <w:b/>
          <w:bCs/>
          <w:spacing w:val="-11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1"/>
          <w:sz w:val="32"/>
          <w:szCs w:val="32"/>
          <w:lang w:eastAsia="zh-CN"/>
        </w:rPr>
        <w:t>政府性基金预算支出情况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 w:val="0"/>
        <w:topLinePunct w:val="0"/>
        <w:bidi w:val="0"/>
        <w:spacing w:line="560" w:lineRule="exact"/>
        <w:rPr>
          <w:rFonts w:hint="default" w:ascii="黑体" w:hAnsi="黑体" w:eastAsia="黑体" w:cs="黑体"/>
          <w:b/>
          <w:bCs/>
          <w:spacing w:val="-11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pacing w:val="-11"/>
          <w:sz w:val="32"/>
          <w:szCs w:val="32"/>
          <w:lang w:val="en-US" w:eastAsia="zh-CN"/>
        </w:rPr>
        <w:t xml:space="preserve">    无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 w:val="0"/>
        <w:topLinePunct w:val="0"/>
        <w:bidi w:val="0"/>
        <w:spacing w:line="560" w:lineRule="exact"/>
        <w:ind w:left="0" w:leftChars="0" w:firstLine="607" w:firstLineChars="200"/>
        <w:rPr>
          <w:rFonts w:ascii="黑体" w:hAnsi="黑体" w:eastAsia="黑体" w:cs="黑体"/>
          <w:b/>
          <w:bCs/>
          <w:spacing w:val="-9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9"/>
          <w:sz w:val="32"/>
          <w:szCs w:val="32"/>
          <w:lang w:eastAsia="zh-CN"/>
        </w:rPr>
        <w:t>国有资本经营预算支出情况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 w:val="0"/>
        <w:topLinePunct w:val="0"/>
        <w:bidi w:val="0"/>
        <w:spacing w:line="560" w:lineRule="exact"/>
        <w:ind w:leftChars="200"/>
        <w:rPr>
          <w:rFonts w:hint="default" w:ascii="黑体" w:hAnsi="黑体" w:eastAsia="黑体" w:cs="黑体"/>
          <w:b/>
          <w:bCs/>
          <w:spacing w:val="-9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pacing w:val="-9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pacing w:val="-11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 w:val="0"/>
        <w:topLinePunct w:val="0"/>
        <w:bidi w:val="0"/>
        <w:spacing w:line="560" w:lineRule="exact"/>
        <w:ind w:left="0" w:leftChars="0" w:firstLine="567" w:firstLineChars="200"/>
        <w:rPr>
          <w:rFonts w:ascii="黑体" w:hAnsi="黑体" w:eastAsia="黑体" w:cs="黑体"/>
          <w:b/>
          <w:bCs/>
          <w:spacing w:val="-19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9"/>
          <w:sz w:val="32"/>
          <w:szCs w:val="32"/>
          <w:lang w:eastAsia="zh-CN"/>
        </w:rPr>
        <w:t>社会保险基金预算支出情况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 w:val="0"/>
        <w:topLinePunct w:val="0"/>
        <w:bidi w:val="0"/>
        <w:spacing w:line="560" w:lineRule="exact"/>
        <w:ind w:leftChars="200"/>
        <w:rPr>
          <w:rFonts w:hint="default" w:ascii="黑体" w:hAnsi="黑体" w:eastAsia="黑体" w:cs="黑体"/>
          <w:b/>
          <w:bCs/>
          <w:spacing w:val="-19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pacing w:val="-19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pacing w:val="-11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560" w:lineRule="exact"/>
        <w:ind w:firstLine="603" w:firstLineChars="200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0"/>
          <w:sz w:val="32"/>
          <w:szCs w:val="32"/>
          <w:lang w:eastAsia="zh-CN"/>
        </w:rPr>
        <w:t>六、部门整体支出绩效情况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560" w:lineRule="exact"/>
        <w:ind w:firstLine="620" w:firstLineChars="200"/>
        <w:rPr>
          <w:rFonts w:ascii="楷体" w:hAnsi="楷体" w:eastAsia="楷体" w:cs="楷体"/>
          <w:spacing w:val="-5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-5"/>
          <w:sz w:val="32"/>
          <w:szCs w:val="32"/>
          <w:lang w:eastAsia="zh-CN"/>
        </w:rPr>
        <w:t>(一)综合评价结论。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560" w:lineRule="exact"/>
        <w:ind w:firstLine="620" w:firstLineChars="200"/>
        <w:rPr>
          <w:sz w:val="32"/>
          <w:szCs w:val="32"/>
          <w:lang w:eastAsia="zh-CN"/>
        </w:rPr>
      </w:pPr>
      <w:r>
        <w:rPr>
          <w:rFonts w:hint="eastAsia"/>
          <w:spacing w:val="-5"/>
          <w:sz w:val="32"/>
          <w:szCs w:val="32"/>
          <w:lang w:eastAsia="zh-CN"/>
        </w:rPr>
        <w:t>自评得分为</w:t>
      </w:r>
      <w:r>
        <w:rPr>
          <w:rFonts w:hint="eastAsia"/>
          <w:spacing w:val="-5"/>
          <w:sz w:val="32"/>
          <w:szCs w:val="32"/>
          <w:lang w:val="en-US" w:eastAsia="zh-CN"/>
        </w:rPr>
        <w:t>92.5分，评价结论为优秀</w:t>
      </w:r>
      <w:r>
        <w:rPr>
          <w:spacing w:val="-5"/>
          <w:sz w:val="32"/>
          <w:szCs w:val="32"/>
          <w:lang w:eastAsia="zh-CN"/>
        </w:rPr>
        <w:t>。</w:t>
      </w:r>
    </w:p>
    <w:p>
      <w:pPr>
        <w:pStyle w:val="11"/>
        <w:keepNext w:val="0"/>
        <w:keepLines w:val="0"/>
        <w:pageBreakBefore w:val="0"/>
        <w:wordWrap/>
        <w:topLinePunct w:val="0"/>
        <w:bidi w:val="0"/>
        <w:spacing w:line="560" w:lineRule="exact"/>
        <w:ind w:firstLine="676" w:firstLineChars="200"/>
        <w:rPr>
          <w:spacing w:val="9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9"/>
          <w:sz w:val="32"/>
          <w:szCs w:val="32"/>
          <w:lang w:eastAsia="zh-CN"/>
        </w:rPr>
        <w:t>(二)评价指标分析(或综合评价情况)</w:t>
      </w:r>
      <w:r>
        <w:rPr>
          <w:spacing w:val="9"/>
          <w:sz w:val="32"/>
          <w:szCs w:val="32"/>
          <w:lang w:eastAsia="zh-CN"/>
        </w:rPr>
        <w:t>。</w:t>
      </w:r>
    </w:p>
    <w:p>
      <w:pPr>
        <w:pStyle w:val="11"/>
        <w:keepNext w:val="0"/>
        <w:keepLines w:val="0"/>
        <w:pageBreakBefore w:val="0"/>
        <w:wordWrap/>
        <w:topLinePunct w:val="0"/>
        <w:bidi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t>经济性分析:雪亮工程建设项目依法采用公开招投标方式组织项目实施，其他项目的支出通过湖南省电子采购平台采购。雪亮工程建设项目依法采用公开招投标方式组织项目实施，选取价格最低者中标。社会治安综合治理项目中，2021年度重点民生实事项目乡村雪亮工程设备采购第三方检测、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lang w:eastAsia="zh-CN"/>
        </w:rPr>
        <w:t>雪亮工程建设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instrText xml:space="preserve"> HYPERLINK "https://hunan.zcygov.cn/items/273130543484928" \t "https://order.zcygov.cn/trading-backstage/" \l "/buyer/order-detail/_blank" </w:instrTex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t>编制可行性研究报告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lang w:eastAsia="zh-CN"/>
        </w:rPr>
        <w:t>、鹤城区2022年省重点民生实事中小学安防设施建设项目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t>信息化工程监理服务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lang w:eastAsia="zh-CN"/>
        </w:rPr>
        <w:t>、雪亮工程四期维护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t>等均通过湖南省电子采购平台竞价采购，选取价格最低者中标。目前鹤城区已建成雪亮工程监控探头1018个，每年需要支付电费、网络租赁费、维修维保费，才能确保正常使用。根据上级要求，2023年新增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t>雪亮工程监控探头数量。</w:t>
      </w:r>
    </w:p>
    <w:p>
      <w:pPr>
        <w:pStyle w:val="11"/>
        <w:keepNext w:val="0"/>
        <w:keepLines w:val="0"/>
        <w:pageBreakBefore w:val="0"/>
        <w:wordWrap/>
        <w:topLinePunct w:val="0"/>
        <w:bidi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t>效率性分析: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 xml:space="preserve"> 截止202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年底，除雪亮工程外，其余项目已全部完成。项目完成质量良好。</w:t>
      </w:r>
    </w:p>
    <w:p>
      <w:pPr>
        <w:pStyle w:val="11"/>
        <w:keepNext w:val="0"/>
        <w:keepLines w:val="0"/>
        <w:pageBreakBefore w:val="0"/>
        <w:wordWrap/>
        <w:topLinePunct w:val="0"/>
        <w:bidi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t>有效性分析:铁路安全案件发生率下降；网络安全问题发生率下降；优化社会风气；涉法涉诉信访案件困难群众人数减少；宣传教育覆盖率大于90%；全区全年化解矛盾纠纷1000余起；净化网络环境；社会环境稳定;提供就业岗位多个；因肇事肇祸精神障碍患者引起的经济损失减少。</w:t>
      </w:r>
    </w:p>
    <w:p>
      <w:pPr>
        <w:pStyle w:val="2"/>
        <w:keepNext w:val="0"/>
        <w:keepLines w:val="0"/>
        <w:pageBreakBefore w:val="0"/>
        <w:wordWrap/>
        <w:topLinePunct w:val="0"/>
        <w:bidi w:val="0"/>
        <w:spacing w:line="560" w:lineRule="exact"/>
        <w:ind w:firstLine="632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2"/>
          <w:w w:val="100"/>
          <w:sz w:val="32"/>
          <w:szCs w:val="32"/>
        </w:rPr>
        <w:t>可持续性分析:均建立长效机制</w:t>
      </w: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560" w:lineRule="exact"/>
        <w:ind w:firstLine="615" w:firstLineChars="200"/>
        <w:outlineLvl w:val="6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7"/>
          <w:sz w:val="32"/>
          <w:szCs w:val="32"/>
          <w:lang w:eastAsia="zh-CN"/>
        </w:rPr>
        <w:t>七、存在的问题及原因分析</w:t>
      </w:r>
    </w:p>
    <w:p>
      <w:pPr>
        <w:pStyle w:val="2"/>
        <w:keepNext w:val="0"/>
        <w:keepLines w:val="0"/>
        <w:pageBreakBefore w:val="0"/>
        <w:wordWrap/>
        <w:topLinePunct w:val="0"/>
        <w:bidi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预算执行率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eastAsia="zh-CN"/>
        </w:rPr>
        <w:t>超出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，主要是雪亮工程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部分项目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  <w:lang w:eastAsia="zh-CN"/>
        </w:rPr>
        <w:t>上年度未支付，在本年度进行支付，导致预算执行率超出</w:t>
      </w:r>
      <w:r>
        <w:rPr>
          <w:rFonts w:hint="eastAsia" w:ascii="仿宋_GB2312" w:hAnsi="仿宋_GB2312" w:eastAsia="仿宋_GB2312" w:cs="仿宋_GB2312"/>
          <w:w w:val="100"/>
          <w:sz w:val="32"/>
          <w:szCs w:val="32"/>
        </w:rPr>
        <w:t>，影响整体绩效评价。</w:t>
      </w:r>
    </w:p>
    <w:p>
      <w:pPr>
        <w:widowControl w:val="0"/>
        <w:numPr>
          <w:ilvl w:val="0"/>
          <w:numId w:val="4"/>
        </w:numPr>
        <w:kinsoku/>
        <w:overflowPunct w:val="0"/>
        <w:spacing w:line="360" w:lineRule="auto"/>
        <w:ind w:firstLine="588" w:firstLineChars="200"/>
        <w:rPr>
          <w:rFonts w:ascii="黑体" w:hAnsi="黑体" w:eastAsia="黑体" w:cs="黑体"/>
          <w:spacing w:val="-13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13"/>
          <w:sz w:val="32"/>
          <w:szCs w:val="32"/>
          <w:lang w:eastAsia="zh-CN"/>
        </w:rPr>
        <w:t>下一步改进措施</w:t>
      </w:r>
    </w:p>
    <w:p>
      <w:pPr>
        <w:widowControl w:val="0"/>
        <w:numPr>
          <w:numId w:val="0"/>
        </w:numPr>
        <w:kinsoku/>
        <w:overflowPunct w:val="0"/>
        <w:spacing w:line="360" w:lineRule="auto"/>
        <w:rPr>
          <w:rFonts w:hint="eastAsia" w:ascii="仿宋_GB2312" w:hAnsi="仿宋_GB2312" w:eastAsia="仿宋_GB2312" w:cs="仿宋_GB2312"/>
          <w:spacing w:val="-13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13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pacing w:val="-13"/>
          <w:sz w:val="32"/>
          <w:szCs w:val="32"/>
          <w:lang w:val="en-US" w:eastAsia="zh-CN"/>
        </w:rPr>
        <w:t>在平时工作中进一步加强对绩效目标监控的重视，时刻与财务工作挂钩，做到及时监控，及时控制，避免疏忽。</w:t>
      </w:r>
    </w:p>
    <w:p>
      <w:pPr>
        <w:widowControl w:val="0"/>
        <w:numPr>
          <w:numId w:val="0"/>
        </w:numPr>
        <w:kinsoku/>
        <w:overflowPunct w:val="0"/>
        <w:spacing w:line="360" w:lineRule="auto"/>
        <w:ind w:firstLine="588" w:firstLineChars="200"/>
        <w:rPr>
          <w:rFonts w:hint="eastAsia" w:ascii="仿宋_GB2312" w:hAnsi="仿宋_GB2312" w:eastAsia="仿宋_GB2312" w:cs="仿宋_GB2312"/>
          <w:spacing w:val="-1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  <w:lang w:val="en-US" w:eastAsia="zh-CN"/>
        </w:rPr>
        <w:t>设置合理有效的绩效目标监控机制，合理安排经费和各项资金，使其物尽其用。</w:t>
      </w:r>
    </w:p>
    <w:p>
      <w:pPr>
        <w:widowControl w:val="0"/>
        <w:numPr>
          <w:numId w:val="0"/>
        </w:numPr>
        <w:kinsoku/>
        <w:overflowPunct w:val="0"/>
        <w:spacing w:line="360" w:lineRule="auto"/>
        <w:ind w:firstLine="588" w:firstLineChars="200"/>
        <w:rPr>
          <w:rFonts w:hint="eastAsia" w:ascii="仿宋_GB2312" w:hAnsi="仿宋_GB2312" w:eastAsia="仿宋_GB2312" w:cs="仿宋_GB2312"/>
          <w:spacing w:val="-1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  <w:lang w:val="en-US" w:eastAsia="zh-CN"/>
        </w:rPr>
        <w:t>细化预算编制工作，认真做好预算的编制。进一步加强内部预算管理意识，严格按照预算编制的相关制度和要求进行预算编制；全面编制预算项目，优先保障固定性的、相对刚性的费用支出项目，尽量压缩变动性的、有控制空间的费用项目，进一步提高预算编制的科学性、严谨性和可控性。加强内部预算编制的审核和预算控制指标的下达。</w:t>
      </w:r>
    </w:p>
    <w:p>
      <w:pPr>
        <w:widowControl w:val="0"/>
        <w:numPr>
          <w:numId w:val="0"/>
        </w:numPr>
        <w:kinsoku/>
        <w:overflowPunct w:val="0"/>
        <w:spacing w:line="360" w:lineRule="auto"/>
        <w:ind w:firstLine="588" w:firstLineChars="200"/>
        <w:rPr>
          <w:rFonts w:hint="eastAsia" w:ascii="仿宋_GB2312" w:hAnsi="仿宋_GB2312" w:eastAsia="仿宋_GB2312" w:cs="仿宋_GB2312"/>
          <w:spacing w:val="-1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  <w:lang w:val="en-US" w:eastAsia="zh-CN"/>
        </w:rPr>
        <w:t>加强项目开展进度的跟踪，开展项目绩效评价，确保项目绩效目标的完成。</w:t>
      </w:r>
    </w:p>
    <w:p>
      <w:pPr>
        <w:widowControl w:val="0"/>
        <w:kinsoku/>
        <w:overflowPunct w:val="0"/>
        <w:spacing w:line="360" w:lineRule="auto"/>
        <w:ind w:firstLine="588" w:firstLineChars="200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13"/>
          <w:sz w:val="32"/>
          <w:szCs w:val="32"/>
          <w:lang w:eastAsia="zh-CN"/>
        </w:rPr>
        <w:t>九、其他需要说明的情况</w:t>
      </w:r>
    </w:p>
    <w:p>
      <w:pPr>
        <w:widowControl w:val="0"/>
        <w:numPr>
          <w:ilvl w:val="0"/>
          <w:numId w:val="0"/>
        </w:numPr>
        <w:kinsoku/>
        <w:overflowPunct w:val="0"/>
        <w:spacing w:line="360" w:lineRule="auto"/>
        <w:ind w:firstLine="588" w:firstLineChars="200"/>
        <w:rPr>
          <w:rFonts w:hint="eastAsia" w:ascii="仿宋_GB2312" w:hAnsi="仿宋_GB2312" w:eastAsia="仿宋_GB2312" w:cs="仿宋_GB2312"/>
          <w:spacing w:val="-1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  <w:lang w:val="en-US" w:eastAsia="zh-CN"/>
        </w:rPr>
        <w:t>无</w:t>
      </w:r>
    </w:p>
    <w:p>
      <w:pPr>
        <w:widowControl w:val="0"/>
        <w:kinsoku/>
        <w:overflowPunct w:val="0"/>
        <w:spacing w:line="360" w:lineRule="auto"/>
        <w:ind w:firstLine="640" w:firstLineChars="200"/>
        <w:rPr>
          <w:sz w:val="32"/>
          <w:szCs w:val="32"/>
          <w:lang w:eastAsia="zh-CN"/>
        </w:rPr>
      </w:pPr>
    </w:p>
    <w:p>
      <w:pPr>
        <w:widowControl w:val="0"/>
        <w:kinsoku/>
        <w:overflowPunct w:val="0"/>
        <w:spacing w:line="360" w:lineRule="auto"/>
        <w:ind w:firstLine="640" w:firstLineChars="200"/>
        <w:rPr>
          <w:sz w:val="32"/>
          <w:szCs w:val="32"/>
          <w:lang w:eastAsia="zh-CN"/>
        </w:rPr>
      </w:pPr>
    </w:p>
    <w:p>
      <w:pPr>
        <w:pStyle w:val="2"/>
        <w:widowControl w:val="0"/>
        <w:kinsoku/>
        <w:overflowPunct w:val="0"/>
        <w:spacing w:line="360" w:lineRule="auto"/>
        <w:ind w:firstLine="620" w:firstLineChars="200"/>
        <w:rPr>
          <w:spacing w:val="-5"/>
          <w:sz w:val="32"/>
          <w:szCs w:val="32"/>
          <w:lang w:eastAsia="zh-CN"/>
        </w:rPr>
      </w:pPr>
      <w:r>
        <w:rPr>
          <w:rFonts w:hint="eastAsia"/>
          <w:spacing w:val="-5"/>
          <w:sz w:val="32"/>
          <w:szCs w:val="32"/>
          <w:lang w:eastAsia="zh-CN"/>
        </w:rPr>
        <w:t>1.</w:t>
      </w:r>
      <w:r>
        <w:rPr>
          <w:spacing w:val="-5"/>
          <w:sz w:val="32"/>
          <w:szCs w:val="32"/>
          <w:lang w:eastAsia="zh-CN"/>
        </w:rPr>
        <w:t>部门整体支出绩效评价基础数据表</w:t>
      </w:r>
    </w:p>
    <w:p>
      <w:pPr>
        <w:spacing w:before="92" w:line="211" w:lineRule="auto"/>
        <w:ind w:left="2050"/>
        <w:rPr>
          <w:rFonts w:ascii="宋体" w:hAnsi="宋体" w:eastAsia="宋体" w:cs="宋体"/>
          <w:sz w:val="36"/>
          <w:szCs w:val="36"/>
          <w:lang w:eastAsia="zh-CN"/>
        </w:rPr>
      </w:pPr>
      <w:r>
        <w:rPr>
          <w:rFonts w:ascii="宋体" w:hAnsi="宋体" w:eastAsia="宋体" w:cs="宋体"/>
          <w:b/>
          <w:bCs/>
          <w:spacing w:val="-8"/>
          <w:sz w:val="36"/>
          <w:szCs w:val="36"/>
          <w:lang w:eastAsia="zh-CN"/>
        </w:rPr>
        <w:t>部门整体支出绩效评价基础数据表</w:t>
      </w:r>
    </w:p>
    <w:p>
      <w:pPr>
        <w:spacing w:line="219" w:lineRule="auto"/>
        <w:ind w:left="545"/>
        <w:rPr>
          <w:rFonts w:hint="eastAsia" w:ascii="宋体" w:hAnsi="宋体" w:eastAsia="宋体" w:cs="宋体"/>
          <w:spacing w:val="-1"/>
          <w:lang w:eastAsia="zh-CN"/>
        </w:rPr>
      </w:pPr>
    </w:p>
    <w:p>
      <w:pPr>
        <w:spacing w:line="219" w:lineRule="auto"/>
        <w:ind w:left="545"/>
        <w:rPr>
          <w:rFonts w:hint="eastAsia" w:ascii="宋体" w:hAnsi="宋体" w:eastAsia="宋体" w:cs="宋体"/>
          <w:spacing w:val="-1"/>
          <w:lang w:eastAsia="zh-CN"/>
        </w:rPr>
      </w:pPr>
      <w:r>
        <w:rPr>
          <w:rFonts w:ascii="宋体" w:hAnsi="宋体" w:eastAsia="宋体" w:cs="宋体"/>
          <w:spacing w:val="-1"/>
        </w:rPr>
        <w:t>填报单位：</w:t>
      </w:r>
      <w:r>
        <w:rPr>
          <w:rFonts w:hint="eastAsia" w:ascii="宋体" w:hAnsi="宋体" w:eastAsia="宋体" w:cs="宋体"/>
          <w:spacing w:val="-1"/>
          <w:lang w:eastAsia="zh-CN"/>
        </w:rPr>
        <w:t xml:space="preserve"> 中共怀化市鹤城区委政法委员会                                                                                                        </w:t>
      </w:r>
    </w:p>
    <w:p>
      <w:pPr>
        <w:spacing w:line="219" w:lineRule="auto"/>
        <w:ind w:left="545"/>
        <w:rPr>
          <w:rFonts w:ascii="宋体" w:hAnsi="宋体" w:eastAsia="宋体" w:cs="宋体"/>
          <w:spacing w:val="-1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 xml:space="preserve">                                                           单位：万元</w:t>
      </w:r>
    </w:p>
    <w:p>
      <w:pPr>
        <w:spacing w:line="37" w:lineRule="exact"/>
      </w:pPr>
    </w:p>
    <w:tbl>
      <w:tblPr>
        <w:tblStyle w:val="7"/>
        <w:tblpPr w:leftFromText="180" w:rightFromText="180" w:vertAnchor="text" w:horzAnchor="page" w:tblpX="1244" w:tblpY="79"/>
        <w:tblOverlap w:val="never"/>
        <w:tblW w:w="93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31"/>
        <w:gridCol w:w="1169"/>
        <w:gridCol w:w="849"/>
        <w:gridCol w:w="1109"/>
        <w:gridCol w:w="1088"/>
        <w:gridCol w:w="969"/>
        <w:gridCol w:w="8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331" w:type="dxa"/>
            <w:vMerge w:val="restart"/>
            <w:tcBorders>
              <w:bottom w:val="nil"/>
            </w:tcBorders>
            <w:vAlign w:val="center"/>
          </w:tcPr>
          <w:p>
            <w:pPr>
              <w:spacing w:before="262" w:line="219" w:lineRule="auto"/>
              <w:ind w:left="875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财政供养人员情况</w:t>
            </w:r>
          </w:p>
        </w:tc>
        <w:tc>
          <w:tcPr>
            <w:tcW w:w="2018" w:type="dxa"/>
            <w:gridSpan w:val="2"/>
            <w:vAlign w:val="center"/>
          </w:tcPr>
          <w:p>
            <w:pPr>
              <w:spacing w:before="103" w:line="219" w:lineRule="auto"/>
              <w:ind w:left="703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编制数</w:t>
            </w:r>
          </w:p>
        </w:tc>
        <w:tc>
          <w:tcPr>
            <w:tcW w:w="2197" w:type="dxa"/>
            <w:gridSpan w:val="2"/>
            <w:vAlign w:val="center"/>
          </w:tcPr>
          <w:p>
            <w:pPr>
              <w:spacing w:before="103" w:line="219" w:lineRule="auto"/>
              <w:ind w:left="19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2023年实际在职人数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before="103" w:line="219" w:lineRule="auto"/>
              <w:ind w:left="618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控制率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3331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2018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37</w:t>
            </w:r>
          </w:p>
        </w:tc>
        <w:tc>
          <w:tcPr>
            <w:tcW w:w="2197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97.30%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  <w:vAlign w:val="center"/>
          </w:tcPr>
          <w:p>
            <w:pPr>
              <w:spacing w:before="99" w:line="220" w:lineRule="auto"/>
              <w:ind w:left="104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经费控制情况</w:t>
            </w:r>
          </w:p>
        </w:tc>
        <w:tc>
          <w:tcPr>
            <w:tcW w:w="2018" w:type="dxa"/>
            <w:gridSpan w:val="2"/>
            <w:vAlign w:val="center"/>
          </w:tcPr>
          <w:p>
            <w:pPr>
              <w:spacing w:before="99" w:line="219" w:lineRule="auto"/>
              <w:ind w:left="403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2022年决算数</w:t>
            </w:r>
          </w:p>
        </w:tc>
        <w:tc>
          <w:tcPr>
            <w:tcW w:w="2197" w:type="dxa"/>
            <w:gridSpan w:val="2"/>
            <w:vAlign w:val="center"/>
          </w:tcPr>
          <w:p>
            <w:pPr>
              <w:spacing w:before="99" w:line="219" w:lineRule="auto"/>
              <w:ind w:left="496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2023年预算数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before="99" w:line="219" w:lineRule="auto"/>
              <w:ind w:left="318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2023年决算数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  <w:vAlign w:val="center"/>
          </w:tcPr>
          <w:p>
            <w:pPr>
              <w:spacing w:before="100" w:line="220" w:lineRule="auto"/>
              <w:ind w:left="10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三公经费</w:t>
            </w:r>
          </w:p>
        </w:tc>
        <w:tc>
          <w:tcPr>
            <w:tcW w:w="2018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2197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0.36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3331" w:type="dxa"/>
            <w:vAlign w:val="center"/>
          </w:tcPr>
          <w:p>
            <w:pPr>
              <w:spacing w:before="99" w:line="219" w:lineRule="auto"/>
              <w:ind w:left="404"/>
              <w:jc w:val="center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z w:val="20"/>
                <w:szCs w:val="20"/>
                <w:lang w:eastAsia="zh-CN"/>
              </w:rPr>
              <w:t>1、公务用车购置和维护经费</w:t>
            </w:r>
          </w:p>
        </w:tc>
        <w:tc>
          <w:tcPr>
            <w:tcW w:w="2018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2197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  <w:vAlign w:val="center"/>
          </w:tcPr>
          <w:p>
            <w:pPr>
              <w:spacing w:before="100" w:line="219" w:lineRule="auto"/>
              <w:ind w:left="795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其中：公车购置</w:t>
            </w:r>
          </w:p>
        </w:tc>
        <w:tc>
          <w:tcPr>
            <w:tcW w:w="2018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197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331" w:type="dxa"/>
            <w:vAlign w:val="center"/>
          </w:tcPr>
          <w:p>
            <w:pPr>
              <w:spacing w:before="100" w:line="219" w:lineRule="auto"/>
              <w:ind w:left="136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公车运行维护</w:t>
            </w:r>
          </w:p>
        </w:tc>
        <w:tc>
          <w:tcPr>
            <w:tcW w:w="2018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197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  <w:vAlign w:val="center"/>
          </w:tcPr>
          <w:p>
            <w:pPr>
              <w:spacing w:before="101" w:line="220" w:lineRule="auto"/>
              <w:ind w:left="36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2、出国经费</w:t>
            </w:r>
          </w:p>
        </w:tc>
        <w:tc>
          <w:tcPr>
            <w:tcW w:w="2018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197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3331" w:type="dxa"/>
            <w:vAlign w:val="center"/>
          </w:tcPr>
          <w:p>
            <w:pPr>
              <w:spacing w:before="101" w:line="219" w:lineRule="auto"/>
              <w:ind w:left="35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3、公务接待</w:t>
            </w:r>
          </w:p>
        </w:tc>
        <w:tc>
          <w:tcPr>
            <w:tcW w:w="2018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2197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0.36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  <w:vAlign w:val="center"/>
          </w:tcPr>
          <w:p>
            <w:pPr>
              <w:spacing w:before="102" w:line="220" w:lineRule="auto"/>
              <w:ind w:left="9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项目支出：</w:t>
            </w:r>
          </w:p>
        </w:tc>
        <w:tc>
          <w:tcPr>
            <w:tcW w:w="2018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2197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553.98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  <w:lang w:val="en-US" w:eastAsia="zh-CN"/>
              </w:rPr>
              <w:t>1039.12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  <w:vAlign w:val="center"/>
          </w:tcPr>
          <w:p>
            <w:pPr>
              <w:spacing w:before="102" w:line="219" w:lineRule="auto"/>
              <w:ind w:left="495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1、业务工作经费</w:t>
            </w:r>
          </w:p>
        </w:tc>
        <w:tc>
          <w:tcPr>
            <w:tcW w:w="2018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197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397.40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407.63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331" w:type="dxa"/>
            <w:vAlign w:val="center"/>
          </w:tcPr>
          <w:p>
            <w:pPr>
              <w:spacing w:before="102" w:line="220" w:lineRule="auto"/>
              <w:ind w:left="45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2、运行维护经费</w:t>
            </w:r>
          </w:p>
        </w:tc>
        <w:tc>
          <w:tcPr>
            <w:tcW w:w="2018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197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156.59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631.49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  <w:vMerge w:val="restart"/>
            <w:tcBorders>
              <w:bottom w:val="nil"/>
            </w:tcBorders>
            <w:vAlign w:val="center"/>
          </w:tcPr>
          <w:p>
            <w:pPr>
              <w:spacing w:before="73" w:line="219" w:lineRule="auto"/>
              <w:ind w:left="474"/>
              <w:jc w:val="center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  <w:lang w:eastAsia="zh-CN"/>
              </w:rPr>
              <w:t>3、市级专项资金</w:t>
            </w:r>
          </w:p>
          <w:p>
            <w:pPr>
              <w:spacing w:before="62" w:line="219" w:lineRule="auto"/>
              <w:ind w:left="774"/>
              <w:jc w:val="center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  <w:lang w:eastAsia="zh-CN"/>
              </w:rPr>
              <w:t>(一个专项一行)</w:t>
            </w:r>
          </w:p>
        </w:tc>
        <w:tc>
          <w:tcPr>
            <w:tcW w:w="2018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2197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843" w:type="dxa"/>
            <w:gridSpan w:val="2"/>
            <w:vMerge w:val="restart"/>
            <w:tcBorders>
              <w:bottom w:val="nil"/>
            </w:tcBorders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3331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2018" w:type="dxa"/>
            <w:gridSpan w:val="2"/>
            <w:vAlign w:val="center"/>
          </w:tcPr>
          <w:p>
            <w:pPr>
              <w:pStyle w:val="8"/>
              <w:spacing w:line="230" w:lineRule="exact"/>
              <w:jc w:val="center"/>
              <w:rPr>
                <w:rFonts w:hint="eastAsia" w:ascii="宋体" w:hAnsi="宋体" w:eastAsia="宋体" w:cs="宋体"/>
                <w:sz w:val="20"/>
                <w:lang w:eastAsia="zh-CN"/>
              </w:rPr>
            </w:pPr>
          </w:p>
        </w:tc>
        <w:tc>
          <w:tcPr>
            <w:tcW w:w="2197" w:type="dxa"/>
            <w:gridSpan w:val="2"/>
            <w:vAlign w:val="center"/>
          </w:tcPr>
          <w:p>
            <w:pPr>
              <w:pStyle w:val="8"/>
              <w:spacing w:line="230" w:lineRule="exact"/>
              <w:jc w:val="center"/>
              <w:rPr>
                <w:rFonts w:hint="eastAsia" w:ascii="宋体" w:hAnsi="宋体" w:eastAsia="宋体" w:cs="宋体"/>
                <w:sz w:val="20"/>
                <w:lang w:eastAsia="zh-CN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331" w:type="dxa"/>
            <w:vAlign w:val="center"/>
          </w:tcPr>
          <w:p>
            <w:pPr>
              <w:spacing w:before="103" w:line="219" w:lineRule="auto"/>
              <w:ind w:left="495"/>
              <w:jc w:val="center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  <w:lang w:eastAsia="zh-CN"/>
              </w:rPr>
              <w:t>4、其他事业类发展资金</w:t>
            </w:r>
          </w:p>
        </w:tc>
        <w:tc>
          <w:tcPr>
            <w:tcW w:w="2018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2197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3331" w:type="dxa"/>
            <w:vAlign w:val="center"/>
          </w:tcPr>
          <w:p>
            <w:pPr>
              <w:spacing w:before="84" w:line="199" w:lineRule="auto"/>
              <w:ind w:left="148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·</w:t>
            </w:r>
          </w:p>
        </w:tc>
        <w:tc>
          <w:tcPr>
            <w:tcW w:w="2018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197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  <w:vAlign w:val="center"/>
          </w:tcPr>
          <w:p>
            <w:pPr>
              <w:spacing w:before="104" w:line="220" w:lineRule="auto"/>
              <w:ind w:left="7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公用经费</w:t>
            </w:r>
          </w:p>
        </w:tc>
        <w:tc>
          <w:tcPr>
            <w:tcW w:w="2018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32.05</w:t>
            </w:r>
          </w:p>
        </w:tc>
        <w:tc>
          <w:tcPr>
            <w:tcW w:w="2197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51.72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42.40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3331" w:type="dxa"/>
            <w:vAlign w:val="center"/>
          </w:tcPr>
          <w:p>
            <w:pPr>
              <w:spacing w:before="104" w:line="219" w:lineRule="auto"/>
              <w:ind w:left="495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其中：办公费</w:t>
            </w:r>
          </w:p>
        </w:tc>
        <w:tc>
          <w:tcPr>
            <w:tcW w:w="2018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16.9</w:t>
            </w:r>
          </w:p>
        </w:tc>
        <w:tc>
          <w:tcPr>
            <w:tcW w:w="2197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31.92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41.55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  <w:vAlign w:val="center"/>
          </w:tcPr>
          <w:p>
            <w:pPr>
              <w:spacing w:before="105" w:line="219" w:lineRule="auto"/>
              <w:ind w:left="106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水费、电费、差旅费</w:t>
            </w:r>
          </w:p>
        </w:tc>
        <w:tc>
          <w:tcPr>
            <w:tcW w:w="2018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</w:p>
        </w:tc>
        <w:tc>
          <w:tcPr>
            <w:tcW w:w="2197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17.92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3331" w:type="dxa"/>
            <w:vAlign w:val="center"/>
          </w:tcPr>
          <w:p>
            <w:pPr>
              <w:spacing w:before="73" w:line="219" w:lineRule="auto"/>
              <w:ind w:left="107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会议费、培训费</w:t>
            </w:r>
          </w:p>
        </w:tc>
        <w:tc>
          <w:tcPr>
            <w:tcW w:w="2018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0.33</w:t>
            </w:r>
          </w:p>
        </w:tc>
        <w:tc>
          <w:tcPr>
            <w:tcW w:w="2197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  <w:vAlign w:val="center"/>
          </w:tcPr>
          <w:p>
            <w:pPr>
              <w:spacing w:before="105" w:line="219" w:lineRule="auto"/>
              <w:ind w:left="9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政府采购金额</w:t>
            </w:r>
          </w:p>
        </w:tc>
        <w:tc>
          <w:tcPr>
            <w:tcW w:w="2018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197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  <w:vAlign w:val="center"/>
          </w:tcPr>
          <w:p>
            <w:pPr>
              <w:spacing w:before="105" w:line="219" w:lineRule="auto"/>
              <w:ind w:left="94"/>
              <w:jc w:val="center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  <w:lang w:eastAsia="zh-CN"/>
              </w:rPr>
              <w:t>部门基本支出预算调整</w:t>
            </w:r>
          </w:p>
        </w:tc>
        <w:tc>
          <w:tcPr>
            <w:tcW w:w="2018" w:type="dxa"/>
            <w:gridSpan w:val="2"/>
            <w:vAlign w:val="center"/>
          </w:tcPr>
          <w:p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2197" w:type="dxa"/>
            <w:gridSpan w:val="2"/>
            <w:vAlign w:val="center"/>
          </w:tcPr>
          <w:p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pStyle w:val="8"/>
              <w:jc w:val="center"/>
              <w:rPr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3331" w:type="dxa"/>
            <w:vMerge w:val="restart"/>
            <w:tcBorders>
              <w:bottom w:val="nil"/>
            </w:tcBorders>
            <w:vAlign w:val="center"/>
          </w:tcPr>
          <w:p>
            <w:pPr>
              <w:pStyle w:val="8"/>
              <w:spacing w:line="269" w:lineRule="auto"/>
              <w:jc w:val="center"/>
              <w:rPr>
                <w:lang w:eastAsia="zh-CN"/>
              </w:rPr>
            </w:pPr>
          </w:p>
          <w:p>
            <w:pPr>
              <w:spacing w:before="65" w:line="219" w:lineRule="auto"/>
              <w:ind w:left="855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楼堂馆所控制情况</w:t>
            </w:r>
          </w:p>
        </w:tc>
        <w:tc>
          <w:tcPr>
            <w:tcW w:w="1169" w:type="dxa"/>
            <w:vAlign w:val="center"/>
          </w:tcPr>
          <w:p>
            <w:pPr>
              <w:spacing w:before="195" w:line="233" w:lineRule="auto"/>
              <w:ind w:left="323" w:right="191" w:hanging="14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批复规模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(m²)</w:t>
            </w:r>
          </w:p>
        </w:tc>
        <w:tc>
          <w:tcPr>
            <w:tcW w:w="849" w:type="dxa"/>
            <w:vAlign w:val="center"/>
          </w:tcPr>
          <w:p>
            <w:pPr>
              <w:spacing w:before="196" w:line="225" w:lineRule="auto"/>
              <w:ind w:left="64" w:right="30" w:firstLine="4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实际规</w:t>
            </w:r>
            <w:r>
              <w:rPr>
                <w:rFonts w:ascii="宋体" w:hAnsi="宋体" w:eastAsia="宋体" w:cs="宋体"/>
                <w:spacing w:val="28"/>
                <w:sz w:val="20"/>
                <w:szCs w:val="20"/>
              </w:rPr>
              <w:t>模(m²)</w:t>
            </w:r>
          </w:p>
        </w:tc>
        <w:tc>
          <w:tcPr>
            <w:tcW w:w="1109" w:type="dxa"/>
            <w:vAlign w:val="center"/>
          </w:tcPr>
          <w:p>
            <w:pPr>
              <w:spacing w:before="195" w:line="236" w:lineRule="auto"/>
              <w:ind w:left="444" w:right="135" w:hanging="29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规模控制</w:t>
            </w:r>
            <w:r>
              <w:rPr>
                <w:rFonts w:ascii="宋体" w:hAnsi="宋体" w:eastAsia="宋体" w:cs="宋体"/>
                <w:sz w:val="20"/>
                <w:szCs w:val="20"/>
              </w:rPr>
              <w:t>率</w:t>
            </w:r>
          </w:p>
        </w:tc>
        <w:tc>
          <w:tcPr>
            <w:tcW w:w="1088" w:type="dxa"/>
            <w:vAlign w:val="center"/>
          </w:tcPr>
          <w:p>
            <w:pPr>
              <w:spacing w:before="196" w:line="219" w:lineRule="auto"/>
              <w:ind w:left="13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预算投资</w:t>
            </w:r>
          </w:p>
          <w:p>
            <w:pPr>
              <w:spacing w:before="23" w:line="220" w:lineRule="auto"/>
              <w:ind w:left="23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(万元)</w:t>
            </w:r>
          </w:p>
        </w:tc>
        <w:tc>
          <w:tcPr>
            <w:tcW w:w="969" w:type="dxa"/>
            <w:vAlign w:val="center"/>
          </w:tcPr>
          <w:p>
            <w:pPr>
              <w:spacing w:before="77" w:line="212" w:lineRule="auto"/>
              <w:ind w:left="17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实际投</w:t>
            </w:r>
          </w:p>
          <w:p>
            <w:pPr>
              <w:spacing w:line="220" w:lineRule="auto"/>
              <w:ind w:left="17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0"/>
                <w:sz w:val="20"/>
                <w:szCs w:val="20"/>
              </w:rPr>
              <w:t>资(万</w:t>
            </w:r>
          </w:p>
          <w:p>
            <w:pPr>
              <w:spacing w:before="31" w:line="220" w:lineRule="auto"/>
              <w:ind w:left="328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元)</w:t>
            </w:r>
          </w:p>
        </w:tc>
        <w:tc>
          <w:tcPr>
            <w:tcW w:w="874" w:type="dxa"/>
            <w:vAlign w:val="center"/>
          </w:tcPr>
          <w:p>
            <w:pPr>
              <w:spacing w:before="86" w:line="212" w:lineRule="auto"/>
              <w:ind w:left="12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投资概</w:t>
            </w:r>
          </w:p>
          <w:p>
            <w:pPr>
              <w:spacing w:line="219" w:lineRule="auto"/>
              <w:ind w:left="12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算控制</w:t>
            </w:r>
          </w:p>
          <w:p>
            <w:pPr>
              <w:spacing w:before="32" w:line="219" w:lineRule="auto"/>
              <w:ind w:left="33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3331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169" w:type="dxa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849" w:type="dxa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109" w:type="dxa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088" w:type="dxa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969" w:type="dxa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874" w:type="dxa"/>
            <w:vAlign w:val="center"/>
          </w:tcPr>
          <w:p>
            <w:pPr>
              <w:pStyle w:val="8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3331" w:type="dxa"/>
            <w:vAlign w:val="center"/>
          </w:tcPr>
          <w:p>
            <w:pPr>
              <w:spacing w:before="137" w:line="219" w:lineRule="auto"/>
              <w:ind w:left="865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厉行节约保障措施</w:t>
            </w:r>
          </w:p>
        </w:tc>
        <w:tc>
          <w:tcPr>
            <w:tcW w:w="6058" w:type="dxa"/>
            <w:gridSpan w:val="6"/>
            <w:vAlign w:val="center"/>
          </w:tcPr>
          <w:p>
            <w:pPr>
              <w:pStyle w:val="8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按财政要求压减开支，厉行节约</w:t>
            </w:r>
          </w:p>
        </w:tc>
      </w:tr>
    </w:tbl>
    <w:p>
      <w:pPr>
        <w:pStyle w:val="2"/>
        <w:spacing w:before="12" w:line="285" w:lineRule="auto"/>
        <w:ind w:right="285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说明：“项目支出”需要填报基本支出以外的所有项目支出情况，“公用经费”填报基本支出中的一般商品和服务支出。</w:t>
      </w:r>
    </w:p>
    <w:p>
      <w:pPr>
        <w:pStyle w:val="2"/>
        <w:spacing w:before="12" w:line="285" w:lineRule="auto"/>
        <w:ind w:right="285" w:firstLine="420" w:firstLineChars="200"/>
        <w:rPr>
          <w:rFonts w:hint="default" w:ascii="Arial"/>
          <w:sz w:val="21"/>
          <w:lang w:val="en-US"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填表人：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彭程         </w:t>
      </w:r>
      <w:r>
        <w:rPr>
          <w:rFonts w:ascii="宋体" w:hAnsi="宋体" w:eastAsia="宋体" w:cs="宋体"/>
          <w:sz w:val="21"/>
          <w:szCs w:val="21"/>
          <w:lang w:eastAsia="zh-CN"/>
        </w:rPr>
        <w:t>填报日期：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2024年10月16日     </w:t>
      </w:r>
      <w:r>
        <w:rPr>
          <w:rFonts w:ascii="宋体" w:hAnsi="宋体" w:eastAsia="宋体" w:cs="宋体"/>
          <w:sz w:val="21"/>
          <w:szCs w:val="21"/>
          <w:lang w:eastAsia="zh-CN"/>
        </w:rPr>
        <w:t>联系电话：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18608459233</w:t>
      </w:r>
    </w:p>
    <w:p>
      <w:pPr>
        <w:spacing w:line="242" w:lineRule="auto"/>
        <w:rPr>
          <w:lang w:eastAsia="zh-CN"/>
        </w:rPr>
      </w:pPr>
    </w:p>
    <w:p>
      <w:pPr>
        <w:spacing w:line="242" w:lineRule="auto"/>
        <w:rPr>
          <w:lang w:eastAsia="zh-CN"/>
        </w:rPr>
      </w:pPr>
    </w:p>
    <w:p>
      <w:pPr>
        <w:pStyle w:val="2"/>
        <w:widowControl w:val="0"/>
        <w:numPr>
          <w:ilvl w:val="0"/>
          <w:numId w:val="5"/>
        </w:numPr>
        <w:kinsoku/>
        <w:overflowPunct w:val="0"/>
        <w:spacing w:line="360" w:lineRule="auto"/>
        <w:ind w:firstLine="624" w:firstLineChars="200"/>
        <w:rPr>
          <w:spacing w:val="-4"/>
          <w:sz w:val="32"/>
          <w:szCs w:val="32"/>
          <w:lang w:eastAsia="zh-CN"/>
        </w:rPr>
      </w:pPr>
      <w:r>
        <w:rPr>
          <w:spacing w:val="-4"/>
          <w:sz w:val="32"/>
          <w:szCs w:val="32"/>
          <w:lang w:eastAsia="zh-CN"/>
        </w:rPr>
        <w:t>部门整体支出绩效自评</w:t>
      </w:r>
    </w:p>
    <w:p>
      <w:pPr>
        <w:spacing w:before="97" w:line="202" w:lineRule="auto"/>
        <w:ind w:left="3070"/>
        <w:jc w:val="both"/>
        <w:rPr>
          <w:rFonts w:ascii="宋体" w:hAnsi="宋体" w:eastAsia="宋体" w:cs="宋体"/>
          <w:b/>
          <w:bCs/>
          <w:spacing w:val="-4"/>
          <w:sz w:val="36"/>
          <w:szCs w:val="36"/>
          <w:lang w:eastAsia="zh-CN"/>
        </w:rPr>
      </w:pPr>
      <w:r>
        <w:rPr>
          <w:rFonts w:ascii="宋体" w:hAnsi="宋体" w:eastAsia="宋体" w:cs="宋体"/>
          <w:b/>
          <w:bCs/>
          <w:spacing w:val="-4"/>
          <w:sz w:val="36"/>
          <w:szCs w:val="36"/>
          <w:lang w:eastAsia="zh-CN"/>
        </w:rPr>
        <w:t>整体支出绩效自评表</w:t>
      </w:r>
    </w:p>
    <w:tbl>
      <w:tblPr>
        <w:tblStyle w:val="7"/>
        <w:tblW w:w="10074" w:type="dxa"/>
        <w:tblInd w:w="-84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5"/>
        <w:gridCol w:w="840"/>
        <w:gridCol w:w="1116"/>
        <w:gridCol w:w="1809"/>
        <w:gridCol w:w="1140"/>
        <w:gridCol w:w="1410"/>
        <w:gridCol w:w="765"/>
        <w:gridCol w:w="600"/>
        <w:gridCol w:w="10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335" w:type="dxa"/>
            <w:vAlign w:val="center"/>
          </w:tcPr>
          <w:p>
            <w:pPr>
              <w:spacing w:before="23" w:line="208" w:lineRule="auto"/>
              <w:ind w:left="364" w:right="178" w:hanging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预算单位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名称</w:t>
            </w:r>
          </w:p>
        </w:tc>
        <w:tc>
          <w:tcPr>
            <w:tcW w:w="8739" w:type="dxa"/>
            <w:gridSpan w:val="8"/>
            <w:vAlign w:val="center"/>
          </w:tcPr>
          <w:p>
            <w:pPr>
              <w:pStyle w:val="8"/>
              <w:jc w:val="center"/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中共怀化市鹤城区委政法委员会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335" w:type="dxa"/>
            <w:vMerge w:val="restart"/>
            <w:tcBorders>
              <w:bottom w:val="nil"/>
            </w:tcBorders>
            <w:vAlign w:val="center"/>
          </w:tcPr>
          <w:p>
            <w:pPr>
              <w:pStyle w:val="8"/>
              <w:spacing w:line="244" w:lineRule="auto"/>
              <w:jc w:val="center"/>
            </w:pPr>
          </w:p>
          <w:p>
            <w:pPr>
              <w:pStyle w:val="8"/>
              <w:spacing w:line="244" w:lineRule="auto"/>
              <w:jc w:val="center"/>
            </w:pPr>
          </w:p>
          <w:p>
            <w:pPr>
              <w:pStyle w:val="8"/>
              <w:spacing w:line="245" w:lineRule="auto"/>
              <w:jc w:val="center"/>
            </w:pPr>
          </w:p>
          <w:p>
            <w:pPr>
              <w:pStyle w:val="8"/>
              <w:spacing w:line="245" w:lineRule="auto"/>
              <w:jc w:val="center"/>
            </w:pPr>
          </w:p>
          <w:p>
            <w:pPr>
              <w:spacing w:before="65" w:line="221" w:lineRule="auto"/>
              <w:ind w:left="264" w:right="225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年度预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算申请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(万元)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809" w:type="dxa"/>
            <w:vAlign w:val="center"/>
          </w:tcPr>
          <w:p>
            <w:pPr>
              <w:spacing w:before="139" w:line="225" w:lineRule="auto"/>
              <w:ind w:left="212" w:right="225" w:firstLine="9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年初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预算数</w:t>
            </w:r>
          </w:p>
        </w:tc>
        <w:tc>
          <w:tcPr>
            <w:tcW w:w="1140" w:type="dxa"/>
            <w:vAlign w:val="center"/>
          </w:tcPr>
          <w:p>
            <w:pPr>
              <w:spacing w:before="269" w:line="219" w:lineRule="auto"/>
              <w:ind w:left="133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全年预算数</w:t>
            </w:r>
          </w:p>
        </w:tc>
        <w:tc>
          <w:tcPr>
            <w:tcW w:w="1410" w:type="dxa"/>
            <w:vAlign w:val="center"/>
          </w:tcPr>
          <w:p>
            <w:pPr>
              <w:spacing w:before="139" w:line="220" w:lineRule="auto"/>
              <w:ind w:left="255" w:right="270" w:firstLine="9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全年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执行数</w:t>
            </w:r>
          </w:p>
        </w:tc>
        <w:tc>
          <w:tcPr>
            <w:tcW w:w="765" w:type="dxa"/>
            <w:vAlign w:val="center"/>
          </w:tcPr>
          <w:p>
            <w:pPr>
              <w:spacing w:before="269" w:line="219" w:lineRule="auto"/>
              <w:ind w:left="14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分值</w:t>
            </w:r>
          </w:p>
        </w:tc>
        <w:tc>
          <w:tcPr>
            <w:tcW w:w="600" w:type="dxa"/>
            <w:textDirection w:val="tbRlV"/>
            <w:vAlign w:val="center"/>
          </w:tcPr>
          <w:p>
            <w:pPr>
              <w:spacing w:before="139" w:line="200" w:lineRule="auto"/>
              <w:ind w:left="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执行率</w:t>
            </w:r>
          </w:p>
        </w:tc>
        <w:tc>
          <w:tcPr>
            <w:tcW w:w="1059" w:type="dxa"/>
            <w:vAlign w:val="center"/>
          </w:tcPr>
          <w:p>
            <w:pPr>
              <w:spacing w:before="269" w:line="219" w:lineRule="auto"/>
              <w:ind w:left="388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956" w:type="dxa"/>
            <w:gridSpan w:val="2"/>
            <w:vAlign w:val="center"/>
          </w:tcPr>
          <w:p>
            <w:pPr>
              <w:spacing w:before="70" w:line="219" w:lineRule="auto"/>
              <w:ind w:left="5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年度资金总额</w:t>
            </w:r>
          </w:p>
        </w:tc>
        <w:tc>
          <w:tcPr>
            <w:tcW w:w="1809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1080.88</w:t>
            </w:r>
          </w:p>
        </w:tc>
        <w:tc>
          <w:tcPr>
            <w:tcW w:w="1140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</w:rPr>
              <w:t>1080.88</w:t>
            </w:r>
          </w:p>
        </w:tc>
        <w:tc>
          <w:tcPr>
            <w:tcW w:w="1410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1516.68</w:t>
            </w:r>
          </w:p>
        </w:tc>
        <w:tc>
          <w:tcPr>
            <w:tcW w:w="765" w:type="dxa"/>
            <w:vAlign w:val="center"/>
          </w:tcPr>
          <w:p>
            <w:pPr>
              <w:spacing w:before="120" w:line="184" w:lineRule="auto"/>
              <w:ind w:left="247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6"/>
                <w:sz w:val="20"/>
                <w:szCs w:val="20"/>
              </w:rPr>
              <w:t>10</w:t>
            </w:r>
          </w:p>
        </w:tc>
        <w:tc>
          <w:tcPr>
            <w:tcW w:w="600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140.32</w:t>
            </w:r>
          </w:p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%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4905" w:type="dxa"/>
            <w:gridSpan w:val="4"/>
            <w:vAlign w:val="center"/>
          </w:tcPr>
          <w:p>
            <w:pPr>
              <w:spacing w:before="80" w:line="219" w:lineRule="auto"/>
              <w:ind w:left="331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按收入性质分：</w:t>
            </w:r>
          </w:p>
        </w:tc>
        <w:tc>
          <w:tcPr>
            <w:tcW w:w="3834" w:type="dxa"/>
            <w:gridSpan w:val="4"/>
            <w:vAlign w:val="center"/>
          </w:tcPr>
          <w:p>
            <w:pPr>
              <w:spacing w:before="80" w:line="219" w:lineRule="auto"/>
              <w:ind w:left="95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按支出性质分：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4905" w:type="dxa"/>
            <w:gridSpan w:val="4"/>
            <w:vAlign w:val="center"/>
          </w:tcPr>
          <w:p>
            <w:pPr>
              <w:spacing w:before="70" w:line="219" w:lineRule="auto"/>
              <w:ind w:left="331"/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0"/>
                <w:szCs w:val="20"/>
                <w:lang w:eastAsia="zh-CN"/>
              </w:rPr>
              <w:t>其中：一般公共预算：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1516.68</w:t>
            </w:r>
          </w:p>
        </w:tc>
        <w:tc>
          <w:tcPr>
            <w:tcW w:w="3834" w:type="dxa"/>
            <w:gridSpan w:val="4"/>
            <w:vAlign w:val="center"/>
          </w:tcPr>
          <w:p>
            <w:pPr>
              <w:spacing w:before="68" w:line="219" w:lineRule="auto"/>
              <w:ind w:left="95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其中：基本支出：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477.56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4905" w:type="dxa"/>
            <w:gridSpan w:val="4"/>
            <w:vAlign w:val="center"/>
          </w:tcPr>
          <w:p>
            <w:pPr>
              <w:spacing w:before="69" w:line="219" w:lineRule="auto"/>
              <w:ind w:left="90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政府性基金拨款：</w:t>
            </w:r>
          </w:p>
        </w:tc>
        <w:tc>
          <w:tcPr>
            <w:tcW w:w="3834" w:type="dxa"/>
            <w:gridSpan w:val="4"/>
            <w:vAlign w:val="center"/>
          </w:tcPr>
          <w:p>
            <w:pPr>
              <w:spacing w:before="70" w:line="220" w:lineRule="auto"/>
              <w:ind w:left="715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</w:rPr>
              <w:t>项目支出：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  <w:lang w:val="en-US" w:eastAsia="zh-CN"/>
              </w:rPr>
              <w:t>1039.12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4905" w:type="dxa"/>
            <w:gridSpan w:val="4"/>
            <w:vAlign w:val="center"/>
          </w:tcPr>
          <w:p>
            <w:pPr>
              <w:spacing w:before="70" w:line="219" w:lineRule="auto"/>
              <w:ind w:left="331"/>
              <w:jc w:val="center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  <w:lang w:eastAsia="zh-CN"/>
              </w:rPr>
              <w:t>纳入专户管理的非税收入拨款：</w:t>
            </w:r>
          </w:p>
        </w:tc>
        <w:tc>
          <w:tcPr>
            <w:tcW w:w="3834" w:type="dxa"/>
            <w:gridSpan w:val="4"/>
            <w:vAlign w:val="center"/>
          </w:tcPr>
          <w:p>
            <w:pPr>
              <w:pStyle w:val="8"/>
              <w:jc w:val="center"/>
              <w:rPr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35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4905" w:type="dxa"/>
            <w:gridSpan w:val="4"/>
            <w:vAlign w:val="center"/>
          </w:tcPr>
          <w:p>
            <w:pPr>
              <w:spacing w:before="41" w:line="202" w:lineRule="auto"/>
              <w:ind w:left="1521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其他资金：</w:t>
            </w:r>
          </w:p>
        </w:tc>
        <w:tc>
          <w:tcPr>
            <w:tcW w:w="3834" w:type="dxa"/>
            <w:gridSpan w:val="4"/>
            <w:vAlign w:val="center"/>
          </w:tcPr>
          <w:p>
            <w:pPr>
              <w:pStyle w:val="8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335" w:type="dxa"/>
            <w:vMerge w:val="restart"/>
            <w:tcBorders>
              <w:bottom w:val="nil"/>
            </w:tcBorders>
            <w:vAlign w:val="center"/>
          </w:tcPr>
          <w:p>
            <w:pPr>
              <w:spacing w:before="89" w:line="226" w:lineRule="auto"/>
              <w:ind w:left="364" w:right="177" w:hanging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年度总体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目标</w:t>
            </w:r>
          </w:p>
        </w:tc>
        <w:tc>
          <w:tcPr>
            <w:tcW w:w="4905" w:type="dxa"/>
            <w:gridSpan w:val="4"/>
            <w:vAlign w:val="center"/>
          </w:tcPr>
          <w:p>
            <w:pPr>
              <w:spacing w:before="70" w:line="220" w:lineRule="auto"/>
              <w:ind w:left="192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预期目标</w:t>
            </w:r>
          </w:p>
        </w:tc>
        <w:tc>
          <w:tcPr>
            <w:tcW w:w="3834" w:type="dxa"/>
            <w:gridSpan w:val="4"/>
            <w:vAlign w:val="center"/>
          </w:tcPr>
          <w:p>
            <w:pPr>
              <w:spacing w:before="70" w:line="219" w:lineRule="auto"/>
              <w:ind w:left="1165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335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4905" w:type="dxa"/>
            <w:gridSpan w:val="4"/>
            <w:vAlign w:val="center"/>
          </w:tcPr>
          <w:p>
            <w:pPr>
              <w:pStyle w:val="8"/>
              <w:spacing w:line="230" w:lineRule="exact"/>
              <w:jc w:val="center"/>
              <w:rPr>
                <w:rFonts w:hint="eastAsia" w:eastAsia="宋体"/>
                <w:sz w:val="20"/>
                <w:lang w:eastAsia="zh-CN"/>
              </w:rPr>
            </w:pPr>
            <w:r>
              <w:rPr>
                <w:rFonts w:hint="eastAsia"/>
                <w:sz w:val="20"/>
              </w:rPr>
              <w:t>政治安全大局保持稳定</w:t>
            </w:r>
            <w:r>
              <w:rPr>
                <w:rFonts w:hint="eastAsia" w:eastAsia="宋体"/>
                <w:sz w:val="20"/>
                <w:lang w:eastAsia="zh-CN"/>
              </w:rPr>
              <w:t>，信访维稳形势持续向好，化解矛盾纠纷1500余起，矛盾化解成功率98%，平安创建工作成效明显；社会治理创新进展顺利，扫黑除恶取得新的突破，扫黑除恶宣传覆盖10万余人。</w:t>
            </w:r>
          </w:p>
        </w:tc>
        <w:tc>
          <w:tcPr>
            <w:tcW w:w="3834" w:type="dxa"/>
            <w:gridSpan w:val="4"/>
            <w:vAlign w:val="center"/>
          </w:tcPr>
          <w:p>
            <w:pPr>
              <w:pStyle w:val="8"/>
              <w:spacing w:line="230" w:lineRule="exact"/>
              <w:jc w:val="center"/>
              <w:rPr>
                <w:rFonts w:hint="eastAsia" w:ascii="Arial" w:hAnsi="Arial" w:eastAsia="宋体" w:cs="Arial"/>
                <w:snapToGrid w:val="0"/>
                <w:color w:val="00000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政治安全大局保持稳定</w:t>
            </w:r>
            <w:r>
              <w:rPr>
                <w:rFonts w:hint="eastAsia" w:eastAsia="宋体"/>
                <w:sz w:val="20"/>
                <w:lang w:eastAsia="zh-CN"/>
              </w:rPr>
              <w:t>，信访维稳形势持续向好，化解矛盾纠纷1500余起，矛盾化解成功率98%，平安创建工作成效明显；社会治理创新进展顺利，扫黑除恶取得新的突破，扫黑除恶宣传覆盖10万余人。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335" w:type="dxa"/>
            <w:vMerge w:val="restart"/>
            <w:tcBorders>
              <w:bottom w:val="nil"/>
            </w:tcBorders>
            <w:textDirection w:val="tbRlV"/>
            <w:vAlign w:val="center"/>
          </w:tcPr>
          <w:p>
            <w:pPr>
              <w:pStyle w:val="8"/>
              <w:spacing w:line="396" w:lineRule="auto"/>
              <w:jc w:val="center"/>
            </w:pPr>
          </w:p>
          <w:p>
            <w:pPr>
              <w:spacing w:before="67" w:line="202" w:lineRule="auto"/>
              <w:ind w:left="3063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绩效指标</w:t>
            </w:r>
          </w:p>
        </w:tc>
        <w:tc>
          <w:tcPr>
            <w:tcW w:w="840" w:type="dxa"/>
            <w:vAlign w:val="center"/>
          </w:tcPr>
          <w:p>
            <w:pPr>
              <w:spacing w:before="261" w:line="220" w:lineRule="auto"/>
              <w:ind w:left="17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一级指标</w:t>
            </w:r>
          </w:p>
        </w:tc>
        <w:tc>
          <w:tcPr>
            <w:tcW w:w="1116" w:type="dxa"/>
            <w:vAlign w:val="center"/>
          </w:tcPr>
          <w:p>
            <w:pPr>
              <w:spacing w:before="261" w:line="220" w:lineRule="auto"/>
              <w:ind w:left="141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二级指标</w:t>
            </w:r>
          </w:p>
        </w:tc>
        <w:tc>
          <w:tcPr>
            <w:tcW w:w="1809" w:type="dxa"/>
            <w:vAlign w:val="center"/>
          </w:tcPr>
          <w:p>
            <w:pPr>
              <w:spacing w:before="261" w:line="220" w:lineRule="auto"/>
              <w:ind w:left="112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三级指标</w:t>
            </w:r>
          </w:p>
        </w:tc>
        <w:tc>
          <w:tcPr>
            <w:tcW w:w="1140" w:type="dxa"/>
            <w:vAlign w:val="center"/>
          </w:tcPr>
          <w:p>
            <w:pPr>
              <w:spacing w:before="141" w:line="220" w:lineRule="auto"/>
              <w:ind w:left="333" w:right="354" w:firstLine="9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年度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指标值</w:t>
            </w:r>
          </w:p>
        </w:tc>
        <w:tc>
          <w:tcPr>
            <w:tcW w:w="1410" w:type="dxa"/>
            <w:vAlign w:val="center"/>
          </w:tcPr>
          <w:p>
            <w:pPr>
              <w:spacing w:before="132" w:line="229" w:lineRule="auto"/>
              <w:ind w:left="255" w:right="272" w:firstLine="9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实际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完成值</w:t>
            </w:r>
          </w:p>
        </w:tc>
        <w:tc>
          <w:tcPr>
            <w:tcW w:w="765" w:type="dxa"/>
            <w:vAlign w:val="center"/>
          </w:tcPr>
          <w:p>
            <w:pPr>
              <w:spacing w:before="261" w:line="219" w:lineRule="auto"/>
              <w:ind w:left="14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分值</w:t>
            </w:r>
          </w:p>
        </w:tc>
        <w:tc>
          <w:tcPr>
            <w:tcW w:w="600" w:type="dxa"/>
            <w:textDirection w:val="tbRlV"/>
            <w:vAlign w:val="center"/>
          </w:tcPr>
          <w:p>
            <w:pPr>
              <w:spacing w:before="128" w:line="200" w:lineRule="auto"/>
              <w:ind w:left="142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得分</w:t>
            </w:r>
          </w:p>
        </w:tc>
        <w:tc>
          <w:tcPr>
            <w:tcW w:w="1059" w:type="dxa"/>
            <w:vAlign w:val="center"/>
          </w:tcPr>
          <w:p>
            <w:pPr>
              <w:spacing w:before="20" w:line="222" w:lineRule="auto"/>
              <w:ind w:left="288" w:right="174" w:hanging="100"/>
              <w:jc w:val="center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  <w:lang w:eastAsia="zh-CN"/>
              </w:rPr>
              <w:t>偏差原因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  <w:lang w:eastAsia="zh-CN"/>
              </w:rPr>
              <w:t>分析及</w:t>
            </w:r>
          </w:p>
          <w:p>
            <w:pPr>
              <w:spacing w:line="182" w:lineRule="auto"/>
              <w:ind w:left="188"/>
              <w:jc w:val="center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  <w:lang w:eastAsia="zh-CN"/>
              </w:rPr>
              <w:t>改进措施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840" w:type="dxa"/>
            <w:vMerge w:val="restart"/>
            <w:tcBorders>
              <w:bottom w:val="nil"/>
            </w:tcBorders>
            <w:vAlign w:val="center"/>
          </w:tcPr>
          <w:p>
            <w:pPr>
              <w:pStyle w:val="8"/>
              <w:spacing w:line="277" w:lineRule="auto"/>
              <w:jc w:val="center"/>
              <w:rPr>
                <w:lang w:eastAsia="zh-CN"/>
              </w:rPr>
            </w:pPr>
          </w:p>
          <w:p>
            <w:pPr>
              <w:pStyle w:val="8"/>
              <w:spacing w:line="277" w:lineRule="auto"/>
              <w:jc w:val="center"/>
              <w:rPr>
                <w:lang w:eastAsia="zh-CN"/>
              </w:rPr>
            </w:pPr>
          </w:p>
          <w:p>
            <w:pPr>
              <w:pStyle w:val="8"/>
              <w:spacing w:line="278" w:lineRule="auto"/>
              <w:jc w:val="center"/>
              <w:rPr>
                <w:lang w:eastAsia="zh-CN"/>
              </w:rPr>
            </w:pPr>
          </w:p>
          <w:p>
            <w:pPr>
              <w:pStyle w:val="8"/>
              <w:spacing w:line="278" w:lineRule="auto"/>
              <w:jc w:val="center"/>
              <w:rPr>
                <w:lang w:eastAsia="zh-CN"/>
              </w:rPr>
            </w:pPr>
          </w:p>
          <w:p>
            <w:pPr>
              <w:spacing w:before="65" w:line="219" w:lineRule="auto"/>
              <w:ind w:left="17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产出指标</w:t>
            </w:r>
          </w:p>
          <w:p>
            <w:pPr>
              <w:spacing w:before="33" w:line="220" w:lineRule="auto"/>
              <w:ind w:left="27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(50分)</w:t>
            </w:r>
          </w:p>
        </w:tc>
        <w:tc>
          <w:tcPr>
            <w:tcW w:w="1116" w:type="dxa"/>
            <w:vMerge w:val="restart"/>
            <w:tcBorders>
              <w:bottom w:val="nil"/>
            </w:tcBorders>
            <w:vAlign w:val="center"/>
          </w:tcPr>
          <w:p>
            <w:pPr>
              <w:spacing w:before="161" w:line="212" w:lineRule="auto"/>
              <w:ind w:left="341" w:right="36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数量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指标</w:t>
            </w: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受理涉法涉诉案件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≥30起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≥30起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spacing w:before="33" w:line="220" w:lineRule="auto"/>
              <w:ind w:left="270"/>
              <w:jc w:val="center"/>
              <w:rPr>
                <w:rFonts w:ascii="宋体" w:hAnsi="宋体" w:eastAsia="宋体" w:cs="宋体"/>
                <w:spacing w:val="8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vAlign w:val="center"/>
          </w:tcPr>
          <w:p>
            <w:pPr>
              <w:spacing w:before="161" w:line="212" w:lineRule="auto"/>
              <w:ind w:left="341" w:right="366"/>
              <w:jc w:val="center"/>
              <w:rPr>
                <w:rFonts w:ascii="宋体" w:hAnsi="宋体" w:eastAsia="宋体" w:cs="宋体"/>
                <w:spacing w:val="-5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接待涉法涉诉群众来信来访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≥300人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≥300人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spacing w:before="33" w:line="220" w:lineRule="auto"/>
              <w:ind w:left="270"/>
              <w:jc w:val="center"/>
              <w:rPr>
                <w:rFonts w:ascii="宋体" w:hAnsi="宋体" w:eastAsia="宋体" w:cs="宋体"/>
                <w:spacing w:val="8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vAlign w:val="center"/>
          </w:tcPr>
          <w:p>
            <w:pPr>
              <w:spacing w:before="161" w:line="212" w:lineRule="auto"/>
              <w:ind w:left="341" w:right="366"/>
              <w:jc w:val="center"/>
              <w:rPr>
                <w:rFonts w:ascii="宋体" w:hAnsi="宋体" w:eastAsia="宋体" w:cs="宋体"/>
                <w:spacing w:val="-5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受理司法救助案件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≥20件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≥20件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spacing w:before="33" w:line="220" w:lineRule="auto"/>
              <w:ind w:left="270"/>
              <w:jc w:val="center"/>
              <w:rPr>
                <w:rFonts w:ascii="宋体" w:hAnsi="宋体" w:eastAsia="宋体" w:cs="宋体"/>
                <w:spacing w:val="8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vAlign w:val="center"/>
          </w:tcPr>
          <w:p>
            <w:pPr>
              <w:spacing w:before="161" w:line="212" w:lineRule="auto"/>
              <w:ind w:left="341" w:right="366"/>
              <w:jc w:val="center"/>
              <w:rPr>
                <w:rFonts w:ascii="宋体" w:hAnsi="宋体" w:eastAsia="宋体" w:cs="宋体"/>
                <w:spacing w:val="-5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发放反邪宣传资料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≥10万份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≥10万份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spacing w:before="33" w:line="220" w:lineRule="auto"/>
              <w:ind w:left="270"/>
              <w:jc w:val="center"/>
              <w:rPr>
                <w:rFonts w:ascii="宋体" w:hAnsi="宋体" w:eastAsia="宋体" w:cs="宋体"/>
                <w:spacing w:val="8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vAlign w:val="center"/>
          </w:tcPr>
          <w:p>
            <w:pPr>
              <w:spacing w:before="161" w:line="212" w:lineRule="auto"/>
              <w:ind w:left="341" w:right="366"/>
              <w:jc w:val="center"/>
              <w:rPr>
                <w:rFonts w:ascii="宋体" w:hAnsi="宋体" w:eastAsia="宋体" w:cs="宋体"/>
                <w:spacing w:val="-5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组织反邪教宣传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≥4场次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≥4场次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spacing w:before="33" w:line="220" w:lineRule="auto"/>
              <w:ind w:left="270"/>
              <w:jc w:val="center"/>
              <w:rPr>
                <w:rFonts w:ascii="宋体" w:hAnsi="宋体" w:eastAsia="宋体" w:cs="宋体"/>
                <w:spacing w:val="8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vAlign w:val="center"/>
          </w:tcPr>
          <w:p>
            <w:pPr>
              <w:spacing w:before="161" w:line="212" w:lineRule="auto"/>
              <w:ind w:left="341" w:right="366"/>
              <w:jc w:val="center"/>
              <w:rPr>
                <w:rFonts w:ascii="宋体" w:hAnsi="宋体" w:eastAsia="宋体" w:cs="宋体"/>
                <w:spacing w:val="-5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铁路沿线隐患排查范围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全区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全区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spacing w:before="33" w:line="220" w:lineRule="auto"/>
              <w:ind w:left="270"/>
              <w:jc w:val="center"/>
              <w:rPr>
                <w:rFonts w:ascii="宋体" w:hAnsi="宋体" w:eastAsia="宋体" w:cs="宋体"/>
                <w:spacing w:val="8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vAlign w:val="center"/>
          </w:tcPr>
          <w:p>
            <w:pPr>
              <w:spacing w:before="161" w:line="212" w:lineRule="auto"/>
              <w:ind w:left="341" w:right="366"/>
              <w:jc w:val="center"/>
              <w:rPr>
                <w:rFonts w:ascii="宋体" w:hAnsi="宋体" w:eastAsia="宋体" w:cs="宋体"/>
                <w:spacing w:val="-5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铁路沿线隐患排查频率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≥3次/周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≥3次/周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spacing w:before="33" w:line="220" w:lineRule="auto"/>
              <w:ind w:left="270"/>
              <w:jc w:val="center"/>
              <w:rPr>
                <w:rFonts w:ascii="宋体" w:hAnsi="宋体" w:eastAsia="宋体" w:cs="宋体"/>
                <w:spacing w:val="8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vAlign w:val="center"/>
          </w:tcPr>
          <w:p>
            <w:pPr>
              <w:spacing w:before="161" w:line="212" w:lineRule="auto"/>
              <w:ind w:left="341" w:right="366"/>
              <w:jc w:val="center"/>
              <w:rPr>
                <w:rFonts w:ascii="宋体" w:hAnsi="宋体" w:eastAsia="宋体" w:cs="宋体"/>
                <w:spacing w:val="-5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铁路沿线隐患排查公里数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204.2公里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204.2公里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spacing w:before="33" w:line="220" w:lineRule="auto"/>
              <w:ind w:left="270"/>
              <w:jc w:val="center"/>
              <w:rPr>
                <w:rFonts w:ascii="宋体" w:hAnsi="宋体" w:eastAsia="宋体" w:cs="宋体"/>
                <w:spacing w:val="8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vAlign w:val="center"/>
          </w:tcPr>
          <w:p>
            <w:pPr>
              <w:spacing w:before="161" w:line="212" w:lineRule="auto"/>
              <w:ind w:left="341" w:right="366"/>
              <w:jc w:val="center"/>
              <w:rPr>
                <w:rFonts w:ascii="宋体" w:hAnsi="宋体" w:eastAsia="宋体" w:cs="宋体"/>
                <w:spacing w:val="-5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扫黑除恶宣传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≥10万人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≥10万人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spacing w:before="33" w:line="220" w:lineRule="auto"/>
              <w:ind w:left="270"/>
              <w:jc w:val="center"/>
              <w:rPr>
                <w:rFonts w:ascii="宋体" w:hAnsi="宋体" w:eastAsia="宋体" w:cs="宋体"/>
                <w:spacing w:val="8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vAlign w:val="center"/>
          </w:tcPr>
          <w:p>
            <w:pPr>
              <w:spacing w:before="161" w:line="212" w:lineRule="auto"/>
              <w:ind w:left="341" w:right="366"/>
              <w:jc w:val="center"/>
              <w:rPr>
                <w:rFonts w:ascii="宋体" w:hAnsi="宋体" w:eastAsia="宋体" w:cs="宋体"/>
                <w:spacing w:val="-5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接待处理上访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≥300人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Arial" w:hAnsi="Arial" w:eastAsia="Arial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≥300人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spacing w:before="33" w:line="220" w:lineRule="auto"/>
              <w:ind w:left="270"/>
              <w:jc w:val="center"/>
              <w:rPr>
                <w:rFonts w:ascii="宋体" w:hAnsi="宋体" w:eastAsia="宋体" w:cs="宋体"/>
                <w:spacing w:val="8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vAlign w:val="center"/>
          </w:tcPr>
          <w:p>
            <w:pPr>
              <w:spacing w:before="161" w:line="212" w:lineRule="auto"/>
              <w:ind w:left="341" w:right="366"/>
              <w:jc w:val="center"/>
              <w:rPr>
                <w:rFonts w:ascii="宋体" w:hAnsi="宋体" w:eastAsia="宋体" w:cs="宋体"/>
                <w:spacing w:val="-5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防电诈协调会议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2场次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2场次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spacing w:before="33" w:line="220" w:lineRule="auto"/>
              <w:ind w:left="270"/>
              <w:jc w:val="center"/>
              <w:rPr>
                <w:rFonts w:ascii="宋体" w:hAnsi="宋体" w:eastAsia="宋体" w:cs="宋体"/>
                <w:spacing w:val="8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vAlign w:val="center"/>
          </w:tcPr>
          <w:p>
            <w:pPr>
              <w:spacing w:before="161" w:line="212" w:lineRule="auto"/>
              <w:ind w:left="341" w:right="366"/>
              <w:jc w:val="center"/>
              <w:rPr>
                <w:rFonts w:ascii="宋体" w:hAnsi="宋体" w:eastAsia="宋体" w:cs="宋体"/>
                <w:spacing w:val="-5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肇事肇祸精神障碍患者监护人责任险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全区所有肇事肇祸精神障碍患者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全区所有肇事肇祸精神障碍患者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spacing w:before="33" w:line="220" w:lineRule="auto"/>
              <w:ind w:left="270"/>
              <w:jc w:val="center"/>
              <w:rPr>
                <w:rFonts w:ascii="宋体" w:hAnsi="宋体" w:eastAsia="宋体" w:cs="宋体"/>
                <w:spacing w:val="8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vAlign w:val="center"/>
          </w:tcPr>
          <w:p>
            <w:pPr>
              <w:spacing w:before="161" w:line="212" w:lineRule="auto"/>
              <w:ind w:left="341" w:right="366"/>
              <w:jc w:val="center"/>
              <w:rPr>
                <w:rFonts w:ascii="宋体" w:hAnsi="宋体" w:eastAsia="宋体" w:cs="宋体"/>
                <w:spacing w:val="-5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肇事肇祸精神障碍患者强制送医治疗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≥100人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≥100人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84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116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雪亮工程监控探头网络租赁、线路维保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全区所有雪亮工程探头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全区所有雪亮工程探头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84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116" w:type="dxa"/>
            <w:vMerge w:val="restart"/>
            <w:tcBorders>
              <w:bottom w:val="nil"/>
            </w:tcBorders>
            <w:vAlign w:val="center"/>
          </w:tcPr>
          <w:p>
            <w:pPr>
              <w:spacing w:before="132" w:line="221" w:lineRule="auto"/>
              <w:ind w:left="341" w:right="365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质量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指标</w:t>
            </w: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矛盾纠纷调解成功率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98%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98%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84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116" w:type="dxa"/>
            <w:vMerge w:val="continue"/>
            <w:vAlign w:val="center"/>
          </w:tcPr>
          <w:p>
            <w:pPr>
              <w:spacing w:before="132" w:line="221" w:lineRule="auto"/>
              <w:ind w:left="341" w:right="365"/>
              <w:jc w:val="center"/>
              <w:rPr>
                <w:rFonts w:ascii="宋体" w:hAnsi="宋体" w:eastAsia="宋体" w:cs="宋体"/>
                <w:spacing w:val="-5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民调走访率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84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116" w:type="dxa"/>
            <w:vMerge w:val="continue"/>
            <w:vAlign w:val="center"/>
          </w:tcPr>
          <w:p>
            <w:pPr>
              <w:spacing w:before="132" w:line="221" w:lineRule="auto"/>
              <w:ind w:left="341" w:right="365"/>
              <w:jc w:val="center"/>
              <w:rPr>
                <w:rFonts w:ascii="宋体" w:hAnsi="宋体" w:eastAsia="宋体" w:cs="宋体"/>
                <w:spacing w:val="-5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摸排线索执行率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84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116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全区收到各类线索结办率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98%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98%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84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116" w:type="dxa"/>
            <w:vMerge w:val="restart"/>
            <w:tcBorders>
              <w:bottom w:val="nil"/>
            </w:tcBorders>
            <w:vAlign w:val="center"/>
          </w:tcPr>
          <w:p>
            <w:pPr>
              <w:spacing w:before="134" w:line="216" w:lineRule="auto"/>
              <w:ind w:left="341" w:right="348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时效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指标</w:t>
            </w: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化解矛盾纠纷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全年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全年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84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116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预算执行率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84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116" w:type="dxa"/>
            <w:vMerge w:val="restart"/>
            <w:tcBorders>
              <w:bottom w:val="nil"/>
            </w:tcBorders>
            <w:vAlign w:val="center"/>
          </w:tcPr>
          <w:p>
            <w:pPr>
              <w:spacing w:before="143" w:line="221" w:lineRule="auto"/>
              <w:ind w:left="341" w:right="36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成本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指标</w:t>
            </w: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基本支出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526.90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477.56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zh-CN" w:bidi="ar-SA"/>
              </w:rPr>
              <w:t>1.5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116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809" w:type="dxa"/>
            <w:vAlign w:val="center"/>
          </w:tcPr>
          <w:p>
            <w:pPr>
              <w:widowControl/>
              <w:tabs>
                <w:tab w:val="left" w:pos="528"/>
              </w:tabs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项目支出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553.984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  <w:lang w:val="en-US" w:eastAsia="zh-CN"/>
              </w:rPr>
              <w:t>1039.12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zh-CN" w:bidi="ar-SA"/>
              </w:rPr>
              <w:t>1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840" w:type="dxa"/>
            <w:vMerge w:val="restart"/>
            <w:tcBorders>
              <w:bottom w:val="nil"/>
            </w:tcBorders>
            <w:vAlign w:val="center"/>
          </w:tcPr>
          <w:p>
            <w:pPr>
              <w:pStyle w:val="8"/>
              <w:spacing w:line="270" w:lineRule="auto"/>
              <w:jc w:val="center"/>
            </w:pPr>
          </w:p>
          <w:p>
            <w:pPr>
              <w:pStyle w:val="8"/>
              <w:spacing w:line="271" w:lineRule="auto"/>
              <w:jc w:val="center"/>
            </w:pPr>
          </w:p>
          <w:p>
            <w:pPr>
              <w:pStyle w:val="8"/>
              <w:spacing w:line="271" w:lineRule="auto"/>
              <w:jc w:val="center"/>
            </w:pPr>
          </w:p>
          <w:p>
            <w:pPr>
              <w:pStyle w:val="8"/>
              <w:spacing w:line="271" w:lineRule="auto"/>
              <w:jc w:val="center"/>
            </w:pPr>
          </w:p>
          <w:p>
            <w:pPr>
              <w:spacing w:before="65" w:line="220" w:lineRule="auto"/>
              <w:ind w:left="17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效益指标</w:t>
            </w:r>
          </w:p>
          <w:p>
            <w:pPr>
              <w:spacing w:before="11" w:line="220" w:lineRule="auto"/>
              <w:ind w:left="27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(30分)</w:t>
            </w:r>
          </w:p>
        </w:tc>
        <w:tc>
          <w:tcPr>
            <w:tcW w:w="1116" w:type="dxa"/>
            <w:vMerge w:val="restart"/>
            <w:tcBorders>
              <w:bottom w:val="nil"/>
            </w:tcBorders>
            <w:vAlign w:val="center"/>
          </w:tcPr>
          <w:p>
            <w:pPr>
              <w:spacing w:before="145" w:line="216" w:lineRule="auto"/>
              <w:ind w:left="241" w:right="26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经济效益指标</w:t>
            </w:r>
          </w:p>
        </w:tc>
        <w:tc>
          <w:tcPr>
            <w:tcW w:w="1809" w:type="dxa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140" w:type="dxa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410" w:type="dxa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765" w:type="dxa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600" w:type="dxa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84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116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809" w:type="dxa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140" w:type="dxa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410" w:type="dxa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765" w:type="dxa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600" w:type="dxa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84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116" w:type="dxa"/>
            <w:vMerge w:val="restart"/>
            <w:tcBorders>
              <w:bottom w:val="nil"/>
            </w:tcBorders>
            <w:vAlign w:val="center"/>
          </w:tcPr>
          <w:p>
            <w:pPr>
              <w:spacing w:before="124" w:line="226" w:lineRule="auto"/>
              <w:ind w:left="241" w:right="26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社会效益指标</w:t>
            </w: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化解矛盾纠纷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≥1500起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≥1500起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 xml:space="preserve"> 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 xml:space="preserve"> 5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84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116" w:type="dxa"/>
            <w:vMerge w:val="continue"/>
            <w:vAlign w:val="center"/>
          </w:tcPr>
          <w:p>
            <w:pPr>
              <w:spacing w:before="124" w:line="226" w:lineRule="auto"/>
              <w:ind w:left="241" w:right="266"/>
              <w:jc w:val="center"/>
              <w:rPr>
                <w:rFonts w:ascii="宋体" w:hAnsi="宋体" w:eastAsia="宋体" w:cs="宋体"/>
                <w:spacing w:val="-4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反邪教警示教育宣传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≥4次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≥4次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 xml:space="preserve"> 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 xml:space="preserve"> 5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84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116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社会环境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稳定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稳定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 xml:space="preserve"> 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 xml:space="preserve"> 5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84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116" w:type="dxa"/>
            <w:vMerge w:val="restart"/>
            <w:tcBorders>
              <w:bottom w:val="nil"/>
            </w:tcBorders>
            <w:vAlign w:val="center"/>
          </w:tcPr>
          <w:p>
            <w:pPr>
              <w:spacing w:before="145" w:line="212" w:lineRule="auto"/>
              <w:ind w:left="241" w:right="26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生态效益指标</w:t>
            </w:r>
          </w:p>
        </w:tc>
        <w:tc>
          <w:tcPr>
            <w:tcW w:w="1809" w:type="dxa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140" w:type="dxa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410" w:type="dxa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765" w:type="dxa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600" w:type="dxa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84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116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809" w:type="dxa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140" w:type="dxa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410" w:type="dxa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765" w:type="dxa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600" w:type="dxa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84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116" w:type="dxa"/>
            <w:vMerge w:val="restart"/>
            <w:tcBorders>
              <w:bottom w:val="nil"/>
            </w:tcBorders>
            <w:vAlign w:val="center"/>
          </w:tcPr>
          <w:p>
            <w:pPr>
              <w:spacing w:before="87" w:line="219" w:lineRule="auto"/>
              <w:ind w:left="141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可持续影</w:t>
            </w:r>
          </w:p>
          <w:p>
            <w:pPr>
              <w:spacing w:before="23" w:line="220" w:lineRule="auto"/>
              <w:ind w:left="241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响指标</w:t>
            </w: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政法人员学习覆盖度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 xml:space="preserve"> 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 xml:space="preserve"> 5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84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116" w:type="dxa"/>
            <w:vMerge w:val="continue"/>
            <w:vAlign w:val="center"/>
          </w:tcPr>
          <w:p>
            <w:pPr>
              <w:spacing w:before="23" w:line="220" w:lineRule="auto"/>
              <w:ind w:left="241"/>
              <w:jc w:val="center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治安环境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持续优化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持续优化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 xml:space="preserve"> 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 xml:space="preserve"> 5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116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政法工作外部宣传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2个平台（电台、政法头条号）、全年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2个平台（电台、政法头条号）、全年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 xml:space="preserve"> 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 xml:space="preserve"> 5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spacing w:line="238" w:lineRule="exact"/>
              <w:jc w:val="center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3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840" w:type="dxa"/>
            <w:vMerge w:val="restart"/>
            <w:tcBorders>
              <w:bottom w:val="nil"/>
            </w:tcBorders>
            <w:vAlign w:val="center"/>
          </w:tcPr>
          <w:p>
            <w:pPr>
              <w:spacing w:before="48" w:line="219" w:lineRule="auto"/>
              <w:ind w:left="27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满意度</w:t>
            </w:r>
          </w:p>
          <w:p>
            <w:pPr>
              <w:spacing w:before="2" w:line="185" w:lineRule="auto"/>
              <w:ind w:left="37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指标</w:t>
            </w:r>
          </w:p>
          <w:p>
            <w:pPr>
              <w:spacing w:before="1" w:line="194" w:lineRule="auto"/>
              <w:ind w:left="27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(10分)</w:t>
            </w:r>
          </w:p>
        </w:tc>
        <w:tc>
          <w:tcPr>
            <w:tcW w:w="1116" w:type="dxa"/>
            <w:vMerge w:val="restart"/>
            <w:tcBorders>
              <w:bottom w:val="nil"/>
            </w:tcBorders>
            <w:vAlign w:val="center"/>
          </w:tcPr>
          <w:p>
            <w:pPr>
              <w:spacing w:before="28" w:line="219" w:lineRule="auto"/>
              <w:ind w:left="141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服务对象</w:t>
            </w:r>
          </w:p>
          <w:p>
            <w:pPr>
              <w:spacing w:before="12" w:line="204" w:lineRule="auto"/>
              <w:ind w:left="141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满意度指</w:t>
            </w:r>
          </w:p>
          <w:p>
            <w:pPr>
              <w:spacing w:line="185" w:lineRule="auto"/>
              <w:ind w:left="441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标</w:t>
            </w: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群众对政法工作综合满意率（%）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90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90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 xml:space="preserve"> 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5" w:type="dxa"/>
            <w:vMerge w:val="continue"/>
            <w:tcBorders>
              <w:top w:val="nil"/>
            </w:tcBorders>
            <w:textDirection w:val="tbRlV"/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840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116" w:type="dxa"/>
            <w:vMerge w:val="continue"/>
            <w:tcBorders>
              <w:top w:val="nil"/>
            </w:tcBorders>
            <w:vAlign w:val="center"/>
          </w:tcPr>
          <w:p>
            <w:pPr>
              <w:pStyle w:val="8"/>
              <w:jc w:val="center"/>
            </w:pPr>
          </w:p>
        </w:tc>
        <w:tc>
          <w:tcPr>
            <w:tcW w:w="18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政法工作人员满意度（%）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90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90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 xml:space="preserve"> 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650" w:type="dxa"/>
            <w:gridSpan w:val="6"/>
            <w:vAlign w:val="center"/>
          </w:tcPr>
          <w:p>
            <w:pPr>
              <w:spacing w:before="78" w:line="220" w:lineRule="auto"/>
              <w:ind w:left="3254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总分</w:t>
            </w:r>
          </w:p>
        </w:tc>
        <w:tc>
          <w:tcPr>
            <w:tcW w:w="765" w:type="dxa"/>
            <w:vAlign w:val="center"/>
          </w:tcPr>
          <w:p>
            <w:pPr>
              <w:spacing w:before="128" w:line="184" w:lineRule="auto"/>
              <w:ind w:left="19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100</w:t>
            </w:r>
          </w:p>
        </w:tc>
        <w:tc>
          <w:tcPr>
            <w:tcW w:w="600" w:type="dxa"/>
            <w:vAlign w:val="center"/>
          </w:tcPr>
          <w:p>
            <w:pPr>
              <w:pStyle w:val="8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-6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6"/>
                <w:sz w:val="20"/>
                <w:szCs w:val="20"/>
                <w:lang w:val="en-US" w:eastAsia="zh-CN" w:bidi="ar-SA"/>
              </w:rPr>
              <w:t>93.5</w:t>
            </w:r>
          </w:p>
        </w:tc>
        <w:tc>
          <w:tcPr>
            <w:tcW w:w="1059" w:type="dxa"/>
            <w:vAlign w:val="center"/>
          </w:tcPr>
          <w:p>
            <w:pPr>
              <w:pStyle w:val="8"/>
              <w:jc w:val="center"/>
              <w:rPr>
                <w:rFonts w:ascii="宋体" w:hAnsi="宋体" w:eastAsia="宋体" w:cs="宋体"/>
                <w:snapToGrid w:val="0"/>
                <w:color w:val="000000"/>
                <w:spacing w:val="-6"/>
                <w:sz w:val="20"/>
                <w:szCs w:val="20"/>
                <w:lang w:val="en-US" w:eastAsia="en-US" w:bidi="ar-SA"/>
              </w:rPr>
            </w:pPr>
          </w:p>
        </w:tc>
      </w:tr>
    </w:tbl>
    <w:p>
      <w:pPr>
        <w:pStyle w:val="2"/>
        <w:spacing w:before="12" w:line="285" w:lineRule="auto"/>
        <w:ind w:right="285" w:firstLine="420" w:firstLineChars="200"/>
        <w:rPr>
          <w:rFonts w:ascii="宋体" w:hAnsi="宋体" w:eastAsia="宋体" w:cs="宋体"/>
          <w:sz w:val="21"/>
          <w:szCs w:val="21"/>
        </w:rPr>
      </w:pPr>
    </w:p>
    <w:p>
      <w:pPr>
        <w:pStyle w:val="2"/>
        <w:spacing w:before="12" w:line="285" w:lineRule="auto"/>
        <w:ind w:right="285" w:firstLine="420" w:firstLineChars="200"/>
        <w:rPr>
          <w:rFonts w:hint="default" w:ascii="Arial"/>
          <w:sz w:val="21"/>
          <w:lang w:val="en-US"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填表人：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彭程         </w:t>
      </w:r>
      <w:r>
        <w:rPr>
          <w:rFonts w:ascii="宋体" w:hAnsi="宋体" w:eastAsia="宋体" w:cs="宋体"/>
          <w:sz w:val="21"/>
          <w:szCs w:val="21"/>
          <w:lang w:eastAsia="zh-CN"/>
        </w:rPr>
        <w:t>填报日期：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2024年10月16日     </w:t>
      </w:r>
      <w:r>
        <w:rPr>
          <w:rFonts w:ascii="宋体" w:hAnsi="宋体" w:eastAsia="宋体" w:cs="宋体"/>
          <w:sz w:val="21"/>
          <w:szCs w:val="21"/>
          <w:lang w:eastAsia="zh-CN"/>
        </w:rPr>
        <w:t>联系电话：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18608459233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                                  </w:t>
      </w:r>
    </w:p>
    <w:p>
      <w:pPr>
        <w:pStyle w:val="2"/>
        <w:widowControl w:val="0"/>
        <w:numPr>
          <w:numId w:val="0"/>
        </w:numPr>
        <w:kinsoku/>
        <w:overflowPunct w:val="0"/>
        <w:spacing w:line="360" w:lineRule="auto"/>
        <w:rPr>
          <w:spacing w:val="-4"/>
          <w:sz w:val="32"/>
          <w:szCs w:val="32"/>
          <w:lang w:eastAsia="zh-CN"/>
        </w:rPr>
      </w:pPr>
    </w:p>
    <w:p>
      <w:pPr>
        <w:pStyle w:val="2"/>
        <w:spacing w:before="12" w:line="285" w:lineRule="auto"/>
        <w:ind w:right="285" w:firstLine="460" w:firstLineChars="200"/>
        <w:rPr>
          <w:sz w:val="23"/>
          <w:szCs w:val="23"/>
          <w:lang w:eastAsia="zh-CN"/>
        </w:rPr>
      </w:pPr>
    </w:p>
    <w:sectPr>
      <w:headerReference r:id="rId3" w:type="default"/>
      <w:footerReference r:id="rId4" w:type="default"/>
      <w:pgSz w:w="11900" w:h="16838"/>
      <w:pgMar w:top="1417" w:right="1474" w:bottom="1417" w:left="1474" w:header="0" w:footer="947" w:gutter="0"/>
      <w:pgNumType w:fmt="numberInDash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汉仪中黑 197">
    <w:panose1 w:val="00020600040101010101"/>
    <w:charset w:val="86"/>
    <w:family w:val="auto"/>
    <w:pitch w:val="default"/>
    <w:sig w:usb0="A00002BF" w:usb1="18EF7CFA" w:usb2="00000016" w:usb3="00000000" w:csb0="000400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汉仪雅酷黑简">
    <w:panose1 w:val="00020600040101010101"/>
    <w:charset w:val="86"/>
    <w:family w:val="auto"/>
    <w:pitch w:val="default"/>
    <w:sig w:usb0="A00002BF" w:usb1="1AC17CFA" w:usb2="00000016" w:usb3="00000000" w:csb0="0004009F" w:csb1="DFD70000"/>
  </w:font>
  <w:font w:name="汉仪小隶书简">
    <w:panose1 w:val="02010600000101010101"/>
    <w:charset w:val="80"/>
    <w:family w:val="auto"/>
    <w:pitch w:val="default"/>
    <w:sig w:usb0="800002BF" w:usb1="184F6CF8" w:usb2="00000012" w:usb3="00000000" w:csb0="00020001" w:csb1="00000000"/>
  </w:font>
  <w:font w:name="华康少女文字W5">
    <w:panose1 w:val="040F0509000000000000"/>
    <w:charset w:val="86"/>
    <w:family w:val="auto"/>
    <w:pitch w:val="default"/>
    <w:sig w:usb0="00000001" w:usb1="08010000" w:usb2="0000001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10 -</w:t>
    </w:r>
    <w:r>
      <w:fldChar w:fldCharType="end"/>
    </w:r>
  </w:p>
  <w:p>
    <w:pPr>
      <w:spacing w:line="179" w:lineRule="auto"/>
      <w:ind w:left="8854"/>
      <w:rPr>
        <w:rFonts w:ascii="Times New Roman" w:hAnsi="Times New Roman" w:eastAsia="Times New Roman" w:cs="Times New Roman"/>
        <w:sz w:val="23"/>
        <w:szCs w:val="23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53B5B8"/>
    <w:multiLevelType w:val="singleLevel"/>
    <w:tmpl w:val="8853B5B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4194178"/>
    <w:multiLevelType w:val="singleLevel"/>
    <w:tmpl w:val="E4194178"/>
    <w:lvl w:ilvl="0" w:tentative="0">
      <w:start w:val="3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2">
    <w:nsid w:val="2FA46EDA"/>
    <w:multiLevelType w:val="singleLevel"/>
    <w:tmpl w:val="2FA46ED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236999F"/>
    <w:multiLevelType w:val="singleLevel"/>
    <w:tmpl w:val="4236999F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77BD9B29"/>
    <w:multiLevelType w:val="singleLevel"/>
    <w:tmpl w:val="77BD9B2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isplayHorizontalDrawingGridEvery w:val="2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iN2QxYzE1ZjAyZDc2Y2EyNjc0NGE0MjkxZDA0MjEifQ=="/>
  </w:docVars>
  <w:rsids>
    <w:rsidRoot w:val="00D65F4E"/>
    <w:rsid w:val="00252DD3"/>
    <w:rsid w:val="003A0F30"/>
    <w:rsid w:val="006B3AFB"/>
    <w:rsid w:val="00814CEE"/>
    <w:rsid w:val="00C24372"/>
    <w:rsid w:val="00D65F4E"/>
    <w:rsid w:val="0D0A17F5"/>
    <w:rsid w:val="177C4139"/>
    <w:rsid w:val="1FF677C3"/>
    <w:rsid w:val="27780AD8"/>
    <w:rsid w:val="2B0C57B7"/>
    <w:rsid w:val="2FECE574"/>
    <w:rsid w:val="325A4C76"/>
    <w:rsid w:val="35867CBD"/>
    <w:rsid w:val="3F7D3D52"/>
    <w:rsid w:val="3F9DD004"/>
    <w:rsid w:val="4D027691"/>
    <w:rsid w:val="4D076318"/>
    <w:rsid w:val="4F3BC71C"/>
    <w:rsid w:val="5D421F59"/>
    <w:rsid w:val="673BA62A"/>
    <w:rsid w:val="6BD7A7ED"/>
    <w:rsid w:val="72333E41"/>
    <w:rsid w:val="733139E0"/>
    <w:rsid w:val="738308B6"/>
    <w:rsid w:val="74293E44"/>
    <w:rsid w:val="75ECE37B"/>
    <w:rsid w:val="7C7F423C"/>
    <w:rsid w:val="7FFF9DB5"/>
    <w:rsid w:val="97FDB6DE"/>
    <w:rsid w:val="BFC7BA4C"/>
    <w:rsid w:val="CFCC39E5"/>
    <w:rsid w:val="DFFA7680"/>
    <w:rsid w:val="E6FF343A"/>
    <w:rsid w:val="EFDF4342"/>
    <w:rsid w:val="F3FF532E"/>
    <w:rsid w:val="F9BE7C56"/>
    <w:rsid w:val="FF83E629"/>
    <w:rsid w:val="FFF66C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</w:style>
  <w:style w:type="character" w:customStyle="1" w:styleId="9">
    <w:name w:val="页眉 Char"/>
    <w:basedOn w:val="6"/>
    <w:link w:val="4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0">
    <w:name w:val="页脚 Char"/>
    <w:basedOn w:val="6"/>
    <w:link w:val="3"/>
    <w:qFormat/>
    <w:uiPriority w:val="99"/>
    <w:rPr>
      <w:rFonts w:eastAsia="Arial"/>
      <w:snapToGrid w:val="0"/>
      <w:color w:val="000000"/>
      <w:sz w:val="18"/>
      <w:szCs w:val="18"/>
      <w:lang w:eastAsia="en-US"/>
    </w:rPr>
  </w:style>
  <w:style w:type="paragraph" w:styleId="11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445</Words>
  <Characters>450</Characters>
  <Lines>38</Lines>
  <Paragraphs>10</Paragraphs>
  <TotalTime>0</TotalTime>
  <ScaleCrop>false</ScaleCrop>
  <LinksUpToDate>false</LinksUpToDate>
  <CharactersWithSpaces>450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2024-09-20T08:39:00Z</dcterms:created>
  <dc:creator>Kingsoft-PDF</dc:creator>
  <cp:lastModifiedBy>Administrator</cp:lastModifiedBy>
  <cp:lastPrinted>2024-09-21T01:17:00Z</cp:lastPrinted>
  <dcterms:modified xsi:type="dcterms:W3CDTF">2024-10-16T08:06:35Z</dcterms:modified>
  <dc:subject>pdfbuilder</dc:subject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2024-09-18T16:39:34Z</vt:filetime>
  </property>
  <property fmtid="{D5CDD505-2E9C-101B-9397-08002B2CF9AE}" pid="4" name="UsrData">
    <vt:lpwstr>66ea91c2a2edd9001f7ce060wl</vt:lpwstr>
  </property>
  <property fmtid="{D5CDD505-2E9C-101B-9397-08002B2CF9AE}" pid="5" name="KSOProductBuildVer">
    <vt:lpwstr>2052-12.1.0.16894</vt:lpwstr>
  </property>
  <property fmtid="{D5CDD505-2E9C-101B-9397-08002B2CF9AE}" pid="6" name="ICV">
    <vt:lpwstr>87F8A97CDC664D0CB7464D7886EF5BF9_13</vt:lpwstr>
  </property>
</Properties>
</file>