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kinsoku/>
        <w:overflowPunct w:val="0"/>
        <w:spacing w:line="360" w:lineRule="auto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52"/>
          <w:szCs w:val="52"/>
          <w:lang w:eastAsia="zh-CN"/>
        </w:rPr>
        <w:t>部门整体支出绩效自评报告</w:t>
      </w:r>
    </w:p>
    <w:p>
      <w:pPr>
        <w:widowControl w:val="0"/>
        <w:kinsoku/>
        <w:overflowPunct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0"/>
          <w:sz w:val="32"/>
          <w:szCs w:val="32"/>
          <w:lang w:eastAsia="zh-CN"/>
        </w:rPr>
        <w:t>一、部门、单位基本情况</w:t>
      </w:r>
    </w:p>
    <w:p>
      <w:pPr>
        <w:widowControl w:val="0"/>
        <w:kinsoku/>
        <w:overflowPunct w:val="0"/>
        <w:spacing w:line="360" w:lineRule="auto"/>
        <w:ind w:firstLine="684" w:firstLineChars="200"/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  <w:t>(一)机构设置情况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区委办公室是全额拨款行政单位，内设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个职能科室：文秘室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（值班室）</w:t>
      </w:r>
      <w:r>
        <w:rPr>
          <w:rFonts w:hint="eastAsia" w:ascii="仿宋" w:hAnsi="仿宋" w:eastAsia="仿宋" w:cs="仿宋"/>
          <w:sz w:val="32"/>
          <w:szCs w:val="32"/>
        </w:rPr>
        <w:t>、政策研究室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（财经办）</w:t>
      </w:r>
      <w:r>
        <w:rPr>
          <w:rFonts w:hint="eastAsia" w:ascii="仿宋" w:hAnsi="仿宋" w:eastAsia="仿宋" w:cs="仿宋"/>
          <w:sz w:val="32"/>
          <w:szCs w:val="32"/>
        </w:rPr>
        <w:t>、督查室、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改革办、</w:t>
      </w:r>
      <w:r>
        <w:rPr>
          <w:rFonts w:hint="eastAsia" w:ascii="仿宋" w:hAnsi="仿宋" w:eastAsia="仿宋" w:cs="仿宋"/>
          <w:sz w:val="32"/>
          <w:szCs w:val="32"/>
        </w:rPr>
        <w:t>机要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、保密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局（档案局）</w:t>
      </w:r>
      <w:r>
        <w:rPr>
          <w:rFonts w:hint="eastAsia" w:ascii="仿宋" w:hAnsi="仿宋" w:eastAsia="仿宋" w:cs="仿宋"/>
          <w:sz w:val="32"/>
          <w:szCs w:val="32"/>
        </w:rPr>
        <w:t>、政工室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（财务室）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对台办、法规室、外事办（港澳事务办）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7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eastAsia="zh-CN"/>
        </w:rPr>
        <w:t>人员编制情况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现有编制人数46人，在职人员45人，退休人员26人，遗属人员4人,特岗人员3人。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80" w:firstLineChars="200"/>
        <w:rPr>
          <w:rFonts w:hint="eastAsia" w:ascii="仿宋" w:hAnsi="仿宋" w:eastAsia="仿宋" w:cs="仿宋"/>
          <w:spacing w:val="1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0"/>
          <w:sz w:val="32"/>
          <w:szCs w:val="32"/>
          <w:lang w:eastAsia="zh-CN"/>
        </w:rPr>
        <w:t>主要职能职责</w:t>
      </w:r>
    </w:p>
    <w:p>
      <w:pPr>
        <w:ind w:left="2" w:leftChars="1" w:firstLine="732" w:firstLineChars="228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文秘室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（值班室）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负责区委常委会议、区委常委办公会议、区委召开的全区性会议的会务组织、会议纪要起草和有关决定事项的催办落实；负责安排区委领导同志的公务活动；负责区委和区委办公室有关文件文稿的起草；负责党群系统召开的有关会议的报批工作；编写区委大事记；负责区委值班任务；负责发送区委、区委办公室的各种文电、函件、资料的注批、注办；负责区委、区委办公室印章的使用、管理和区委颁发印章的刻制和发送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负责党委（党组）规范性文件的审核、备案、清理的职责。</w:t>
      </w:r>
    </w:p>
    <w:p>
      <w:pPr>
        <w:ind w:left="2" w:leftChars="1" w:firstLine="732" w:firstLineChars="228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政策研究室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（财经办）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组织起草有关区委领导同志的讲话、报告，起草区委的政策性文件和其他文稿；围绕区委的中心工作开展调查研究，提出意见和建议，供区委决策参考；参与区委有关重要会议及调研活动的组织协调和服务工作；收集整理各类重要信息资料，提供给区委领导参阅，并及时上报上级党委；承担区委领导的有关报务工作；编辑区委机关刊物；完成省委政研室、市委政研室、市委办综调室交办调研课题及其他工作；负责全区党委办公室系统业务指导、业务培训和队伍建设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负责组织开展全区财经工作重大问题的政策研究，协调督促有关方面落实区委财经委员会的决定事项、工作部署和要求，统筹协调全面小康监测工作的职责。</w:t>
      </w:r>
    </w:p>
    <w:p>
      <w:pPr>
        <w:ind w:left="2" w:leftChars="1" w:firstLine="732" w:firstLineChars="22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督查室：</w:t>
      </w:r>
      <w:r>
        <w:rPr>
          <w:rFonts w:hint="eastAsia" w:ascii="仿宋" w:hAnsi="仿宋" w:eastAsia="仿宋" w:cs="仿宋"/>
          <w:sz w:val="32"/>
          <w:szCs w:val="32"/>
        </w:rPr>
        <w:t>负责中央、省、市、区委重大决策、重要工作部署贯彻落实的督促检查和情况综合；负责省委、市委、区委领导同志重要批示和交办事项的督办及落实情况的反馈，负责区委和区委领导同志决定事项的督促办理；承担人大代表、政协委员提出的需要党委部门答复的议案、提案的催办工作；负责有关督杳信息的综合与报送；参与区委、区委办公室领导提出的重要课题的调查研究和部分文件、文稿的起草；负责区委、区政府重要督促检查活动的组织协调工作。</w:t>
      </w:r>
    </w:p>
    <w:p>
      <w:pPr>
        <w:ind w:left="2" w:leftChars="1" w:firstLine="732" w:firstLineChars="228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机要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：按照中央和省委密码工作的方针政策，制订实施办法和规章制度；负责全区党政系统密码通信和密码管理；负责密码电报的翻译、传输、递送和规定范围内部传真电报的传输、办理工作；负责中央、省委、市委文件、刊物、资料的分发管理和区委主要领导同志阅文的分送、管理；负责区委、区委办公室的立卷、归档、管理和保密工作；承担区委密码工作领导小组和区国家密码管理委员会的日常工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负责全区电子政务内网、党政专用通信网规划、建设和管理，负责全区电子文件管理工作，协同做好党政机关电子公文系统安全可靠应用推进、区直单位信息化建设项目前置审查工作的职责。</w:t>
      </w:r>
    </w:p>
    <w:p>
      <w:pPr>
        <w:ind w:left="2" w:leftChars="1" w:firstLine="732" w:firstLineChars="228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保密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(档案局）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贯彻执行党和国家有关保密工作的方针、政策、决定、指示，制定全区保密工作计划并组织实施；指导、协调全区党、政、军、人民团体及企事业单位的保密工作，监督检查保密法及其他保密法规、规章的实施。组织、指导保密宣传教育工作，制定宣传教育计划并组织实施；组织推广应用保密技术设备，指导、协调并组织实施保密技术检查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增加负责全区档案事业的发展规划、组织协调，全区档案工作的监督和指导，全区档案法规的宣传教育以及依法查处档案违法行为的职责。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政工室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（财务室）</w:t>
      </w:r>
      <w:r>
        <w:rPr>
          <w:rFonts w:hint="eastAsia" w:ascii="仿宋" w:hAnsi="仿宋" w:eastAsia="仿宋" w:cs="仿宋"/>
          <w:b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负责区委办公室归口管理单位的人事、机构编制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教育培训、考核奖惩、劳动工资、保险福利、人事档案、工人技术等级考核等工作，协助区委组织部考察本办及归中管理单位干部；负责办理本单位的干部任免、录用、调动等事宜。</w:t>
      </w:r>
      <w:r>
        <w:rPr>
          <w:rFonts w:hint="eastAsia" w:ascii="仿宋" w:hAnsi="仿宋" w:eastAsia="仿宋" w:cs="仿宋"/>
          <w:b/>
          <w:sz w:val="32"/>
          <w:szCs w:val="32"/>
        </w:rPr>
        <w:t>财务室：</w:t>
      </w:r>
      <w:r>
        <w:rPr>
          <w:rFonts w:hint="eastAsia" w:ascii="仿宋" w:hAnsi="仿宋" w:eastAsia="仿宋" w:cs="仿宋"/>
          <w:sz w:val="32"/>
          <w:szCs w:val="32"/>
        </w:rPr>
        <w:t>负责区委和区委办财务经费预、决算和审计；负责办公室干部职工的医疗费的结算工作；负责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办公室人员各项费用的报账手续审核和福利发放</w:t>
      </w:r>
      <w:r>
        <w:rPr>
          <w:rFonts w:hint="eastAsia" w:ascii="仿宋" w:hAnsi="仿宋" w:eastAsia="仿宋" w:cs="仿宋"/>
          <w:sz w:val="32"/>
          <w:szCs w:val="32"/>
        </w:rPr>
        <w:t>；负责区委办公室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资产</w:t>
      </w:r>
      <w:r>
        <w:rPr>
          <w:rFonts w:hint="eastAsia" w:ascii="仿宋" w:hAnsi="仿宋" w:eastAsia="仿宋" w:cs="仿宋"/>
          <w:sz w:val="32"/>
          <w:szCs w:val="32"/>
        </w:rPr>
        <w:t>的清理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和登记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对台办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负责贯彻执行中共中央、国务院关于对台工作的方针、政策和区委、区政府有关工作部署；组织、指导、管理和协调全区的对台工作；会同有关部门统筹协调、指导全区对台经贸工作和文化、教育、学术、体育、科技及卫生等各个领域的交往与合作；负责我区居民因私赴台管理工作；会同有关部门处理涉台的各种突发事件；负责区委对台工作领导小组的日常事务性工作；承办区委、区人民政府交办的其他事项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外事办（港澳事务办）：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负责外事工作和港澳事务管理的职责。</w:t>
      </w:r>
    </w:p>
    <w:p>
      <w:pPr>
        <w:widowControl w:val="0"/>
        <w:numPr>
          <w:ilvl w:val="0"/>
          <w:numId w:val="1"/>
        </w:numPr>
        <w:kinsoku/>
        <w:overflowPunct w:val="0"/>
        <w:spacing w:line="360" w:lineRule="auto"/>
        <w:ind w:left="0" w:leftChars="0" w:firstLine="676" w:firstLineChars="2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绩效目标设定情况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完成机关党建、队伍建设、党风廉政建设、综治维稳、宣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传思想、安全生产、计划生育、机关管理等各项工作；全面深化改革工作，及时上报党委规范性文件，落实市委、市政府重大决策部署等事项；确保区委办各项工作正常开展，确保完成区委领导交办的各项工作任务。确保电子政务内网横向、纵向网的正常运转，机要保密工作、督查工作、深化改革工作的正常开展。</w:t>
      </w:r>
    </w:p>
    <w:p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>
      <w:pPr>
        <w:widowControl w:val="0"/>
        <w:kinsoku/>
        <w:overflowPunct w:val="0"/>
        <w:spacing w:line="360" w:lineRule="auto"/>
        <w:ind w:firstLine="644" w:firstLineChars="200"/>
        <w:rPr>
          <w:rFonts w:hint="eastAsia" w:ascii="仿宋" w:hAnsi="仿宋" w:eastAsia="仿宋" w:cs="仿宋"/>
          <w:spacing w:val="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"/>
          <w:sz w:val="32"/>
          <w:szCs w:val="32"/>
          <w:lang w:eastAsia="zh-CN"/>
        </w:rPr>
        <w:t>(一)预算执行、使用、管理总体情况。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收入预算：</w:t>
      </w:r>
      <w:r>
        <w:rPr>
          <w:rFonts w:hint="eastAsia" w:ascii="仿宋" w:hAnsi="仿宋" w:eastAsia="仿宋" w:cs="仿宋"/>
          <w:sz w:val="32"/>
          <w:szCs w:val="32"/>
        </w:rPr>
        <w:t>2023年本部门收入预算880.18万元，一般公共预算收入880.18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119.17万元，主要原因是基础绩效纳入工资。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支出预算：</w:t>
      </w:r>
      <w:r>
        <w:rPr>
          <w:rFonts w:hint="eastAsia" w:ascii="仿宋" w:hAnsi="仿宋" w:eastAsia="仿宋" w:cs="仿宋"/>
          <w:sz w:val="32"/>
          <w:szCs w:val="32"/>
        </w:rPr>
        <w:t>2023年本部门支出预算880.18万元，其中，一般公共服务支出735.12万元，社会保障和就业支出85.50万元，卫生健康支出23.83万元。支出较上年增加119.17万元，主要原因是基础绩效纳入工资。</w:t>
      </w:r>
    </w:p>
    <w:p>
      <w:pPr>
        <w:widowControl w:val="0"/>
        <w:kinsoku/>
        <w:overflowPunct w:val="0"/>
        <w:spacing w:line="360" w:lineRule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2"/>
        </w:numPr>
        <w:kinsoku/>
        <w:overflowPunct w:val="0"/>
        <w:spacing w:line="360" w:lineRule="auto"/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部门预算执行情况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2023年本部门一般公共预算支出844.45万元，其中，一般公共服务支出735.12万元，占87.05%，社会保障和就业支出85.50万元，占10.12%，卫生健康支出23.83万元，占2.82%。具体安排情况如下： </w:t>
      </w:r>
    </w:p>
    <w:p>
      <w:pPr>
        <w:pStyle w:val="2"/>
        <w:widowControl w:val="0"/>
        <w:kinsoku/>
        <w:overflowPunct w:val="0"/>
        <w:spacing w:line="360" w:lineRule="auto"/>
        <w:ind w:firstLine="620" w:firstLineChars="200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1.基本支出情况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本部门基本支出预算数681.47万元，主要是为保障部门正常运转、完成日常工作任务而发生的各项支出。其中，人员经费578.60万元，主要包括：基本工资、津贴补贴、奖金、社会保障缴费、其他工资福利支出、离休费、退休费、抚恤金、奖励金、住房公积金、其他对个人和家庭的补助支出；公用经费102.87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widowControl w:val="0"/>
        <w:numPr>
          <w:ilvl w:val="0"/>
          <w:numId w:val="3"/>
        </w:numPr>
        <w:kinsoku/>
        <w:overflowPunct w:val="0"/>
        <w:spacing w:line="360" w:lineRule="auto"/>
        <w:ind w:firstLine="632" w:firstLineChars="200"/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eastAsia="zh-CN"/>
        </w:rPr>
        <w:t>项目支出情况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2023年本部门项目支出预算162.98万元，主要是部门为完成特定行政工作任务或事业发展目标而发生的支出，包括有关事业发展专项、专项业务费、基本建设支出等。其中：一般行政管理事务支出162.98万元，主要用于电子政务内网、密码通讯车、应急通讯设备维护专项经费等。</w:t>
      </w:r>
    </w:p>
    <w:p>
      <w:pPr>
        <w:pStyle w:val="2"/>
        <w:widowControl w:val="0"/>
        <w:numPr>
          <w:ilvl w:val="0"/>
          <w:numId w:val="0"/>
        </w:numPr>
        <w:kinsoku/>
        <w:overflowPunct w:val="0"/>
        <w:spacing w:line="360" w:lineRule="auto"/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0"/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"三公"经费使用和管理情况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2023年本部门“三公”经费预算数为4.50万元，其中，公务接待费0.50万元，公务用车购置及运行费4.00万元（其中，公务用车购置费0万元，公务用车运行费4.00万元），因公出国（境）费0万元。2023年“三公”经费预算较上年增加2.10万元，主要原因是公务用车运行费用增加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0"/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="599" w:firstLineChars="200"/>
        <w:rPr>
          <w:rFonts w:hint="eastAsia" w:ascii="仿宋" w:hAnsi="仿宋" w:eastAsia="仿宋" w:cs="仿宋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1"/>
          <w:sz w:val="32"/>
          <w:szCs w:val="32"/>
          <w:lang w:eastAsia="zh-CN"/>
        </w:rPr>
        <w:t>政府性基金预算支出情况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本部门无政府性基金安排的支出。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rPr>
          <w:rFonts w:hint="eastAsia" w:ascii="仿宋" w:hAnsi="仿宋" w:eastAsia="仿宋" w:cs="仿宋"/>
          <w:b/>
          <w:bCs/>
          <w:spacing w:val="-11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607" w:firstLineChars="200"/>
        <w:rPr>
          <w:rFonts w:hint="eastAsia" w:ascii="仿宋" w:hAnsi="仿宋" w:eastAsia="仿宋" w:cs="仿宋"/>
          <w:b/>
          <w:bCs/>
          <w:spacing w:val="-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9"/>
          <w:sz w:val="32"/>
          <w:szCs w:val="32"/>
          <w:lang w:eastAsia="zh-CN"/>
        </w:rPr>
        <w:t>国有资本经营预算支出情况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至2022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eastAsia" w:ascii="仿宋" w:hAnsi="仿宋" w:eastAsia="仿宋" w:cs="仿宋"/>
          <w:b/>
          <w:bCs/>
          <w:spacing w:val="-9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567" w:firstLineChars="200"/>
        <w:rPr>
          <w:rFonts w:hint="eastAsia" w:ascii="仿宋" w:hAnsi="仿宋" w:eastAsia="仿宋" w:cs="仿宋"/>
          <w:b/>
          <w:bCs/>
          <w:spacing w:val="-1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9"/>
          <w:sz w:val="32"/>
          <w:szCs w:val="32"/>
          <w:lang w:eastAsia="zh-CN"/>
        </w:rPr>
        <w:t>社会保险基金预算支出情况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社会保险</w:t>
      </w:r>
      <w:r>
        <w:rPr>
          <w:rFonts w:hint="eastAsia" w:ascii="仿宋" w:hAnsi="仿宋" w:eastAsia="仿宋" w:cs="仿宋"/>
          <w:sz w:val="32"/>
          <w:szCs w:val="32"/>
        </w:rPr>
        <w:t>基金安排的支出。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eastAsia" w:ascii="仿宋" w:hAnsi="仿宋" w:eastAsia="仿宋" w:cs="仿宋"/>
          <w:b/>
          <w:bCs/>
          <w:spacing w:val="-19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603" w:firstLineChars="200"/>
        <w:rPr>
          <w:rFonts w:hint="eastAsia" w:ascii="仿宋" w:hAnsi="仿宋" w:eastAsia="仿宋" w:cs="仿宋"/>
          <w:b/>
          <w:bCs/>
          <w:spacing w:val="-1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0"/>
          <w:sz w:val="32"/>
          <w:szCs w:val="32"/>
          <w:lang w:eastAsia="zh-CN"/>
        </w:rPr>
        <w:t>部门整体支出绩效情况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40" w:firstLineChars="200"/>
        <w:outlineLvl w:val="6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按照我办预算绩效管理工作的总体要求，2023年我单位整体支出880.18万元，全部实行整体支出绩效目标管理，其中，基本支出717.2万元，项目支出162.98万元，编报绩效目标的项目共10个，具体绩效目标详见报表。 项目绩效自评综述：根据年初设定的绩效目标，项目绩效自评得分为92分。项目全年预算数为761.01万元，执行数为801.88万元，完成预算的105.37% 主要原因是人员异动和部门工作职能增加。项目绩效目标完成情况：1、完成全面深化改革工作，及时上报党委规范性文件，落实市委、市政府重大决策部署等事项。2、确保区委办各项工作正常开展，确保完成区委领导交办的各项工作任务。确保电子政务内网横向、纵向网的正常运转，机要保密工作、督查工作、深化改革、对台等工作的正常开展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 w:firstLine="640" w:firstLineChars="200"/>
        <w:outlineLvl w:val="6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outlineLvl w:val="6"/>
        <w:rPr>
          <w:rFonts w:hint="eastAsia" w:ascii="仿宋" w:hAnsi="仿宋" w:eastAsia="仿宋" w:cs="仿宋"/>
          <w:b/>
          <w:bCs/>
          <w:spacing w:val="-7"/>
          <w:sz w:val="32"/>
          <w:szCs w:val="32"/>
          <w:lang w:eastAsia="zh-CN"/>
        </w:rPr>
      </w:pP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603" w:firstLineChars="200"/>
        <w:rPr>
          <w:rFonts w:hint="eastAsia" w:ascii="仿宋" w:hAnsi="仿宋" w:eastAsia="仿宋" w:cs="仿宋"/>
          <w:b/>
          <w:bCs/>
          <w:spacing w:val="-1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pacing w:val="-10"/>
          <w:sz w:val="32"/>
          <w:szCs w:val="32"/>
          <w:lang w:eastAsia="zh-CN"/>
        </w:rPr>
        <w:t>存在的问题及原因分析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一是由于财政经费紧张，经费不能及时到位。下一步改进措施：一是尽量节约开支；二是督促经费及时到位。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（二）存在的问题及原因分析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预算编制的准确性有待进一步提高，预算整体执行率存在一定的偏差，政府采购由于资金困难，合同执行等不可抗因素不能得到很好执行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widowControl w:val="0"/>
        <w:numPr>
          <w:ilvl w:val="0"/>
          <w:numId w:val="4"/>
        </w:numPr>
        <w:kinsoku/>
        <w:overflowPunct w:val="0"/>
        <w:spacing w:line="360" w:lineRule="auto"/>
        <w:ind w:left="0" w:leftChars="0" w:firstLine="588" w:firstLineChars="200"/>
        <w:rPr>
          <w:rFonts w:hint="eastAsia" w:ascii="仿宋" w:hAnsi="仿宋" w:eastAsia="仿宋" w:cs="仿宋"/>
          <w:spacing w:val="-1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13"/>
          <w:sz w:val="32"/>
          <w:szCs w:val="32"/>
          <w:lang w:eastAsia="zh-CN"/>
        </w:rPr>
        <w:t>下一步改进措施</w:t>
      </w: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仿宋" w:hAnsi="仿宋" w:eastAsia="仿宋" w:cs="仿宋"/>
          <w:vanish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细化预算编制，提高预算编制准确率，提高采购执行率。</w:t>
      </w:r>
    </w:p>
    <w:p>
      <w:pPr>
        <w:widowControl w:val="0"/>
        <w:numPr>
          <w:ilvl w:val="0"/>
          <w:numId w:val="0"/>
        </w:numPr>
        <w:kinsoku/>
        <w:overflowPunct w:val="0"/>
        <w:spacing w:line="360" w:lineRule="auto"/>
        <w:ind w:leftChars="200"/>
        <w:rPr>
          <w:rFonts w:hint="eastAsia" w:ascii="仿宋" w:hAnsi="仿宋" w:eastAsia="仿宋" w:cs="仿宋"/>
          <w:spacing w:val="-13"/>
          <w:sz w:val="32"/>
          <w:szCs w:val="32"/>
          <w:lang w:eastAsia="zh-CN"/>
        </w:rPr>
      </w:pPr>
    </w:p>
    <w:p>
      <w:pPr>
        <w:widowControl w:val="0"/>
        <w:kinsoku/>
        <w:overflowPunct w:val="0"/>
        <w:spacing w:line="360" w:lineRule="auto"/>
        <w:ind w:firstLine="588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13"/>
          <w:sz w:val="32"/>
          <w:szCs w:val="32"/>
          <w:lang w:eastAsia="zh-CN"/>
        </w:rPr>
        <w:t>九、其他需要说明的情况</w:t>
      </w:r>
    </w:p>
    <w:p>
      <w:pPr>
        <w:widowControl w:val="0"/>
        <w:kinsoku/>
        <w:overflowPunct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widowControl w:val="0"/>
        <w:kinsoku/>
        <w:overflowPunct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pStyle w:val="2"/>
        <w:widowControl w:val="0"/>
        <w:kinsoku/>
        <w:overflowPunct w:val="0"/>
        <w:spacing w:line="360" w:lineRule="auto"/>
        <w:ind w:firstLine="58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15"/>
          <w:sz w:val="32"/>
          <w:szCs w:val="32"/>
          <w:lang w:eastAsia="zh-CN"/>
        </w:rPr>
        <w:t>报告应包括以下附件：</w:t>
      </w:r>
    </w:p>
    <w:p>
      <w:pPr>
        <w:pStyle w:val="2"/>
        <w:widowControl w:val="0"/>
        <w:kinsoku/>
        <w:overflowPunct w:val="0"/>
        <w:spacing w:line="360" w:lineRule="auto"/>
        <w:ind w:firstLine="620" w:firstLineChars="200"/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5"/>
          <w:sz w:val="32"/>
          <w:szCs w:val="32"/>
          <w:lang w:eastAsia="zh-CN"/>
        </w:rPr>
        <w:t>1.部门整体支出绩效评价基础数据表</w:t>
      </w:r>
    </w:p>
    <w:p>
      <w:pPr>
        <w:pStyle w:val="2"/>
        <w:widowControl w:val="0"/>
        <w:kinsoku/>
        <w:overflowPunct w:val="0"/>
        <w:spacing w:line="360" w:lineRule="auto"/>
        <w:ind w:firstLine="624" w:firstLineChars="200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NumType w:fmt="numberInDash"/>
          <w:cols w:space="0" w:num="1"/>
          <w:docGrid w:linePitch="286" w:charSpace="0"/>
        </w:sectPr>
      </w:pP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2.部门整体支出绩效自评表</w:t>
      </w:r>
      <w:bookmarkStart w:id="0" w:name="_GoBack"/>
      <w:bookmarkEnd w:id="0"/>
    </w:p>
    <w:p>
      <w:pPr>
        <w:pStyle w:val="2"/>
        <w:spacing w:before="12" w:line="285" w:lineRule="auto"/>
        <w:ind w:right="285"/>
        <w:rPr>
          <w:sz w:val="23"/>
          <w:szCs w:val="23"/>
          <w:lang w:eastAsia="zh-CN"/>
        </w:rPr>
      </w:pPr>
    </w:p>
    <w:sectPr>
      <w:footerReference r:id="rId5" w:type="default"/>
      <w:pgSz w:w="11900" w:h="16838"/>
      <w:pgMar w:top="1417" w:right="1474" w:bottom="1417" w:left="1474" w:header="0" w:footer="947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>
    <w:pPr>
      <w:spacing w:line="179" w:lineRule="auto"/>
      <w:ind w:left="8854"/>
      <w:rPr>
        <w:rFonts w:ascii="Times New Roman" w:hAnsi="Times New Roman" w:eastAsia="Times New Roman" w:cs="Times New Roman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435458"/>
    <w:multiLevelType w:val="singleLevel"/>
    <w:tmpl w:val="8C435458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C183E592"/>
    <w:multiLevelType w:val="singleLevel"/>
    <w:tmpl w:val="C183E59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B62575"/>
    <w:multiLevelType w:val="singleLevel"/>
    <w:tmpl w:val="F9B62575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3">
    <w:nsid w:val="1BA3B5DF"/>
    <w:multiLevelType w:val="singleLevel"/>
    <w:tmpl w:val="1BA3B5D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MTYyYmYyNTIyODFhNmI5ODQ2ZDQ2MTE0ODRmNmViM2QifQ=="/>
  </w:docVars>
  <w:rsids>
    <w:rsidRoot w:val="00D65F4E"/>
    <w:rsid w:val="00252DD3"/>
    <w:rsid w:val="003005B0"/>
    <w:rsid w:val="003A0F30"/>
    <w:rsid w:val="006B3AFB"/>
    <w:rsid w:val="00814CEE"/>
    <w:rsid w:val="00C24372"/>
    <w:rsid w:val="00D65F4E"/>
    <w:rsid w:val="0A4B3CFB"/>
    <w:rsid w:val="0D0A17F5"/>
    <w:rsid w:val="177C4139"/>
    <w:rsid w:val="2D464754"/>
    <w:rsid w:val="2FECE574"/>
    <w:rsid w:val="325A4C76"/>
    <w:rsid w:val="37926A2B"/>
    <w:rsid w:val="3B631F89"/>
    <w:rsid w:val="3F7D3D52"/>
    <w:rsid w:val="3F9DD004"/>
    <w:rsid w:val="4F3BC71C"/>
    <w:rsid w:val="5234402D"/>
    <w:rsid w:val="54AE6CE3"/>
    <w:rsid w:val="5C502260"/>
    <w:rsid w:val="64AD2BDE"/>
    <w:rsid w:val="673BA62A"/>
    <w:rsid w:val="6BD7A7ED"/>
    <w:rsid w:val="72333E41"/>
    <w:rsid w:val="74293E44"/>
    <w:rsid w:val="75ECE37B"/>
    <w:rsid w:val="7A790D23"/>
    <w:rsid w:val="7B641575"/>
    <w:rsid w:val="7C7F423C"/>
    <w:rsid w:val="7FFF9DB5"/>
    <w:rsid w:val="97FDB6DE"/>
    <w:rsid w:val="BFC7BA4C"/>
    <w:rsid w:val="CFCC39E5"/>
    <w:rsid w:val="DFFA7680"/>
    <w:rsid w:val="E6FF343A"/>
    <w:rsid w:val="EFDF4342"/>
    <w:rsid w:val="F3FF532E"/>
    <w:rsid w:val="F9BE7C56"/>
    <w:rsid w:val="FF83E629"/>
    <w:rsid w:val="FFF66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</w:style>
  <w:style w:type="character" w:customStyle="1" w:styleId="10">
    <w:name w:val="页眉 Char"/>
    <w:basedOn w:val="7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1">
    <w:name w:val="页脚 Char"/>
    <w:basedOn w:val="7"/>
    <w:link w:val="3"/>
    <w:qFormat/>
    <w:uiPriority w:val="99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812</Words>
  <Characters>4633</Characters>
  <Lines>38</Lines>
  <Paragraphs>10</Paragraphs>
  <TotalTime>81</TotalTime>
  <ScaleCrop>false</ScaleCrop>
  <LinksUpToDate>false</LinksUpToDate>
  <CharactersWithSpaces>5435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2024-09-20T08:39:00Z</dcterms:created>
  <dc:creator>Kingsoft-PDF</dc:creator>
  <cp:lastModifiedBy>Administrator</cp:lastModifiedBy>
  <cp:lastPrinted>2024-10-30T03:36:00Z</cp:lastPrinted>
  <dcterms:modified xsi:type="dcterms:W3CDTF">2024-10-31T01:21:11Z</dcterms:modified>
  <dc:subject>pdfbuilder</dc:subject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2024-09-18T16:39:34Z</vt:filetime>
  </property>
  <property fmtid="{D5CDD505-2E9C-101B-9397-08002B2CF9AE}" pid="4" name="UsrData">
    <vt:lpwstr>66ea91c2a2edd9001f7ce060wl</vt:lpwstr>
  </property>
  <property fmtid="{D5CDD505-2E9C-101B-9397-08002B2CF9AE}" pid="5" name="KSOProductBuildVer">
    <vt:lpwstr>2052-11.8.2.11542</vt:lpwstr>
  </property>
  <property fmtid="{D5CDD505-2E9C-101B-9397-08002B2CF9AE}" pid="6" name="ICV">
    <vt:lpwstr>F8BBAB61D70643589D34BC9FCA491FB2_13</vt:lpwstr>
  </property>
</Properties>
</file>