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kinsoku/>
        <w:overflowPunct w:val="0"/>
        <w:spacing w:line="360" w:lineRule="auto"/>
        <w:rPr>
          <w:sz w:val="32"/>
          <w:szCs w:val="32"/>
          <w:lang w:eastAsia="zh-CN"/>
        </w:rPr>
      </w:pPr>
      <w:r>
        <w:rPr>
          <w:spacing w:val="17"/>
          <w:sz w:val="32"/>
          <w:szCs w:val="32"/>
          <w:lang w:eastAsia="zh-CN"/>
        </w:rPr>
        <w:t>附件1</w:t>
      </w:r>
    </w:p>
    <w:p>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pPr>
        <w:widowControl w:val="0"/>
        <w:kinsoku/>
        <w:overflowPunct w:val="0"/>
        <w:spacing w:line="360" w:lineRule="auto"/>
        <w:ind w:firstLine="640" w:firstLineChars="200"/>
        <w:rPr>
          <w:sz w:val="32"/>
          <w:szCs w:val="32"/>
          <w:lang w:eastAsia="zh-CN"/>
        </w:rPr>
      </w:pPr>
    </w:p>
    <w:p>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pPr>
        <w:widowControl/>
        <w:shd w:val="clear" w:color="auto" w:fill="FFFFFF"/>
        <w:spacing w:line="600" w:lineRule="atLeast"/>
        <w:ind w:firstLine="640"/>
        <w:rPr>
          <w:rFonts w:ascii="楷体" w:hAnsi="楷体" w:eastAsia="楷体" w:cs="楷体"/>
          <w:spacing w:val="11"/>
          <w:sz w:val="32"/>
          <w:szCs w:val="32"/>
          <w:lang w:eastAsia="zh-CN"/>
        </w:rPr>
      </w:pPr>
      <w:r>
        <w:rPr>
          <w:rFonts w:hint="eastAsia" w:ascii="仿宋_GB2312" w:hAnsi="仿宋_GB2312" w:eastAsia="仿宋_GB2312" w:cs="仿宋_GB2312"/>
          <w:sz w:val="32"/>
          <w:szCs w:val="32"/>
          <w:lang w:eastAsia="zh-CN"/>
        </w:rPr>
        <w:t>区人社局是</w:t>
      </w:r>
      <w:r>
        <w:rPr>
          <w:rFonts w:hint="eastAsia" w:ascii="仿宋_GB2312" w:hAnsi="仿宋_GB2312" w:eastAsia="仿宋_GB2312" w:cs="仿宋_GB2312"/>
          <w:sz w:val="32"/>
          <w:szCs w:val="32"/>
        </w:rPr>
        <w:t>一般部门预算单位，</w:t>
      </w:r>
      <w:r>
        <w:rPr>
          <w:rFonts w:hint="eastAsia" w:ascii="仿宋_GB2312" w:hAnsi="仿宋_GB2312" w:eastAsia="仿宋_GB2312" w:cs="仿宋_GB2312"/>
          <w:sz w:val="32"/>
          <w:szCs w:val="32"/>
          <w:lang w:eastAsia="zh-CN"/>
        </w:rPr>
        <w:t>内设</w:t>
      </w:r>
      <w:r>
        <w:rPr>
          <w:rFonts w:hint="eastAsia" w:ascii="仿宋_GB2312" w:hAnsi="仿宋_GB2312" w:eastAsia="仿宋_GB2312" w:cs="仿宋_GB2312"/>
          <w:sz w:val="32"/>
          <w:szCs w:val="32"/>
          <w:lang w:val="en-US" w:eastAsia="zh-CN"/>
        </w:rPr>
        <w:t>9个职能股室：办公室、财务基金监督股、就业股、专业技术人员管理股、人教股、养老保险股、事业单位管理股、法规股、工资福利股；2个不独立核算事业单位：劳动监察大队、仲裁院；3个独立核算二级事业单位：养老和工伤保险服务中心、就业服务中心、人力资源服务中心。</w:t>
      </w:r>
    </w:p>
    <w:p>
      <w:pPr>
        <w:widowControl w:val="0"/>
        <w:numPr>
          <w:ilvl w:val="0"/>
          <w:numId w:val="1"/>
        </w:numPr>
        <w:kinsoku/>
        <w:overflowPunct w:val="0"/>
        <w:spacing w:line="360" w:lineRule="auto"/>
        <w:ind w:firstLine="672" w:firstLineChars="200"/>
        <w:rPr>
          <w:rFonts w:ascii="楷体" w:hAnsi="楷体" w:eastAsia="楷体" w:cs="楷体"/>
          <w:spacing w:val="8"/>
          <w:sz w:val="32"/>
          <w:szCs w:val="32"/>
          <w:lang w:eastAsia="zh-CN"/>
        </w:rPr>
      </w:pPr>
      <w:r>
        <w:rPr>
          <w:rFonts w:ascii="楷体" w:hAnsi="楷体" w:eastAsia="楷体" w:cs="楷体"/>
          <w:spacing w:val="8"/>
          <w:sz w:val="32"/>
          <w:szCs w:val="32"/>
          <w:lang w:eastAsia="zh-CN"/>
        </w:rPr>
        <w:t>人员编制情况</w:t>
      </w:r>
    </w:p>
    <w:p>
      <w:pPr>
        <w:widowControl w:val="0"/>
        <w:numPr>
          <w:ilvl w:val="0"/>
          <w:numId w:val="0"/>
        </w:numPr>
        <w:kinsoku/>
        <w:overflowPunct w:val="0"/>
        <w:spacing w:line="360" w:lineRule="auto"/>
        <w:ind w:firstLine="672" w:firstLineChars="200"/>
        <w:rPr>
          <w:rFonts w:hint="default" w:ascii="楷体" w:hAnsi="楷体" w:eastAsia="楷体" w:cs="楷体"/>
          <w:spacing w:val="8"/>
          <w:sz w:val="32"/>
          <w:szCs w:val="32"/>
          <w:lang w:val="en-US" w:eastAsia="zh-CN"/>
        </w:rPr>
      </w:pPr>
      <w:r>
        <w:rPr>
          <w:rFonts w:hint="eastAsia" w:ascii="楷体" w:hAnsi="楷体" w:eastAsia="楷体" w:cs="楷体"/>
          <w:spacing w:val="8"/>
          <w:sz w:val="32"/>
          <w:szCs w:val="32"/>
          <w:lang w:val="en-US" w:eastAsia="zh-CN"/>
        </w:rPr>
        <w:t>截止2023年12月31日，在职人员50人。</w:t>
      </w:r>
    </w:p>
    <w:p>
      <w:pPr>
        <w:widowControl w:val="0"/>
        <w:numPr>
          <w:ilvl w:val="0"/>
          <w:numId w:val="1"/>
        </w:numPr>
        <w:kinsoku/>
        <w:overflowPunct w:val="0"/>
        <w:spacing w:line="360" w:lineRule="auto"/>
        <w:ind w:left="0" w:leftChars="0"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主要职能职责</w:t>
      </w:r>
    </w:p>
    <w:p>
      <w:pPr>
        <w:spacing w:line="600" w:lineRule="exact"/>
        <w:ind w:firstLine="640" w:firstLineChars="200"/>
        <w:rPr>
          <w:rFonts w:ascii="楷体" w:hAnsi="楷体" w:eastAsia="楷体" w:cs="楷体"/>
          <w:spacing w:val="10"/>
          <w:sz w:val="32"/>
          <w:szCs w:val="32"/>
          <w:lang w:eastAsia="zh-CN"/>
        </w:rPr>
      </w:pPr>
      <w:r>
        <w:rPr>
          <w:rFonts w:hint="eastAsia" w:ascii="仿宋_GB2312" w:hAnsi="仿宋_GB2312" w:eastAsia="仿宋_GB2312" w:cs="仿宋_GB2312"/>
          <w:b w:val="0"/>
          <w:bCs w:val="0"/>
          <w:color w:val="000000"/>
          <w:sz w:val="32"/>
          <w:szCs w:val="32"/>
        </w:rPr>
        <w:t>贯彻执行国家、省、市人力资源和社会保障方针政策和法律法规，负责全区人力资源和社会保障事业发展规划、综合管理、监督指导、协调服务并组织实施。组织实施和执行上级部门的企业职工基本养老保险、机关事业单位养老保险、失业保险、工伤保险等社会的政策和标准，负责全区职业技能培训鉴定、劳务输出、劳动合同鉴证、劳动关系协调指导、劳动争议调解仲裁、劳动保障监察、高校毕业生就业、自主择业军队转业干部、企业退休职工社会化管理等工作。</w:t>
      </w:r>
    </w:p>
    <w:p>
      <w:pPr>
        <w:widowControl w:val="0"/>
        <w:numPr>
          <w:ilvl w:val="0"/>
          <w:numId w:val="1"/>
        </w:numPr>
        <w:kinsoku/>
        <w:overflowPunct w:val="0"/>
        <w:spacing w:line="360" w:lineRule="auto"/>
        <w:ind w:left="0" w:leftChars="0"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绩效目标设定情况</w:t>
      </w:r>
    </w:p>
    <w:p>
      <w:pPr>
        <w:widowControl/>
        <w:numPr>
          <w:ilvl w:val="0"/>
          <w:numId w:val="0"/>
        </w:numPr>
        <w:shd w:val="clear" w:color="auto" w:fill="FFFFFF"/>
        <w:spacing w:line="600" w:lineRule="atLeast"/>
        <w:ind w:firstLine="640" w:firstLineChars="200"/>
        <w:rPr>
          <w:rFonts w:ascii="楷体" w:hAnsi="楷体" w:eastAsia="楷体" w:cs="楷体"/>
          <w:spacing w:val="9"/>
          <w:sz w:val="32"/>
          <w:szCs w:val="32"/>
          <w:lang w:eastAsia="zh-CN"/>
        </w:rPr>
      </w:pPr>
      <w:r>
        <w:rPr>
          <w:rFonts w:hint="eastAsia" w:ascii="仿宋_GB2312" w:hAnsi="仿宋_GB2312" w:eastAsia="仿宋_GB2312" w:cs="仿宋_GB2312"/>
          <w:b w:val="0"/>
          <w:bCs/>
          <w:sz w:val="32"/>
          <w:szCs w:val="32"/>
          <w:lang w:eastAsia="zh-CN"/>
        </w:rPr>
        <w:t>为了加强我单位财务管理，完善财务制度，强化财务监督，严肃财经纪律，严肃提高资金使用效益，确保工作正常有序开展，根据党政机关厉行节约反对浪费条例以及有关财务制度，结合我单位实际，制定了相应的财务管理办法。严格资金使用标准，严格审批程序、严格资金使用方式，专款专用。我单位负责区社保基金管理</w:t>
      </w:r>
      <w:r>
        <w:rPr>
          <w:rFonts w:hint="eastAsia" w:ascii="仿宋_GB2312" w:hAnsi="仿宋_GB2312" w:eastAsia="仿宋_GB2312" w:cs="仿宋_GB2312"/>
          <w:b w:val="0"/>
          <w:bCs/>
          <w:sz w:val="32"/>
          <w:szCs w:val="32"/>
          <w:lang w:val="en-US" w:eastAsia="zh-CN"/>
        </w:rPr>
        <w:t>使用、稳定就业、</w:t>
      </w:r>
      <w:r>
        <w:rPr>
          <w:rFonts w:hint="eastAsia" w:ascii="仿宋_GB2312" w:hAnsi="仿宋_GB2312" w:eastAsia="仿宋_GB2312" w:cs="仿宋_GB2312"/>
          <w:b w:val="0"/>
          <w:bCs/>
          <w:sz w:val="32"/>
          <w:szCs w:val="32"/>
          <w:lang w:eastAsia="zh-CN"/>
        </w:rPr>
        <w:t>绩效考核等工作。负责各项目实施、工程进度和质量监督管理，负责编制区人社项目计划。协调各方面业务关系，争取项目和项目资金。</w:t>
      </w:r>
    </w:p>
    <w:p>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pPr>
        <w:widowControl/>
        <w:shd w:val="clear" w:color="auto" w:fill="FFFFFF"/>
        <w:spacing w:line="600" w:lineRule="atLeast"/>
        <w:ind w:firstLine="600" w:firstLineChars="200"/>
        <w:rPr>
          <w:rFonts w:ascii="楷体" w:hAnsi="楷体" w:eastAsia="楷体" w:cs="楷体"/>
          <w:spacing w:val="1"/>
          <w:sz w:val="32"/>
          <w:szCs w:val="32"/>
          <w:lang w:eastAsia="zh-CN"/>
        </w:rPr>
      </w:pPr>
      <w:r>
        <w:rPr>
          <w:rFonts w:hint="eastAsia" w:ascii="宋体" w:hAnsi="宋体" w:eastAsia="宋体"/>
          <w:sz w:val="30"/>
          <w:szCs w:val="30"/>
          <w:lang w:val="en-US" w:eastAsia="zh-CN"/>
        </w:rPr>
        <w:t>各专项项目资金严格按照专项资金管理办法，专款专用。</w:t>
      </w:r>
      <w:r>
        <w:rPr>
          <w:rFonts w:hint="eastAsia" w:ascii="仿宋_GB2312" w:hAnsi="仿宋_GB2312" w:eastAsia="仿宋_GB2312" w:cs="仿宋_GB2312"/>
          <w:b w:val="0"/>
          <w:bCs w:val="0"/>
          <w:sz w:val="32"/>
          <w:szCs w:val="32"/>
          <w:lang w:val="en-US" w:eastAsia="zh-CN"/>
        </w:rPr>
        <w:t>按要求编制资产月报、资产年报，按时上报。固定资产要做到合理使用，管理完善。在资产管理方面严格按照国家有关规定执行，做到资产账账相符、账表相符、账证相符。</w:t>
      </w:r>
    </w:p>
    <w:p>
      <w:pPr>
        <w:widowControl w:val="0"/>
        <w:numPr>
          <w:ilvl w:val="0"/>
          <w:numId w:val="2"/>
        </w:numPr>
        <w:kinsoku/>
        <w:overflowPunct w:val="0"/>
        <w:spacing w:line="360" w:lineRule="auto"/>
        <w:ind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部门预算执行情况</w:t>
      </w:r>
    </w:p>
    <w:p>
      <w:pPr>
        <w:spacing w:line="600" w:lineRule="exact"/>
        <w:ind w:firstLine="640" w:firstLineChars="200"/>
        <w:rPr>
          <w:rFonts w:ascii="楷体" w:hAnsi="楷体" w:eastAsia="楷体" w:cs="楷体"/>
          <w:spacing w:val="9"/>
          <w:sz w:val="32"/>
          <w:szCs w:val="32"/>
          <w:lang w:eastAsia="zh-CN"/>
        </w:rPr>
      </w:pPr>
      <w:r>
        <w:rPr>
          <w:rFonts w:hint="eastAsia" w:ascii="仿宋_GB2312" w:hAnsi="仿宋_GB2312" w:eastAsia="仿宋_GB2312" w:cs="仿宋_GB2312"/>
          <w:b w:val="0"/>
          <w:bCs w:val="0"/>
          <w:sz w:val="32"/>
          <w:szCs w:val="32"/>
          <w:lang w:val="en-US" w:eastAsia="zh-CN"/>
        </w:rPr>
        <w:t>我单位积极推进预算绩效管理，合理制定和编制年度预算，加强资金管理，提高资金使用效率，建立健全内部监管机制，合理列支年度经费支出。我单位认真开展各项工作，按预期项目目标，组织、开展各项目，取得了较好的社会效益，服务对象满意度高。</w:t>
      </w:r>
    </w:p>
    <w:p>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pPr>
        <w:pStyle w:val="5"/>
        <w:widowControl/>
        <w:spacing w:line="600" w:lineRule="exact"/>
        <w:rPr>
          <w:spacing w:val="-5"/>
          <w:sz w:val="32"/>
          <w:szCs w:val="32"/>
          <w:lang w:eastAsia="zh-CN"/>
        </w:rPr>
      </w:pPr>
      <w:r>
        <w:rPr>
          <w:rFonts w:hint="eastAsia" w:ascii="仿宋_GB2312" w:hAnsi="仿宋_GB2312" w:eastAsia="仿宋_GB2312" w:cs="仿宋_GB2312"/>
          <w:b w:val="0"/>
          <w:bCs/>
          <w:snapToGrid w:val="0"/>
          <w:color w:val="000000"/>
          <w:sz w:val="32"/>
          <w:szCs w:val="32"/>
          <w:lang w:val="en-US" w:eastAsia="zh-CN" w:bidi="ar-SA"/>
        </w:rPr>
        <w:t>2023年基本支出决算数为815.62万元，是指为保障单位机构正常运转、完成日常工作任务而发生的各项支出，包括用于基本工资、津贴补贴等人员经费以及办公费、印刷费、水电费、物业管理费等日常公用经费。其中三公经费支出0.49万元。</w:t>
      </w:r>
    </w:p>
    <w:p>
      <w:pPr>
        <w:pStyle w:val="2"/>
        <w:widowControl w:val="0"/>
        <w:numPr>
          <w:ilvl w:val="0"/>
          <w:numId w:val="3"/>
        </w:numPr>
        <w:kinsoku/>
        <w:overflowPunct w:val="0"/>
        <w:spacing w:line="360" w:lineRule="auto"/>
        <w:ind w:firstLine="632" w:firstLineChars="200"/>
        <w:rPr>
          <w:spacing w:val="-2"/>
          <w:sz w:val="32"/>
          <w:szCs w:val="32"/>
          <w:lang w:eastAsia="zh-CN"/>
        </w:rPr>
      </w:pPr>
      <w:r>
        <w:rPr>
          <w:spacing w:val="-2"/>
          <w:sz w:val="32"/>
          <w:szCs w:val="32"/>
          <w:lang w:eastAsia="zh-CN"/>
        </w:rPr>
        <w:t>项目支出情况</w:t>
      </w:r>
    </w:p>
    <w:p>
      <w:pPr>
        <w:spacing w:line="60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项目支出是指单位为完成特定行政工作任务或事业发展目标而发生的支出，2023年决算数为430.27万元。其中特岗工资393.25万元；交通补助6.52万元；扶贫车间30.5万元。</w:t>
      </w:r>
    </w:p>
    <w:p>
      <w:pPr>
        <w:widowControl w:val="0"/>
        <w:kinsoku/>
        <w:overflowPunct w:val="0"/>
        <w:spacing w:line="360" w:lineRule="auto"/>
        <w:ind w:firstLine="660" w:firstLineChars="200"/>
        <w:rPr>
          <w:rFonts w:ascii="楷体" w:hAnsi="楷体" w:eastAsia="楷体" w:cs="楷体"/>
          <w:sz w:val="32"/>
          <w:szCs w:val="32"/>
          <w:lang w:eastAsia="zh-CN"/>
        </w:rPr>
      </w:pPr>
      <w:r>
        <w:rPr>
          <w:rFonts w:ascii="楷体" w:hAnsi="楷体" w:eastAsia="楷体" w:cs="楷体"/>
          <w:spacing w:val="5"/>
          <w:sz w:val="32"/>
          <w:szCs w:val="32"/>
          <w:lang w:eastAsia="zh-CN"/>
        </w:rPr>
        <w:t>(三)"三公"经费使用和管理情况</w:t>
      </w:r>
    </w:p>
    <w:p>
      <w:pPr>
        <w:widowControl w:val="0"/>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三、政府性基金预算支出情况</w:t>
      </w:r>
    </w:p>
    <w:p>
      <w:pPr>
        <w:spacing w:line="60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无</w:t>
      </w:r>
    </w:p>
    <w:p>
      <w:pPr>
        <w:widowControl w:val="0"/>
        <w:numPr>
          <w:ilvl w:val="0"/>
          <w:numId w:val="4"/>
        </w:numPr>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pPr>
        <w:widowControl w:val="0"/>
        <w:numPr>
          <w:ilvl w:val="0"/>
          <w:numId w:val="0"/>
        </w:numPr>
        <w:kinsoku/>
        <w:overflowPunct w:val="0"/>
        <w:spacing w:line="360" w:lineRule="auto"/>
        <w:rPr>
          <w:rFonts w:ascii="黑体" w:hAnsi="黑体" w:eastAsia="黑体" w:cs="黑体"/>
          <w:b/>
          <w:bCs/>
          <w:spacing w:val="-9"/>
          <w:sz w:val="32"/>
          <w:szCs w:val="32"/>
          <w:lang w:eastAsia="zh-CN"/>
        </w:rPr>
      </w:pPr>
      <w:r>
        <w:rPr>
          <w:rFonts w:hint="eastAsia" w:ascii="黑体" w:hAnsi="黑体" w:eastAsia="黑体" w:cs="黑体"/>
          <w:b/>
          <w:bCs/>
          <w:spacing w:val="-9"/>
          <w:sz w:val="32"/>
          <w:szCs w:val="32"/>
          <w:lang w:val="en-US" w:eastAsia="zh-CN"/>
        </w:rPr>
        <w:t xml:space="preserve">    </w:t>
      </w:r>
      <w:r>
        <w:rPr>
          <w:rFonts w:hint="eastAsia" w:ascii="仿宋_GB2312" w:hAnsi="仿宋_GB2312" w:eastAsia="仿宋_GB2312" w:cs="仿宋_GB2312"/>
          <w:b w:val="0"/>
          <w:bCs w:val="0"/>
          <w:sz w:val="32"/>
          <w:szCs w:val="32"/>
          <w:lang w:val="en-US" w:eastAsia="zh-CN"/>
        </w:rPr>
        <w:t>无</w:t>
      </w:r>
    </w:p>
    <w:p>
      <w:pPr>
        <w:widowControl w:val="0"/>
        <w:numPr>
          <w:ilvl w:val="0"/>
          <w:numId w:val="4"/>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pPr>
        <w:widowControl w:val="0"/>
        <w:numPr>
          <w:ilvl w:val="0"/>
          <w:numId w:val="0"/>
        </w:numPr>
        <w:kinsoku/>
        <w:overflowPunct w:val="0"/>
        <w:spacing w:line="360" w:lineRule="auto"/>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无</w:t>
      </w:r>
    </w:p>
    <w:p>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pPr>
        <w:spacing w:line="600" w:lineRule="exact"/>
        <w:ind w:firstLine="640" w:firstLineChars="200"/>
        <w:rPr>
          <w:sz w:val="32"/>
          <w:szCs w:val="32"/>
          <w:lang w:eastAsia="zh-CN"/>
        </w:rPr>
      </w:pPr>
      <w:r>
        <w:rPr>
          <w:rFonts w:hint="eastAsia" w:ascii="仿宋_GB2312" w:hAnsi="仿宋_GB2312" w:eastAsia="仿宋_GB2312" w:cs="仿宋_GB2312"/>
          <w:b w:val="0"/>
          <w:bCs w:val="0"/>
          <w:sz w:val="32"/>
          <w:szCs w:val="32"/>
          <w:lang w:val="en-US" w:eastAsia="zh-CN"/>
        </w:rPr>
        <w:t>2023</w:t>
      </w:r>
      <w:bookmarkStart w:id="0" w:name="_GoBack"/>
      <w:bookmarkEnd w:id="0"/>
      <w:r>
        <w:rPr>
          <w:rFonts w:hint="eastAsia" w:ascii="仿宋_GB2312" w:hAnsi="仿宋_GB2312" w:eastAsia="仿宋_GB2312" w:cs="仿宋_GB2312"/>
          <w:b w:val="0"/>
          <w:bCs w:val="0"/>
          <w:sz w:val="32"/>
          <w:szCs w:val="32"/>
          <w:lang w:val="en-US" w:eastAsia="zh-CN"/>
        </w:rPr>
        <w:t>年我单位积极推进预算绩效管理，合理制定和编制年度预算，加强资金管理，提高资金使用效率，建立健全内部监管机制，合理列支年度经费支出。我单位认真开展各项工作，按预期项目目标，组织、开展各项目，取得了较好的社会效益，服务对象满意度高。</w:t>
      </w:r>
    </w:p>
    <w:p>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pPr>
        <w:bidi w:val="0"/>
        <w:ind w:firstLine="64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bCs w:val="0"/>
          <w:sz w:val="32"/>
          <w:szCs w:val="32"/>
          <w:lang w:val="en-US" w:eastAsia="zh-CN"/>
        </w:rPr>
        <w:t>存在主要问题：对新的财务知识掌握不全面。</w:t>
      </w:r>
    </w:p>
    <w:p>
      <w:pPr>
        <w:widowControl w:val="0"/>
        <w:numPr>
          <w:ilvl w:val="0"/>
          <w:numId w:val="5"/>
        </w:numPr>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下一步改进措施</w:t>
      </w:r>
    </w:p>
    <w:p>
      <w:pPr>
        <w:bidi w:val="0"/>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在今后的工作中：1、应多加强业务培训，积极学习新的财务知识和财经法规，不断提高财务人员工作能力和水平。2、应进一步强化绩效管理，切实提高资金使用安全性、规范性、有效性。</w:t>
      </w:r>
    </w:p>
    <w:p>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九、其他需要说明的情况</w:t>
      </w:r>
    </w:p>
    <w:p>
      <w:pPr>
        <w:widowControl w:val="0"/>
        <w:kinsoku/>
        <w:overflowPunct w:val="0"/>
        <w:spacing w:line="360" w:lineRule="auto"/>
        <w:ind w:firstLine="588" w:firstLineChars="200"/>
        <w:rPr>
          <w:rFonts w:hint="eastAsia" w:ascii="黑体" w:hAnsi="黑体" w:eastAsia="黑体" w:cs="黑体"/>
          <w:spacing w:val="-13"/>
          <w:sz w:val="32"/>
          <w:szCs w:val="32"/>
          <w:lang w:val="en-US" w:eastAsia="zh-CN"/>
        </w:rPr>
      </w:pPr>
      <w:r>
        <w:rPr>
          <w:rFonts w:hint="eastAsia" w:ascii="黑体" w:hAnsi="黑体" w:eastAsia="黑体" w:cs="黑体"/>
          <w:spacing w:val="-13"/>
          <w:sz w:val="32"/>
          <w:szCs w:val="32"/>
          <w:lang w:val="en-US" w:eastAsia="zh-CN"/>
        </w:rPr>
        <w:t>无</w:t>
      </w:r>
    </w:p>
    <w:p>
      <w:pPr>
        <w:widowControl w:val="0"/>
        <w:kinsoku/>
        <w:overflowPunct w:val="0"/>
        <w:spacing w:line="360" w:lineRule="auto"/>
        <w:ind w:firstLine="640" w:firstLineChars="200"/>
        <w:rPr>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1AD57B"/>
    <w:multiLevelType w:val="singleLevel"/>
    <w:tmpl w:val="B31AD57B"/>
    <w:lvl w:ilvl="0" w:tentative="0">
      <w:start w:val="2"/>
      <w:numFmt w:val="chineseCounting"/>
      <w:lvlText w:val="(%1)"/>
      <w:lvlJc w:val="left"/>
      <w:pPr>
        <w:tabs>
          <w:tab w:val="left" w:pos="312"/>
        </w:tabs>
      </w:pPr>
      <w:rPr>
        <w:rFonts w:hint="eastAsia"/>
      </w:rPr>
    </w:lvl>
  </w:abstractNum>
  <w:abstractNum w:abstractNumId="1">
    <w:nsid w:val="BE2FB729"/>
    <w:multiLevelType w:val="singleLevel"/>
    <w:tmpl w:val="BE2FB729"/>
    <w:lvl w:ilvl="0" w:tentative="0">
      <w:start w:val="4"/>
      <w:numFmt w:val="chineseCounting"/>
      <w:suff w:val="nothing"/>
      <w:lvlText w:val="%1、"/>
      <w:lvlJc w:val="left"/>
      <w:rPr>
        <w:rFonts w:hint="eastAsia"/>
      </w:rPr>
    </w:lvl>
  </w:abstractNum>
  <w:abstractNum w:abstractNumId="2">
    <w:nsid w:val="D42BADFE"/>
    <w:multiLevelType w:val="singleLevel"/>
    <w:tmpl w:val="D42BADFE"/>
    <w:lvl w:ilvl="0" w:tentative="0">
      <w:start w:val="2"/>
      <w:numFmt w:val="decimal"/>
      <w:lvlText w:val="%1."/>
      <w:lvlJc w:val="left"/>
      <w:pPr>
        <w:tabs>
          <w:tab w:val="left" w:pos="312"/>
        </w:tabs>
      </w:pPr>
    </w:lvl>
  </w:abstractNum>
  <w:abstractNum w:abstractNumId="3">
    <w:nsid w:val="D7CD1D25"/>
    <w:multiLevelType w:val="singleLevel"/>
    <w:tmpl w:val="D7CD1D25"/>
    <w:lvl w:ilvl="0" w:tentative="0">
      <w:start w:val="8"/>
      <w:numFmt w:val="chineseCounting"/>
      <w:suff w:val="nothing"/>
      <w:lvlText w:val="%1、"/>
      <w:lvlJc w:val="left"/>
      <w:rPr>
        <w:rFonts w:hint="eastAsia"/>
      </w:rPr>
    </w:lvl>
  </w:abstractNum>
  <w:abstractNum w:abstractNumId="4">
    <w:nsid w:val="78CC6420"/>
    <w:multiLevelType w:val="singleLevel"/>
    <w:tmpl w:val="78CC6420"/>
    <w:lvl w:ilvl="0" w:tentative="0">
      <w:start w:val="2"/>
      <w:numFmt w:val="chineseCounting"/>
      <w:lvlText w:val="(%1)"/>
      <w:lvlJc w:val="left"/>
      <w:pPr>
        <w:tabs>
          <w:tab w:val="left" w:pos="312"/>
        </w:tabs>
      </w:pPr>
      <w:rPr>
        <w:rFonts w:hint="eastAsia"/>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11216B"/>
    <w:rsid w:val="4FD6236F"/>
    <w:rsid w:val="53F61043"/>
    <w:rsid w:val="6E26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2024-10-21T02:18:00Z</dcterms:created>
  <dc:creator>Administrator</dc:creator>
  <cp:lastModifiedBy>Administrator</cp:lastModifiedBy>
  <cp:lastPrinted>2024-10-21T09:09:00Z</cp:lastPrinted>
  <dcterms:modified xsi:type="dcterms:W3CDTF">2024-11-11T02:14:29Z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