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B7DAF">
      <w:pPr>
        <w:pStyle w:val="2"/>
        <w:widowControl w:val="0"/>
        <w:kinsoku/>
        <w:overflowPunct w:val="0"/>
        <w:spacing w:line="360" w:lineRule="auto"/>
        <w:rPr>
          <w:spacing w:val="17"/>
          <w:sz w:val="32"/>
          <w:szCs w:val="32"/>
          <w:lang w:eastAsia="zh-CN"/>
        </w:rPr>
      </w:pPr>
    </w:p>
    <w:p w14:paraId="37BE4056">
      <w:pPr>
        <w:pStyle w:val="2"/>
        <w:widowControl w:val="0"/>
        <w:kinsoku/>
        <w:overflowPunct w:val="0"/>
        <w:spacing w:line="360" w:lineRule="auto"/>
        <w:rPr>
          <w:sz w:val="32"/>
          <w:szCs w:val="32"/>
          <w:lang w:eastAsia="zh-CN"/>
        </w:rPr>
      </w:pPr>
      <w:r>
        <w:rPr>
          <w:spacing w:val="17"/>
          <w:sz w:val="32"/>
          <w:szCs w:val="32"/>
          <w:lang w:eastAsia="zh-CN"/>
        </w:rPr>
        <w:t>附件1</w:t>
      </w:r>
    </w:p>
    <w:p w14:paraId="309AABE9">
      <w:pPr>
        <w:widowControl w:val="0"/>
        <w:kinsoku/>
        <w:overflowPunct w:val="0"/>
        <w:spacing w:line="360" w:lineRule="auto"/>
        <w:ind w:firstLine="855" w:firstLineChars="200"/>
        <w:jc w:val="center"/>
        <w:rPr>
          <w:rFonts w:ascii="宋体" w:hAnsi="宋体" w:eastAsia="宋体" w:cs="宋体"/>
          <w:sz w:val="44"/>
          <w:szCs w:val="44"/>
          <w:lang w:eastAsia="zh-CN"/>
        </w:rPr>
      </w:pPr>
      <w:r>
        <w:rPr>
          <w:rFonts w:hint="eastAsia" w:ascii="宋体" w:hAnsi="宋体" w:eastAsia="宋体" w:cs="宋体"/>
          <w:b/>
          <w:bCs/>
          <w:spacing w:val="-7"/>
          <w:sz w:val="44"/>
          <w:szCs w:val="44"/>
          <w:lang w:eastAsia="zh-CN"/>
        </w:rPr>
        <w:t>2023年度</w:t>
      </w:r>
      <w:r>
        <w:rPr>
          <w:rFonts w:hint="eastAsia" w:ascii="宋体" w:hAnsi="宋体" w:eastAsia="宋体" w:cs="宋体"/>
          <w:b/>
          <w:bCs/>
          <w:spacing w:val="-7"/>
          <w:sz w:val="44"/>
          <w:szCs w:val="44"/>
          <w:lang w:val="en-US" w:eastAsia="zh-CN"/>
        </w:rPr>
        <w:t>红星街道办事处</w:t>
      </w:r>
      <w:r>
        <w:rPr>
          <w:rFonts w:hint="eastAsia" w:ascii="宋体" w:hAnsi="宋体" w:eastAsia="宋体" w:cs="宋体"/>
          <w:b/>
          <w:bCs/>
          <w:spacing w:val="-7"/>
          <w:sz w:val="44"/>
          <w:szCs w:val="44"/>
          <w:lang w:eastAsia="zh-CN"/>
        </w:rPr>
        <w:t>部门（单位）</w:t>
      </w:r>
      <w:r>
        <w:rPr>
          <w:rFonts w:ascii="宋体" w:hAnsi="宋体" w:eastAsia="宋体" w:cs="宋体"/>
          <w:b/>
          <w:bCs/>
          <w:spacing w:val="-7"/>
          <w:sz w:val="44"/>
          <w:szCs w:val="44"/>
          <w:lang w:eastAsia="zh-CN"/>
        </w:rPr>
        <w:t>部门整体支出绩效自评报告</w:t>
      </w:r>
    </w:p>
    <w:p w14:paraId="05B889D9">
      <w:pPr>
        <w:widowControl w:val="0"/>
        <w:kinsoku/>
        <w:overflowPunct w:val="0"/>
        <w:spacing w:line="360" w:lineRule="auto"/>
        <w:rPr>
          <w:sz w:val="32"/>
          <w:szCs w:val="32"/>
          <w:lang w:eastAsia="zh-CN"/>
        </w:rPr>
      </w:pPr>
    </w:p>
    <w:p w14:paraId="3DECC108">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2A8232E0">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(一)机构设置情况</w:t>
      </w:r>
    </w:p>
    <w:p w14:paraId="0CC0E4B6">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红星街道办事处处下设党政办公室、党建办公室（监察室）、经济发展办公室、社会事务办公室、自然资源和生态环境办公室、应急能力建设管理办公室，同时有外派机构财政所、综合行政执法大队、红星司法所、市场监管所。</w:t>
      </w:r>
    </w:p>
    <w:p w14:paraId="2BEA9A30">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(二)人员编制情况</w:t>
      </w:r>
    </w:p>
    <w:p w14:paraId="6473C9A9">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红星街道办事处属于鹤城区财政全额拨款事业单位，人员编制136人，其中：事业编制120人。2023年末实有在职干部职工122人，其中：事业人员106人。另有退休人员27人，差额事业编制1人。</w:t>
      </w:r>
    </w:p>
    <w:p w14:paraId="13A62025">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(三)主要职能职责</w:t>
      </w:r>
    </w:p>
    <w:p w14:paraId="7480A877">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both"/>
        <w:textAlignment w:val="auto"/>
        <w:rPr>
          <w:rFonts w:hint="eastAsia" w:ascii="仿宋" w:hAnsi="仿宋" w:eastAsia="仿宋" w:cs="仿宋"/>
          <w:color w:val="auto"/>
          <w:sz w:val="32"/>
          <w:szCs w:val="32"/>
          <w:shd w:val="clear" w:color="auto" w:fill="auto"/>
          <w:lang w:val="en-US" w:eastAsia="zh-CN"/>
        </w:rPr>
      </w:pPr>
      <w:r>
        <w:rPr>
          <w:rFonts w:hint="eastAsia" w:ascii="仿宋" w:hAnsi="仿宋" w:eastAsia="仿宋" w:cs="仿宋"/>
          <w:snapToGrid w:val="0"/>
          <w:color w:val="000000"/>
          <w:spacing w:val="-5"/>
          <w:sz w:val="32"/>
          <w:szCs w:val="32"/>
          <w:lang w:val="en-US" w:eastAsia="zh-CN" w:bidi="ar-SA"/>
        </w:rPr>
        <w:t>在区委、区政府的正确领导和指导下，</w:t>
      </w:r>
      <w:r>
        <w:rPr>
          <w:rFonts w:hint="eastAsia" w:ascii="仿宋" w:hAnsi="仿宋" w:eastAsia="仿宋" w:cs="仿宋"/>
          <w:color w:val="auto"/>
          <w:sz w:val="32"/>
          <w:szCs w:val="32"/>
          <w:lang w:val="en-US" w:eastAsia="zh-CN"/>
        </w:rPr>
        <w:t>不断</w:t>
      </w:r>
      <w:r>
        <w:rPr>
          <w:rFonts w:hint="eastAsia" w:ascii="仿宋" w:hAnsi="仿宋" w:eastAsia="仿宋" w:cs="仿宋"/>
          <w:color w:val="auto"/>
          <w:sz w:val="32"/>
          <w:szCs w:val="32"/>
        </w:rPr>
        <w:t>开拓进取，较好地完成了</w:t>
      </w:r>
      <w:r>
        <w:rPr>
          <w:rFonts w:hint="eastAsia" w:ascii="仿宋" w:hAnsi="仿宋" w:eastAsia="仿宋" w:cs="仿宋"/>
          <w:color w:val="auto"/>
          <w:sz w:val="32"/>
          <w:szCs w:val="32"/>
          <w:lang w:val="en-US" w:eastAsia="zh-CN"/>
        </w:rPr>
        <w:t>年初</w:t>
      </w:r>
      <w:r>
        <w:rPr>
          <w:rFonts w:hint="eastAsia" w:ascii="仿宋" w:hAnsi="仿宋" w:eastAsia="仿宋" w:cs="仿宋"/>
          <w:color w:val="auto"/>
          <w:sz w:val="32"/>
          <w:szCs w:val="32"/>
        </w:rPr>
        <w:t>确定的目标任务</w:t>
      </w:r>
      <w:r>
        <w:rPr>
          <w:rFonts w:hint="eastAsia" w:ascii="仿宋" w:hAnsi="仿宋" w:eastAsia="仿宋" w:cs="仿宋"/>
          <w:color w:val="auto"/>
          <w:sz w:val="32"/>
          <w:szCs w:val="32"/>
          <w:lang w:eastAsia="zh-CN"/>
        </w:rPr>
        <w:t>，</w:t>
      </w:r>
      <w:r>
        <w:rPr>
          <w:rFonts w:hint="eastAsia" w:ascii="仿宋" w:hAnsi="仿宋" w:eastAsia="仿宋" w:cs="仿宋"/>
          <w:i w:val="0"/>
          <w:iCs w:val="0"/>
          <w:caps w:val="0"/>
          <w:color w:val="auto"/>
          <w:spacing w:val="0"/>
          <w:sz w:val="32"/>
          <w:szCs w:val="32"/>
          <w:shd w:val="clear" w:color="auto" w:fill="FFFFFF"/>
        </w:rPr>
        <w:t>发展氛围越来越浓，生态环境越来越美，百姓</w:t>
      </w:r>
      <w:r>
        <w:rPr>
          <w:rFonts w:hint="eastAsia" w:ascii="仿宋" w:hAnsi="仿宋" w:eastAsia="仿宋" w:cs="仿宋"/>
          <w:i w:val="0"/>
          <w:iCs w:val="0"/>
          <w:caps w:val="0"/>
          <w:color w:val="auto"/>
          <w:spacing w:val="0"/>
          <w:sz w:val="32"/>
          <w:szCs w:val="32"/>
          <w:shd w:val="clear" w:color="auto" w:fill="FFFFFF"/>
          <w:lang w:eastAsia="zh-CN"/>
        </w:rPr>
        <w:t>的</w:t>
      </w:r>
      <w:r>
        <w:rPr>
          <w:rFonts w:hint="eastAsia" w:ascii="仿宋" w:hAnsi="仿宋" w:eastAsia="仿宋" w:cs="仿宋"/>
          <w:i w:val="0"/>
          <w:iCs w:val="0"/>
          <w:caps w:val="0"/>
          <w:color w:val="auto"/>
          <w:spacing w:val="0"/>
          <w:sz w:val="32"/>
          <w:szCs w:val="32"/>
          <w:shd w:val="clear" w:color="auto" w:fill="FFFFFF"/>
        </w:rPr>
        <w:t>“三感”越来越强</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color w:val="auto"/>
          <w:sz w:val="32"/>
          <w:szCs w:val="32"/>
        </w:rPr>
        <w:t>实现</w:t>
      </w:r>
      <w:r>
        <w:rPr>
          <w:rFonts w:hint="eastAsia" w:ascii="仿宋" w:hAnsi="仿宋" w:eastAsia="仿宋" w:cs="仿宋"/>
          <w:color w:val="auto"/>
          <w:sz w:val="32"/>
          <w:szCs w:val="32"/>
          <w:lang w:eastAsia="zh-CN"/>
        </w:rPr>
        <w:t>了</w:t>
      </w:r>
      <w:r>
        <w:rPr>
          <w:rFonts w:hint="eastAsia" w:ascii="仿宋" w:hAnsi="仿宋" w:eastAsia="仿宋" w:cs="仿宋"/>
          <w:color w:val="auto"/>
          <w:sz w:val="32"/>
          <w:szCs w:val="32"/>
        </w:rPr>
        <w:t>“十四五”良好开局。</w:t>
      </w:r>
      <w:r>
        <w:rPr>
          <w:rFonts w:hint="eastAsia" w:ascii="仿宋" w:hAnsi="仿宋" w:eastAsia="仿宋" w:cs="仿宋"/>
          <w:color w:val="auto"/>
          <w:sz w:val="32"/>
          <w:szCs w:val="32"/>
          <w:shd w:val="clear" w:color="auto" w:fill="auto"/>
          <w:lang w:val="en-US" w:eastAsia="zh-CN"/>
        </w:rPr>
        <w:t>固定资产投资完成在库8个项目</w:t>
      </w:r>
      <w:r>
        <w:rPr>
          <w:rFonts w:hint="eastAsia" w:ascii="楷体" w:hAnsi="楷体" w:eastAsia="楷体" w:cs="楷体"/>
          <w:b/>
          <w:bCs/>
          <w:color w:val="auto"/>
          <w:sz w:val="32"/>
          <w:szCs w:val="32"/>
          <w:shd w:val="clear" w:color="auto" w:fill="auto"/>
          <w:lang w:val="en-US" w:eastAsia="zh-CN"/>
        </w:rPr>
        <w:t>，</w:t>
      </w:r>
      <w:r>
        <w:rPr>
          <w:rFonts w:hint="eastAsia" w:ascii="仿宋" w:hAnsi="仿宋" w:eastAsia="仿宋" w:cs="仿宋"/>
          <w:color w:val="auto"/>
          <w:sz w:val="32"/>
          <w:szCs w:val="32"/>
          <w:shd w:val="clear" w:color="auto" w:fill="auto"/>
          <w:lang w:val="en-US" w:eastAsia="zh-CN"/>
        </w:rPr>
        <w:t>推进省级示范街道综治中心创建、省级示范司法所建设、市级民族团结进步示范街道创建，智慧城管闭环处理停车示范点，稳步推进一迎三创持续发力推进老旧小区改造，提高居民生活品质狠抓安全隐患排查，筑牢安全生产防线创建省级示范综治中心，推动矛盾纠纷排查，化解管党治党敢抓敢管，推进整改落实推进城市党建示范建设，推进“清廉单元”建设。</w:t>
      </w:r>
    </w:p>
    <w:p w14:paraId="5131F5CF">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(四)绩效目标设定情况</w:t>
      </w:r>
    </w:p>
    <w:p w14:paraId="2D878957">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20" w:firstLineChars="200"/>
        <w:textAlignment w:val="baseline"/>
        <w:rPr>
          <w:rFonts w:ascii="楷体" w:hAnsi="楷体" w:eastAsia="楷体" w:cs="楷体"/>
          <w:spacing w:val="9"/>
          <w:sz w:val="32"/>
          <w:szCs w:val="32"/>
          <w:lang w:eastAsia="zh-CN"/>
        </w:rPr>
      </w:pPr>
      <w:r>
        <w:rPr>
          <w:rFonts w:hint="eastAsia" w:ascii="仿宋" w:hAnsi="仿宋" w:eastAsia="仿宋" w:cs="仿宋"/>
          <w:snapToGrid w:val="0"/>
          <w:color w:val="000000"/>
          <w:spacing w:val="-5"/>
          <w:sz w:val="32"/>
          <w:szCs w:val="32"/>
          <w:lang w:val="en-US" w:eastAsia="zh-CN" w:bidi="ar-SA"/>
        </w:rPr>
        <w:t>设定绩效目标为合理使用资金，确保红星街道管理处全年重点工作任务完成，履职目标实现，履职效益明显，服务群众满意度良好。</w:t>
      </w:r>
    </w:p>
    <w:p w14:paraId="178E8C64">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47B9EF80">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(一)预算执行、使用、管理总体情况。</w:t>
      </w:r>
    </w:p>
    <w:p w14:paraId="1010EC08">
      <w:pPr>
        <w:widowControl w:val="0"/>
        <w:kinsoku/>
        <w:overflowPunct w:val="0"/>
        <w:spacing w:line="360" w:lineRule="auto"/>
        <w:ind w:firstLine="620" w:firstLineChars="200"/>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部门整体支出1786.04万元，主要使用方向为在职人员工资和福利发放、日常工作经费支出、各级安排的项目支出，涉及范围为红星街道办事处全部辖区。资金使用管理按照严格的资金管理制度进行。</w:t>
      </w:r>
    </w:p>
    <w:p w14:paraId="69F27033">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(二)部门预算执行情况</w:t>
      </w:r>
    </w:p>
    <w:p w14:paraId="3E25B9AF">
      <w:pPr>
        <w:pStyle w:val="2"/>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1.基本支出情况</w:t>
      </w:r>
    </w:p>
    <w:p w14:paraId="0F4B13DD">
      <w:pPr>
        <w:pStyle w:val="2"/>
        <w:widowControl w:val="0"/>
        <w:kinsoku/>
        <w:overflowPunct w:val="0"/>
        <w:spacing w:line="360" w:lineRule="auto"/>
        <w:ind w:firstLine="620" w:firstLineChars="200"/>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2023年部门整体支出中基本支出</w:t>
      </w:r>
      <w:r>
        <w:rPr>
          <w:rFonts w:hint="eastAsia" w:cs="仿宋"/>
          <w:snapToGrid w:val="0"/>
          <w:color w:val="000000"/>
          <w:spacing w:val="-5"/>
          <w:sz w:val="32"/>
          <w:szCs w:val="32"/>
          <w:lang w:val="en-US" w:eastAsia="zh-CN" w:bidi="ar-SA"/>
        </w:rPr>
        <w:t>1358.29</w:t>
      </w:r>
      <w:r>
        <w:rPr>
          <w:rFonts w:hint="eastAsia" w:ascii="仿宋" w:hAnsi="仿宋" w:eastAsia="仿宋" w:cs="仿宋"/>
          <w:snapToGrid w:val="0"/>
          <w:color w:val="000000"/>
          <w:spacing w:val="-5"/>
          <w:sz w:val="32"/>
          <w:szCs w:val="32"/>
          <w:lang w:val="en-US" w:eastAsia="zh-CN" w:bidi="ar-SA"/>
        </w:rPr>
        <w:t>万元，其中一般公共服务支出</w:t>
      </w:r>
      <w:r>
        <w:rPr>
          <w:rFonts w:hint="eastAsia" w:cs="仿宋"/>
          <w:snapToGrid w:val="0"/>
          <w:color w:val="000000"/>
          <w:spacing w:val="-5"/>
          <w:sz w:val="32"/>
          <w:szCs w:val="32"/>
          <w:lang w:val="en-US" w:eastAsia="zh-CN" w:bidi="ar-SA"/>
        </w:rPr>
        <w:t>402.6</w:t>
      </w:r>
      <w:r>
        <w:rPr>
          <w:rFonts w:hint="eastAsia" w:ascii="仿宋" w:hAnsi="仿宋" w:eastAsia="仿宋" w:cs="仿宋"/>
          <w:snapToGrid w:val="0"/>
          <w:color w:val="000000"/>
          <w:spacing w:val="-5"/>
          <w:sz w:val="32"/>
          <w:szCs w:val="32"/>
          <w:lang w:val="en-US" w:eastAsia="zh-CN" w:bidi="ar-SA"/>
        </w:rPr>
        <w:t>万元，</w:t>
      </w:r>
      <w:r>
        <w:rPr>
          <w:rFonts w:hint="eastAsia" w:cs="仿宋"/>
          <w:snapToGrid w:val="0"/>
          <w:color w:val="000000"/>
          <w:spacing w:val="-5"/>
          <w:sz w:val="32"/>
          <w:szCs w:val="32"/>
          <w:lang w:val="en-US" w:eastAsia="zh-CN" w:bidi="ar-SA"/>
        </w:rPr>
        <w:t>科学技术支出0.98万元，</w:t>
      </w:r>
      <w:r>
        <w:rPr>
          <w:rFonts w:hint="eastAsia" w:ascii="仿宋" w:hAnsi="仿宋" w:eastAsia="仿宋" w:cs="仿宋"/>
          <w:snapToGrid w:val="0"/>
          <w:color w:val="000000"/>
          <w:spacing w:val="-5"/>
          <w:sz w:val="32"/>
          <w:szCs w:val="32"/>
          <w:lang w:val="en-US" w:eastAsia="zh-CN" w:bidi="ar-SA"/>
        </w:rPr>
        <w:t>文化旅游体育与传媒支出</w:t>
      </w:r>
      <w:r>
        <w:rPr>
          <w:rFonts w:hint="eastAsia" w:cs="仿宋"/>
          <w:snapToGrid w:val="0"/>
          <w:color w:val="000000"/>
          <w:spacing w:val="-5"/>
          <w:sz w:val="32"/>
          <w:szCs w:val="32"/>
          <w:lang w:val="en-US" w:eastAsia="zh-CN" w:bidi="ar-SA"/>
        </w:rPr>
        <w:t>11.95</w:t>
      </w:r>
      <w:r>
        <w:rPr>
          <w:rFonts w:hint="eastAsia" w:ascii="仿宋" w:hAnsi="仿宋" w:eastAsia="仿宋" w:cs="仿宋"/>
          <w:snapToGrid w:val="0"/>
          <w:color w:val="000000"/>
          <w:spacing w:val="-5"/>
          <w:sz w:val="32"/>
          <w:szCs w:val="32"/>
          <w:lang w:val="en-US" w:eastAsia="zh-CN" w:bidi="ar-SA"/>
        </w:rPr>
        <w:t>万元，社会保障和就业支出</w:t>
      </w:r>
      <w:r>
        <w:rPr>
          <w:rFonts w:hint="eastAsia" w:cs="仿宋"/>
          <w:snapToGrid w:val="0"/>
          <w:color w:val="000000"/>
          <w:spacing w:val="-5"/>
          <w:sz w:val="32"/>
          <w:szCs w:val="32"/>
          <w:lang w:val="en-US" w:eastAsia="zh-CN" w:bidi="ar-SA"/>
        </w:rPr>
        <w:t>451.33</w:t>
      </w:r>
      <w:r>
        <w:rPr>
          <w:rFonts w:hint="eastAsia" w:ascii="仿宋" w:hAnsi="仿宋" w:eastAsia="仿宋" w:cs="仿宋"/>
          <w:snapToGrid w:val="0"/>
          <w:color w:val="000000"/>
          <w:spacing w:val="-5"/>
          <w:sz w:val="32"/>
          <w:szCs w:val="32"/>
          <w:lang w:val="en-US" w:eastAsia="zh-CN" w:bidi="ar-SA"/>
        </w:rPr>
        <w:t>万元，卫生和健康支出</w:t>
      </w:r>
      <w:r>
        <w:rPr>
          <w:rFonts w:hint="eastAsia" w:cs="仿宋"/>
          <w:snapToGrid w:val="0"/>
          <w:color w:val="000000"/>
          <w:spacing w:val="-5"/>
          <w:sz w:val="32"/>
          <w:szCs w:val="32"/>
          <w:lang w:val="en-US" w:eastAsia="zh-CN" w:bidi="ar-SA"/>
        </w:rPr>
        <w:t>66.82</w:t>
      </w:r>
      <w:r>
        <w:rPr>
          <w:rFonts w:hint="eastAsia" w:ascii="仿宋" w:hAnsi="仿宋" w:eastAsia="仿宋" w:cs="仿宋"/>
          <w:snapToGrid w:val="0"/>
          <w:color w:val="000000"/>
          <w:spacing w:val="-5"/>
          <w:sz w:val="32"/>
          <w:szCs w:val="32"/>
          <w:lang w:val="en-US" w:eastAsia="zh-CN" w:bidi="ar-SA"/>
        </w:rPr>
        <w:t>万元，城乡社区支出</w:t>
      </w:r>
      <w:r>
        <w:rPr>
          <w:rFonts w:hint="eastAsia" w:cs="仿宋"/>
          <w:snapToGrid w:val="0"/>
          <w:color w:val="000000"/>
          <w:spacing w:val="-5"/>
          <w:sz w:val="32"/>
          <w:szCs w:val="32"/>
          <w:lang w:val="en-US" w:eastAsia="zh-CN" w:bidi="ar-SA"/>
        </w:rPr>
        <w:t>645.76</w:t>
      </w:r>
      <w:r>
        <w:rPr>
          <w:rFonts w:hint="eastAsia" w:ascii="仿宋" w:hAnsi="仿宋" w:eastAsia="仿宋" w:cs="仿宋"/>
          <w:snapToGrid w:val="0"/>
          <w:color w:val="000000"/>
          <w:spacing w:val="-5"/>
          <w:sz w:val="32"/>
          <w:szCs w:val="32"/>
          <w:lang w:val="en-US" w:eastAsia="zh-CN" w:bidi="ar-SA"/>
        </w:rPr>
        <w:t>万元，</w:t>
      </w:r>
      <w:r>
        <w:rPr>
          <w:rFonts w:hint="eastAsia" w:cs="仿宋"/>
          <w:snapToGrid w:val="0"/>
          <w:color w:val="000000"/>
          <w:spacing w:val="-5"/>
          <w:sz w:val="32"/>
          <w:szCs w:val="32"/>
          <w:lang w:val="en-US" w:eastAsia="zh-CN" w:bidi="ar-SA"/>
        </w:rPr>
        <w:t>住房保障支出5.98万元，</w:t>
      </w:r>
      <w:r>
        <w:rPr>
          <w:rFonts w:hint="eastAsia" w:ascii="仿宋" w:hAnsi="仿宋" w:eastAsia="仿宋" w:cs="仿宋"/>
          <w:snapToGrid w:val="0"/>
          <w:color w:val="000000"/>
          <w:spacing w:val="-5"/>
          <w:sz w:val="32"/>
          <w:szCs w:val="32"/>
          <w:lang w:val="en-US" w:eastAsia="zh-CN" w:bidi="ar-SA"/>
        </w:rPr>
        <w:t>其他支出</w:t>
      </w:r>
      <w:r>
        <w:rPr>
          <w:rFonts w:hint="eastAsia" w:cs="仿宋"/>
          <w:snapToGrid w:val="0"/>
          <w:color w:val="000000"/>
          <w:spacing w:val="-5"/>
          <w:sz w:val="32"/>
          <w:szCs w:val="32"/>
          <w:lang w:val="en-US" w:eastAsia="zh-CN" w:bidi="ar-SA"/>
        </w:rPr>
        <w:t>200.61</w:t>
      </w:r>
      <w:r>
        <w:rPr>
          <w:rFonts w:hint="eastAsia" w:ascii="仿宋" w:hAnsi="仿宋" w:eastAsia="仿宋" w:cs="仿宋"/>
          <w:snapToGrid w:val="0"/>
          <w:color w:val="000000"/>
          <w:spacing w:val="-5"/>
          <w:sz w:val="32"/>
          <w:szCs w:val="32"/>
          <w:lang w:val="en-US" w:eastAsia="zh-CN" w:bidi="ar-SA"/>
        </w:rPr>
        <w:t>万元。</w:t>
      </w:r>
    </w:p>
    <w:p w14:paraId="052DCECA">
      <w:pPr>
        <w:pStyle w:val="2"/>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2.项目支出情况</w:t>
      </w:r>
    </w:p>
    <w:p w14:paraId="706E8CB6">
      <w:pPr>
        <w:pStyle w:val="2"/>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2023年部门整体支出中项目支出</w:t>
      </w:r>
      <w:r>
        <w:rPr>
          <w:rFonts w:hint="eastAsia" w:cs="仿宋"/>
          <w:snapToGrid w:val="0"/>
          <w:color w:val="000000"/>
          <w:spacing w:val="-5"/>
          <w:sz w:val="32"/>
          <w:szCs w:val="32"/>
          <w:lang w:val="en-US" w:eastAsia="zh-CN" w:bidi="ar-SA"/>
        </w:rPr>
        <w:t>427.75</w:t>
      </w:r>
      <w:r>
        <w:rPr>
          <w:rFonts w:hint="eastAsia" w:ascii="仿宋" w:hAnsi="仿宋" w:eastAsia="仿宋" w:cs="仿宋"/>
          <w:snapToGrid w:val="0"/>
          <w:color w:val="000000"/>
          <w:spacing w:val="-5"/>
          <w:sz w:val="32"/>
          <w:szCs w:val="32"/>
          <w:lang w:val="en-US" w:eastAsia="zh-CN" w:bidi="ar-SA"/>
        </w:rPr>
        <w:t>万元，均为其他支出。</w:t>
      </w:r>
    </w:p>
    <w:p w14:paraId="492B0D9E">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(三)"三公"经费使用和管理情况</w:t>
      </w:r>
    </w:p>
    <w:p w14:paraId="7C61264B">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620" w:firstLineChars="200"/>
        <w:textAlignment w:val="baseline"/>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2023年度红星街道办事处未安排“三公”经费预算，无“三公”经费支出。</w:t>
      </w:r>
    </w:p>
    <w:p w14:paraId="766E6FBB">
      <w:pPr>
        <w:widowControl w:val="0"/>
        <w:numPr>
          <w:ilvl w:val="0"/>
          <w:numId w:val="1"/>
        </w:numPr>
        <w:kinsoku/>
        <w:overflowPunct w:val="0"/>
        <w:spacing w:line="360" w:lineRule="auto"/>
        <w:ind w:firstLine="599" w:firstLineChars="200"/>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政府性基金预算支出情况</w:t>
      </w:r>
    </w:p>
    <w:p w14:paraId="1DAFA429">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620" w:firstLineChars="200"/>
        <w:textAlignment w:val="baseline"/>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2023年度红星街道办事处未安排政府性基金预算，无政府性基金预算支出。</w:t>
      </w:r>
    </w:p>
    <w:p w14:paraId="3A2B41DA">
      <w:pPr>
        <w:widowControl w:val="0"/>
        <w:numPr>
          <w:ilvl w:val="0"/>
          <w:numId w:val="1"/>
        </w:numPr>
        <w:kinsoku/>
        <w:overflowPunct w:val="0"/>
        <w:spacing w:line="360" w:lineRule="auto"/>
        <w:ind w:left="0" w:leftChars="0"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14:paraId="349F6356">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napToGrid w:val="0"/>
          <w:color w:val="000000"/>
          <w:spacing w:val="-5"/>
          <w:sz w:val="32"/>
          <w:szCs w:val="32"/>
          <w:lang w:val="en-US" w:eastAsia="zh-CN" w:bidi="ar-SA"/>
        </w:rPr>
      </w:pPr>
      <w:r>
        <w:rPr>
          <w:rFonts w:hint="eastAsia" w:ascii="仿宋" w:hAnsi="Calibri" w:eastAsia="仿宋" w:cs="Times New Roman"/>
          <w:snapToGrid/>
          <w:color w:val="auto"/>
          <w:kern w:val="2"/>
          <w:sz w:val="32"/>
          <w:szCs w:val="32"/>
          <w:lang w:val="en-US" w:eastAsia="zh-CN" w:bidi="ar-SA"/>
        </w:rPr>
        <w:t>2023年度</w:t>
      </w:r>
      <w:r>
        <w:rPr>
          <w:rFonts w:hint="eastAsia" w:ascii="仿宋" w:hAnsi="仿宋" w:eastAsia="仿宋" w:cs="仿宋"/>
          <w:snapToGrid w:val="0"/>
          <w:color w:val="000000"/>
          <w:spacing w:val="-5"/>
          <w:sz w:val="32"/>
          <w:szCs w:val="32"/>
          <w:lang w:val="en-US" w:eastAsia="zh-CN" w:bidi="ar-SA"/>
        </w:rPr>
        <w:t>红星街道办事处</w:t>
      </w:r>
      <w:r>
        <w:rPr>
          <w:rFonts w:hint="eastAsia" w:ascii="仿宋" w:hAnsi="Calibri" w:eastAsia="仿宋" w:cs="Times New Roman"/>
          <w:snapToGrid/>
          <w:color w:val="auto"/>
          <w:kern w:val="2"/>
          <w:sz w:val="32"/>
          <w:szCs w:val="32"/>
          <w:lang w:val="en-US" w:eastAsia="zh-CN" w:bidi="ar-SA"/>
        </w:rPr>
        <w:t>未安排国有资本经营预算，无国有资本经营预算支出。</w:t>
      </w:r>
    </w:p>
    <w:p w14:paraId="0CEE4916">
      <w:pPr>
        <w:widowControl w:val="0"/>
        <w:numPr>
          <w:ilvl w:val="0"/>
          <w:numId w:val="1"/>
        </w:numPr>
        <w:kinsoku/>
        <w:overflowPunct w:val="0"/>
        <w:spacing w:line="360" w:lineRule="auto"/>
        <w:ind w:left="0" w:leftChars="0"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14:paraId="2BA2E0F6">
      <w:pPr>
        <w:widowControl w:val="0"/>
        <w:kinsoku/>
        <w:overflowPunct w:val="0"/>
        <w:spacing w:line="360" w:lineRule="auto"/>
        <w:ind w:firstLine="640" w:firstLineChars="200"/>
        <w:rPr>
          <w:rFonts w:hint="eastAsia" w:ascii="仿宋" w:hAnsi="仿宋" w:eastAsia="仿宋" w:cs="仿宋"/>
          <w:snapToGrid w:val="0"/>
          <w:color w:val="000000"/>
          <w:spacing w:val="-5"/>
          <w:sz w:val="32"/>
          <w:szCs w:val="32"/>
          <w:lang w:val="en-US" w:eastAsia="zh-CN" w:bidi="ar-SA"/>
        </w:rPr>
      </w:pPr>
      <w:r>
        <w:rPr>
          <w:rFonts w:hint="eastAsia" w:ascii="仿宋" w:hAnsi="Calibri" w:eastAsia="仿宋" w:cs="Times New Roman"/>
          <w:snapToGrid/>
          <w:color w:val="auto"/>
          <w:kern w:val="2"/>
          <w:sz w:val="32"/>
          <w:szCs w:val="32"/>
          <w:lang w:val="en-US" w:eastAsia="zh-CN" w:bidi="ar-SA"/>
        </w:rPr>
        <w:t>2023年度</w:t>
      </w:r>
      <w:r>
        <w:rPr>
          <w:rFonts w:hint="eastAsia" w:ascii="仿宋" w:hAnsi="仿宋" w:eastAsia="仿宋" w:cs="仿宋"/>
          <w:snapToGrid w:val="0"/>
          <w:color w:val="000000"/>
          <w:spacing w:val="-5"/>
          <w:sz w:val="32"/>
          <w:szCs w:val="32"/>
          <w:lang w:val="en-US" w:eastAsia="zh-CN" w:bidi="ar-SA"/>
        </w:rPr>
        <w:t>红星街道办事处</w:t>
      </w:r>
      <w:r>
        <w:rPr>
          <w:rFonts w:hint="eastAsia" w:ascii="仿宋" w:hAnsi="Calibri" w:eastAsia="仿宋" w:cs="Times New Roman"/>
          <w:snapToGrid/>
          <w:color w:val="auto"/>
          <w:kern w:val="2"/>
          <w:sz w:val="32"/>
          <w:szCs w:val="32"/>
          <w:lang w:val="en-US" w:eastAsia="zh-CN" w:bidi="ar-SA"/>
        </w:rPr>
        <w:t>未安排社会保险基金预算，无社会保险基金预算支出。</w:t>
      </w:r>
    </w:p>
    <w:p w14:paraId="3DA0D125">
      <w:pPr>
        <w:widowControl w:val="0"/>
        <w:numPr>
          <w:ilvl w:val="0"/>
          <w:numId w:val="1"/>
        </w:numPr>
        <w:kinsoku/>
        <w:overflowPunct w:val="0"/>
        <w:spacing w:line="360" w:lineRule="auto"/>
        <w:ind w:left="0" w:leftChars="0" w:firstLine="603" w:firstLineChars="200"/>
        <w:rPr>
          <w:rFonts w:ascii="黑体" w:hAnsi="黑体" w:eastAsia="黑体" w:cs="黑体"/>
          <w:b/>
          <w:bCs/>
          <w:spacing w:val="-10"/>
          <w:sz w:val="32"/>
          <w:szCs w:val="32"/>
          <w:lang w:eastAsia="zh-CN"/>
        </w:rPr>
      </w:pPr>
      <w:r>
        <w:rPr>
          <w:rFonts w:ascii="黑体" w:hAnsi="黑体" w:eastAsia="黑体" w:cs="黑体"/>
          <w:b/>
          <w:bCs/>
          <w:spacing w:val="-10"/>
          <w:sz w:val="32"/>
          <w:szCs w:val="32"/>
          <w:lang w:eastAsia="zh-CN"/>
        </w:rPr>
        <w:t>部门整体支出绩效情况</w:t>
      </w:r>
    </w:p>
    <w:p w14:paraId="0D2C3320">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(一)</w:t>
      </w:r>
      <w:r>
        <w:rPr>
          <w:rFonts w:hint="eastAsia" w:ascii="仿宋" w:hAnsi="仿宋" w:eastAsia="仿宋" w:cs="仿宋"/>
          <w:snapToGrid w:val="0"/>
          <w:color w:val="000000"/>
          <w:spacing w:val="-5"/>
          <w:sz w:val="32"/>
          <w:szCs w:val="32"/>
          <w:lang w:val="en-US" w:eastAsia="zh-CN" w:bidi="ar-SA"/>
        </w:rPr>
        <w:t>红星街道办事处</w:t>
      </w:r>
      <w:r>
        <w:rPr>
          <w:rFonts w:hint="eastAsia"/>
          <w:spacing w:val="-5"/>
          <w:sz w:val="32"/>
          <w:szCs w:val="32"/>
          <w:lang w:val="en-US" w:eastAsia="zh-CN"/>
        </w:rPr>
        <w:t>2023年部门整体支出绩效情况如下：</w:t>
      </w:r>
    </w:p>
    <w:p w14:paraId="5704E83F">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2023年，</w:t>
      </w:r>
      <w:r>
        <w:rPr>
          <w:rFonts w:hint="eastAsia" w:ascii="仿宋" w:hAnsi="仿宋" w:eastAsia="仿宋" w:cs="仿宋"/>
          <w:snapToGrid w:val="0"/>
          <w:color w:val="000000"/>
          <w:spacing w:val="-5"/>
          <w:sz w:val="32"/>
          <w:szCs w:val="32"/>
          <w:lang w:val="en-US" w:eastAsia="zh-CN" w:bidi="ar-SA"/>
        </w:rPr>
        <w:t>红星街道办事处</w:t>
      </w:r>
      <w:r>
        <w:rPr>
          <w:rFonts w:hint="eastAsia"/>
          <w:spacing w:val="-5"/>
          <w:sz w:val="32"/>
          <w:szCs w:val="32"/>
          <w:lang w:val="en-US" w:eastAsia="zh-CN"/>
        </w:rPr>
        <w:t xml:space="preserve">在区委、区政府的正确领导下，全面落实“三高四新”战略定位和使命任务，奋力在“抢抓历史机遇，奋起二次创业”中走前列、干出精彩，各项工作向上向好，发展质量稳步提高。 </w:t>
      </w:r>
    </w:p>
    <w:p w14:paraId="2DDEBC97">
      <w:pPr>
        <w:pStyle w:val="2"/>
        <w:widowControl w:val="0"/>
        <w:numPr>
          <w:ilvl w:val="0"/>
          <w:numId w:val="2"/>
        </w:numPr>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今年以来工作开展情况。</w:t>
      </w:r>
    </w:p>
    <w:p w14:paraId="69249B82">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both"/>
        <w:textAlignment w:val="auto"/>
        <w:rPr>
          <w:rFonts w:hint="eastAsia" w:ascii="仿宋" w:hAnsi="仿宋" w:eastAsia="仿宋" w:cs="仿宋"/>
          <w:color w:val="auto"/>
          <w:sz w:val="32"/>
          <w:szCs w:val="32"/>
        </w:rPr>
      </w:pPr>
      <w:r>
        <w:rPr>
          <w:rFonts w:hint="eastAsia"/>
          <w:spacing w:val="-5"/>
          <w:sz w:val="32"/>
          <w:szCs w:val="32"/>
          <w:lang w:val="en-US" w:eastAsia="zh-CN"/>
        </w:rPr>
        <w:t xml:space="preserve"> </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3年红星街道在区委区政府的坚强领导下，</w:t>
      </w:r>
      <w:r>
        <w:rPr>
          <w:rFonts w:hint="eastAsia" w:ascii="仿宋" w:hAnsi="仿宋" w:eastAsia="仿宋" w:cs="仿宋"/>
          <w:color w:val="auto"/>
          <w:sz w:val="32"/>
          <w:szCs w:val="32"/>
        </w:rPr>
        <w:t>高举习近平新时代中国特色社会主义思想伟大旗帜，深入贯彻党的</w:t>
      </w:r>
      <w:r>
        <w:rPr>
          <w:rFonts w:hint="eastAsia" w:ascii="仿宋" w:hAnsi="仿宋" w:eastAsia="仿宋" w:cs="仿宋"/>
          <w:color w:val="auto"/>
          <w:sz w:val="32"/>
          <w:szCs w:val="32"/>
          <w:lang w:val="en-US" w:eastAsia="zh-CN"/>
        </w:rPr>
        <w:t>二十</w:t>
      </w:r>
      <w:r>
        <w:rPr>
          <w:rFonts w:hint="eastAsia" w:ascii="仿宋" w:hAnsi="仿宋" w:eastAsia="仿宋" w:cs="仿宋"/>
          <w:color w:val="auto"/>
          <w:sz w:val="32"/>
          <w:szCs w:val="32"/>
        </w:rPr>
        <w:t>大</w:t>
      </w:r>
      <w:r>
        <w:rPr>
          <w:rFonts w:hint="eastAsia" w:ascii="仿宋" w:hAnsi="仿宋" w:eastAsia="仿宋" w:cs="仿宋"/>
          <w:color w:val="auto"/>
          <w:sz w:val="32"/>
          <w:szCs w:val="32"/>
          <w:lang w:val="en-US" w:eastAsia="zh-CN"/>
        </w:rPr>
        <w:t>精神、</w:t>
      </w:r>
      <w:r>
        <w:rPr>
          <w:rFonts w:hint="eastAsia" w:ascii="仿宋" w:hAnsi="仿宋" w:eastAsia="仿宋" w:cs="仿宋"/>
          <w:color w:val="auto"/>
          <w:sz w:val="32"/>
          <w:szCs w:val="32"/>
        </w:rPr>
        <w:t>习近平总书记考察</w:t>
      </w:r>
      <w:r>
        <w:rPr>
          <w:rFonts w:hint="eastAsia" w:ascii="仿宋" w:hAnsi="仿宋" w:eastAsia="仿宋" w:cs="仿宋"/>
          <w:color w:val="auto"/>
          <w:sz w:val="32"/>
          <w:szCs w:val="32"/>
          <w:lang w:val="en-US" w:eastAsia="zh-CN"/>
        </w:rPr>
        <w:t>湖南</w:t>
      </w:r>
      <w:r>
        <w:rPr>
          <w:rFonts w:hint="eastAsia" w:ascii="仿宋" w:hAnsi="仿宋" w:eastAsia="仿宋" w:cs="仿宋"/>
          <w:color w:val="auto"/>
          <w:sz w:val="32"/>
          <w:szCs w:val="32"/>
        </w:rPr>
        <w:t>重要讲话指示精神，</w:t>
      </w:r>
      <w:r>
        <w:rPr>
          <w:rFonts w:hint="eastAsia" w:ascii="仿宋" w:hAnsi="仿宋" w:eastAsia="仿宋" w:cs="仿宋"/>
          <w:color w:val="auto"/>
          <w:sz w:val="32"/>
          <w:szCs w:val="32"/>
          <w:lang w:val="en-US" w:eastAsia="zh-CN"/>
        </w:rPr>
        <w:t>不断</w:t>
      </w:r>
      <w:r>
        <w:rPr>
          <w:rFonts w:hint="eastAsia" w:ascii="仿宋" w:hAnsi="仿宋" w:eastAsia="仿宋" w:cs="仿宋"/>
          <w:color w:val="auto"/>
          <w:sz w:val="32"/>
          <w:szCs w:val="32"/>
        </w:rPr>
        <w:t>开拓进取，较好地完成了</w:t>
      </w:r>
      <w:r>
        <w:rPr>
          <w:rFonts w:hint="eastAsia" w:ascii="仿宋" w:hAnsi="仿宋" w:eastAsia="仿宋" w:cs="仿宋"/>
          <w:color w:val="auto"/>
          <w:sz w:val="32"/>
          <w:szCs w:val="32"/>
          <w:lang w:val="en-US" w:eastAsia="zh-CN"/>
        </w:rPr>
        <w:t>年初</w:t>
      </w:r>
      <w:r>
        <w:rPr>
          <w:rFonts w:hint="eastAsia" w:ascii="仿宋" w:hAnsi="仿宋" w:eastAsia="仿宋" w:cs="仿宋"/>
          <w:color w:val="auto"/>
          <w:sz w:val="32"/>
          <w:szCs w:val="32"/>
        </w:rPr>
        <w:t>确定的目标任务</w:t>
      </w:r>
      <w:r>
        <w:rPr>
          <w:rFonts w:hint="eastAsia" w:ascii="仿宋" w:hAnsi="仿宋" w:eastAsia="仿宋" w:cs="仿宋"/>
          <w:color w:val="auto"/>
          <w:sz w:val="32"/>
          <w:szCs w:val="32"/>
          <w:lang w:eastAsia="zh-CN"/>
        </w:rPr>
        <w:t>，</w:t>
      </w:r>
      <w:r>
        <w:rPr>
          <w:rFonts w:hint="eastAsia" w:ascii="仿宋" w:hAnsi="仿宋" w:eastAsia="仿宋" w:cs="仿宋"/>
          <w:i w:val="0"/>
          <w:iCs w:val="0"/>
          <w:caps w:val="0"/>
          <w:color w:val="auto"/>
          <w:spacing w:val="0"/>
          <w:sz w:val="32"/>
          <w:szCs w:val="32"/>
          <w:shd w:val="clear" w:color="auto" w:fill="FFFFFF"/>
        </w:rPr>
        <w:t>发展氛围越来越浓，生态环境越来越美，百姓</w:t>
      </w:r>
      <w:r>
        <w:rPr>
          <w:rFonts w:hint="eastAsia" w:ascii="仿宋" w:hAnsi="仿宋" w:eastAsia="仿宋" w:cs="仿宋"/>
          <w:i w:val="0"/>
          <w:iCs w:val="0"/>
          <w:caps w:val="0"/>
          <w:color w:val="auto"/>
          <w:spacing w:val="0"/>
          <w:sz w:val="32"/>
          <w:szCs w:val="32"/>
          <w:shd w:val="clear" w:color="auto" w:fill="FFFFFF"/>
          <w:lang w:eastAsia="zh-CN"/>
        </w:rPr>
        <w:t>的</w:t>
      </w:r>
      <w:r>
        <w:rPr>
          <w:rFonts w:hint="eastAsia" w:ascii="仿宋" w:hAnsi="仿宋" w:eastAsia="仿宋" w:cs="仿宋"/>
          <w:i w:val="0"/>
          <w:iCs w:val="0"/>
          <w:caps w:val="0"/>
          <w:color w:val="auto"/>
          <w:spacing w:val="0"/>
          <w:sz w:val="32"/>
          <w:szCs w:val="32"/>
          <w:shd w:val="clear" w:color="auto" w:fill="FFFFFF"/>
        </w:rPr>
        <w:t>“三感”越来越强</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color w:val="auto"/>
          <w:sz w:val="32"/>
          <w:szCs w:val="32"/>
        </w:rPr>
        <w:t>实现</w:t>
      </w:r>
      <w:r>
        <w:rPr>
          <w:rFonts w:hint="eastAsia" w:ascii="仿宋" w:hAnsi="仿宋" w:eastAsia="仿宋" w:cs="仿宋"/>
          <w:color w:val="auto"/>
          <w:sz w:val="32"/>
          <w:szCs w:val="32"/>
          <w:lang w:eastAsia="zh-CN"/>
        </w:rPr>
        <w:t>了</w:t>
      </w:r>
      <w:r>
        <w:rPr>
          <w:rFonts w:hint="eastAsia" w:ascii="仿宋" w:hAnsi="仿宋" w:eastAsia="仿宋" w:cs="仿宋"/>
          <w:color w:val="auto"/>
          <w:sz w:val="32"/>
          <w:szCs w:val="32"/>
        </w:rPr>
        <w:t>“十四五”良好开局。</w:t>
      </w:r>
    </w:p>
    <w:p w14:paraId="178F4D7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一、2023年主要工作开展情况及取得的突出成绩</w:t>
      </w:r>
    </w:p>
    <w:p w14:paraId="0C2D5E96">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color w:val="auto"/>
          <w:sz w:val="32"/>
          <w:szCs w:val="32"/>
          <w:shd w:val="clear" w:color="auto" w:fill="auto"/>
          <w:lang w:val="en-US" w:eastAsia="zh-CN"/>
        </w:rPr>
      </w:pPr>
      <w:r>
        <w:rPr>
          <w:rFonts w:hint="eastAsia" w:ascii="楷体" w:hAnsi="楷体" w:eastAsia="楷体" w:cs="楷体"/>
          <w:b/>
          <w:bCs/>
          <w:color w:val="auto"/>
          <w:sz w:val="32"/>
          <w:szCs w:val="32"/>
          <w:shd w:val="clear" w:color="auto" w:fill="auto"/>
          <w:lang w:val="en-US" w:eastAsia="zh-CN"/>
        </w:rPr>
        <w:t>（一）经济发展优化提速。</w:t>
      </w:r>
      <w:r>
        <w:rPr>
          <w:rFonts w:hint="eastAsia" w:ascii="仿宋" w:hAnsi="仿宋" w:eastAsia="仿宋" w:cs="仿宋"/>
          <w:color w:val="auto"/>
          <w:sz w:val="32"/>
          <w:szCs w:val="32"/>
          <w:shd w:val="clear" w:color="auto" w:fill="auto"/>
          <w:lang w:val="en-US" w:eastAsia="zh-CN"/>
        </w:rPr>
        <w:t>红星街道今年固定资产投资完成在库8个项目（金湘湾、凯悦名门、华盛天下城、鸿涛翡翠湾、天星阁、润兰天星商业广场、大美时光里、一医院省级区域医疗卫生中心内科住院楼建设及诊疗服务能力整体提升项目），累计投资8.7亿元。目前辖区3个重点项目 （包括鸿涛翡翠湾、润兰天星商业广场和大美时光里）完成投资5.3亿元。街道共上报四上企业21家，超额完成2家。湘商回湘投资新注册企业数完成2家，（湖南曼陀丽酒店管理有限公司和怀化市灵曦商业服务有限公司），引进现代服务业品牌企业项目要求完成一家（湖南曼陀丽酒店管理有限公司）。今年初，中远房地产公司引进湖南仁远公司合作对湖天桥桥下市场进行改造，一期于9月2日完成回迁。</w:t>
      </w:r>
    </w:p>
    <w:p w14:paraId="6C6C59C9">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 w:hAnsi="仿宋" w:eastAsia="仿宋" w:cs="仿宋"/>
          <w:color w:val="auto"/>
          <w:sz w:val="32"/>
          <w:szCs w:val="32"/>
          <w:shd w:val="clear" w:color="auto" w:fill="auto"/>
          <w:lang w:val="en-US" w:eastAsia="zh-CN"/>
        </w:rPr>
      </w:pPr>
      <w:r>
        <w:rPr>
          <w:rFonts w:hint="eastAsia" w:ascii="楷体" w:hAnsi="楷体" w:eastAsia="楷体" w:cs="楷体"/>
          <w:b/>
          <w:bCs/>
          <w:color w:val="auto"/>
          <w:sz w:val="32"/>
          <w:szCs w:val="32"/>
          <w:shd w:val="clear" w:color="auto" w:fill="auto"/>
          <w:lang w:val="en-US" w:eastAsia="zh-CN"/>
        </w:rPr>
        <w:t>（二）示范亮点多点开花。</w:t>
      </w:r>
      <w:r>
        <w:rPr>
          <w:rFonts w:hint="eastAsia" w:ascii="仿宋" w:hAnsi="仿宋" w:eastAsia="仿宋" w:cs="仿宋"/>
          <w:color w:val="auto"/>
          <w:sz w:val="32"/>
          <w:szCs w:val="32"/>
          <w:shd w:val="clear" w:color="auto" w:fill="auto"/>
          <w:lang w:val="en-US" w:eastAsia="zh-CN"/>
        </w:rPr>
        <w:t>今年以来顺利推进省级示范街道综治中心创建、省级示范司法所建设、市级民族团结进步示范街道创建，创建2个市级基层党建示范点社区，完成街道人民武装部和退役军人服务站“一部一站”融合式建设，打造杨村社区人社驿站，市人大常委会杨村社区基层立法联系点引起省市人大注意，今年省人大乌兰、陈飞、周农等领导来调研时，对基层立法联系点工作开展情况给予充分肯定。</w:t>
      </w:r>
    </w:p>
    <w:p w14:paraId="2CCD0105">
      <w:pPr>
        <w:keepNext w:val="0"/>
        <w:keepLines w:val="0"/>
        <w:pageBreakBefore w:val="0"/>
        <w:widowControl w:val="0"/>
        <w:kinsoku/>
        <w:wordWrap/>
        <w:overflowPunct/>
        <w:topLinePunct w:val="0"/>
        <w:autoSpaceDE/>
        <w:autoSpaceDN/>
        <w:bidi w:val="0"/>
        <w:snapToGrid/>
        <w:spacing w:line="560" w:lineRule="exact"/>
        <w:ind w:left="0" w:firstLine="643" w:firstLineChars="200"/>
        <w:textAlignment w:val="auto"/>
        <w:rPr>
          <w:rFonts w:hint="eastAsia" w:ascii="仿宋" w:hAnsi="仿宋" w:eastAsia="仿宋" w:cs="仿宋"/>
          <w:color w:val="auto"/>
          <w:sz w:val="32"/>
          <w:szCs w:val="32"/>
          <w:shd w:val="clear" w:color="auto" w:fill="auto"/>
          <w:lang w:val="en-US" w:eastAsia="zh-CN"/>
        </w:rPr>
      </w:pPr>
      <w:r>
        <w:rPr>
          <w:rFonts w:hint="eastAsia" w:ascii="楷体" w:hAnsi="楷体" w:eastAsia="楷体" w:cs="楷体"/>
          <w:b/>
          <w:bCs/>
          <w:color w:val="auto"/>
          <w:sz w:val="32"/>
          <w:szCs w:val="32"/>
          <w:shd w:val="clear" w:color="auto" w:fill="auto"/>
          <w:lang w:val="en-US" w:eastAsia="zh-CN"/>
        </w:rPr>
        <w:t>（三）城市环境更加宜居。一是</w:t>
      </w:r>
      <w:r>
        <w:rPr>
          <w:rFonts w:hint="eastAsia" w:ascii="仿宋" w:hAnsi="仿宋" w:eastAsia="仿宋" w:cs="仿宋"/>
          <w:b/>
          <w:bCs/>
          <w:color w:val="auto"/>
          <w:sz w:val="32"/>
          <w:szCs w:val="32"/>
          <w:shd w:val="clear" w:color="auto" w:fill="auto"/>
          <w:lang w:val="en-US" w:eastAsia="zh-CN"/>
        </w:rPr>
        <w:t>智慧城管闭环处理。</w:t>
      </w:r>
      <w:r>
        <w:rPr>
          <w:rFonts w:hint="eastAsia" w:ascii="仿宋" w:hAnsi="仿宋" w:eastAsia="仿宋" w:cs="仿宋"/>
          <w:color w:val="auto"/>
          <w:sz w:val="32"/>
          <w:szCs w:val="32"/>
          <w:shd w:val="clear" w:color="auto" w:fill="auto"/>
          <w:lang w:val="en-US" w:eastAsia="zh-CN"/>
        </w:rPr>
        <w:t>6月以来红星智慧城管排名前列,今年红星执法大队集中力量劝导占道经营行为260余次，清理牛皮癣182处，清除违规乱拉广告横幅150余条。引导车辆所有人自行清理处置报废和注销登记车辆12台，清理550余辆乱停乱放电单车、共享单车、摩托车等，对2300余辆违停机动车进行抄牌,督促清理垃圾26处。</w:t>
      </w:r>
      <w:r>
        <w:rPr>
          <w:rFonts w:hint="eastAsia" w:ascii="仿宋" w:hAnsi="仿宋" w:eastAsia="仿宋" w:cs="仿宋"/>
          <w:b/>
          <w:bCs/>
          <w:color w:val="auto"/>
          <w:sz w:val="32"/>
          <w:szCs w:val="32"/>
          <w:shd w:val="clear" w:color="auto" w:fill="auto"/>
          <w:lang w:val="en-US" w:eastAsia="zh-CN"/>
        </w:rPr>
        <w:t>二是停车示范点稳步推进。</w:t>
      </w:r>
      <w:r>
        <w:rPr>
          <w:rFonts w:hint="eastAsia" w:ascii="仿宋" w:hAnsi="仿宋" w:eastAsia="仿宋" w:cs="仿宋"/>
          <w:color w:val="auto"/>
          <w:sz w:val="32"/>
          <w:szCs w:val="32"/>
          <w:shd w:val="clear" w:color="auto" w:fill="auto"/>
          <w:lang w:val="en-US" w:eastAsia="zh-CN"/>
        </w:rPr>
        <w:t>红星街道积极响应号召，对辖区内的背街小巷和建筑退让地进行增划停车位，目前背街小巷内增划小车停车位10个，人行道上共增划非机动车停车位1300余个。</w:t>
      </w:r>
      <w:r>
        <w:rPr>
          <w:rFonts w:hint="eastAsia" w:ascii="仿宋" w:hAnsi="仿宋" w:eastAsia="仿宋" w:cs="仿宋"/>
          <w:b/>
          <w:bCs/>
          <w:color w:val="auto"/>
          <w:sz w:val="32"/>
          <w:szCs w:val="32"/>
          <w:shd w:val="clear" w:color="auto" w:fill="auto"/>
          <w:lang w:val="en-US" w:eastAsia="zh-CN"/>
        </w:rPr>
        <w:t>三是一迎三创持续发力。</w:t>
      </w:r>
      <w:r>
        <w:rPr>
          <w:rFonts w:hint="eastAsia" w:ascii="仿宋" w:hAnsi="仿宋" w:eastAsia="仿宋" w:cs="仿宋"/>
          <w:b w:val="0"/>
          <w:bCs w:val="0"/>
          <w:color w:val="auto"/>
          <w:sz w:val="32"/>
          <w:szCs w:val="32"/>
          <w:shd w:val="clear" w:color="auto" w:fill="auto"/>
          <w:lang w:val="en-US" w:eastAsia="zh-CN"/>
        </w:rPr>
        <w:t>红星街道坚持把好的管理变为常态，及时成立工作领导小组</w:t>
      </w:r>
      <w:r>
        <w:rPr>
          <w:rFonts w:hint="eastAsia" w:ascii="仿宋" w:hAnsi="仿宋" w:eastAsia="仿宋" w:cs="仿宋"/>
          <w:color w:val="auto"/>
          <w:sz w:val="32"/>
          <w:szCs w:val="32"/>
          <w:shd w:val="clear" w:color="auto" w:fill="auto"/>
          <w:lang w:val="en-US" w:eastAsia="zh-CN"/>
        </w:rPr>
        <w:t>，参加3次市、区座谈会，为“一迎三创”提供的重启“城管执法”弥补交警执法力量不足、加快建设小车摩托车停车位等建议均被上级采纳；持续推进“十大攻坚”行动，压实责任，建立日常考核机制，发挥小区红色物业、小区党支部、自治委员会作用，在街道办事处、各社区等显眼位置，通过宣传展板、横幅、电子显示屏、为民服务群、上门入户等多种方式加强宣传教育，全方位宣传《怀化市文明行为促进条例》、垃圾分类、文明行为等“一迎三创”内容，营造浓厚宣传氛围，确保“一迎三创”工作人人有责，人人参与。</w:t>
      </w:r>
    </w:p>
    <w:p w14:paraId="067FD570">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color w:val="auto"/>
          <w:sz w:val="32"/>
          <w:szCs w:val="32"/>
          <w:shd w:val="clear" w:color="auto" w:fill="auto"/>
          <w:lang w:val="en-US" w:eastAsia="zh-CN"/>
        </w:rPr>
      </w:pPr>
      <w:r>
        <w:rPr>
          <w:rFonts w:hint="eastAsia" w:ascii="楷体" w:hAnsi="楷体" w:eastAsia="楷体" w:cs="楷体"/>
          <w:b/>
          <w:bCs/>
          <w:color w:val="auto"/>
          <w:sz w:val="32"/>
          <w:szCs w:val="32"/>
          <w:shd w:val="clear" w:color="auto" w:fill="auto"/>
          <w:lang w:val="en-US" w:eastAsia="zh-CN"/>
        </w:rPr>
        <w:t>（四）安全稳定基础向好。</w:t>
      </w:r>
      <w:r>
        <w:rPr>
          <w:rFonts w:hint="eastAsia" w:ascii="仿宋" w:hAnsi="仿宋" w:eastAsia="仿宋" w:cs="仿宋"/>
          <w:b/>
          <w:bCs/>
          <w:color w:val="auto"/>
          <w:sz w:val="32"/>
          <w:szCs w:val="32"/>
          <w:shd w:val="clear" w:color="auto" w:fill="auto"/>
          <w:lang w:val="en-US" w:eastAsia="zh-CN"/>
        </w:rPr>
        <w:t>推进老旧小区改造，提高居民生活品质。</w:t>
      </w:r>
      <w:r>
        <w:rPr>
          <w:rFonts w:hint="eastAsia" w:ascii="仿宋" w:hAnsi="仿宋" w:eastAsia="仿宋" w:cs="仿宋"/>
          <w:color w:val="auto"/>
          <w:sz w:val="32"/>
          <w:szCs w:val="32"/>
          <w:shd w:val="clear" w:color="auto" w:fill="auto"/>
          <w:lang w:val="en-US" w:eastAsia="zh-CN"/>
        </w:rPr>
        <w:t>2023年红星街道老旧小区改造项目涉及8个社区小区14个，截至目前，已完成老旧小区改造3个，未施工项目5个，暂停施工项目4个，施工中项目2个。</w:t>
      </w:r>
      <w:r>
        <w:rPr>
          <w:rFonts w:hint="eastAsia" w:ascii="仿宋" w:hAnsi="仿宋" w:eastAsia="仿宋" w:cs="仿宋"/>
          <w:b/>
          <w:bCs/>
          <w:color w:val="auto"/>
          <w:sz w:val="32"/>
          <w:szCs w:val="32"/>
          <w:shd w:val="clear" w:color="auto" w:fill="auto"/>
          <w:lang w:val="en-US" w:eastAsia="zh-CN"/>
        </w:rPr>
        <w:t>狠抓安全隐患排查，筑牢安全生产防线。</w:t>
      </w:r>
      <w:r>
        <w:rPr>
          <w:rFonts w:hint="eastAsia" w:ascii="仿宋" w:hAnsi="仿宋" w:eastAsia="仿宋" w:cs="仿宋"/>
          <w:color w:val="auto"/>
          <w:sz w:val="32"/>
          <w:szCs w:val="32"/>
          <w:shd w:val="clear" w:color="auto" w:fill="auto"/>
          <w:lang w:val="en-US" w:eastAsia="zh-CN"/>
        </w:rPr>
        <w:t>今年来，街道进一步加强安全生产红线意识和底线思维，加强隐患排查，共下达限期整改通知书71起、整改复查71起；上报重大事故隐患10个，整改销号10个，整改率100%；安全生产简易执法12起，下达行政（当场）处罚决定书（单位）12份、处罚金额共计2200元。</w:t>
      </w:r>
      <w:r>
        <w:rPr>
          <w:rFonts w:hint="eastAsia" w:ascii="仿宋" w:hAnsi="仿宋" w:eastAsia="仿宋" w:cs="仿宋"/>
          <w:b/>
          <w:bCs/>
          <w:color w:val="auto"/>
          <w:sz w:val="32"/>
          <w:szCs w:val="32"/>
          <w:shd w:val="clear" w:color="auto" w:fill="auto"/>
          <w:lang w:val="en-US" w:eastAsia="zh-CN"/>
        </w:rPr>
        <w:t>创建省级示范综治中心，推动矛盾纠纷排查化解。</w:t>
      </w:r>
      <w:r>
        <w:rPr>
          <w:rFonts w:hint="eastAsia" w:ascii="仿宋" w:hAnsi="仿宋" w:eastAsia="仿宋" w:cs="仿宋"/>
          <w:color w:val="auto"/>
          <w:sz w:val="32"/>
          <w:szCs w:val="32"/>
          <w:shd w:val="clear" w:color="auto" w:fill="auto"/>
          <w:lang w:val="en-US" w:eastAsia="zh-CN"/>
        </w:rPr>
        <w:t>通过开展警源、访源、诉源“三源共治”试点工作，组建13支“街道+社区+公安+区直机关”夜间治安巡逻队，坚持早发现早排除早化解矛盾纠纷。今年湖天派出所共接报警1623起，与去年同比下降413起，下降16%，司法所共调解成功各类矛盾纠纷13起，化解率达100%。</w:t>
      </w:r>
      <w:r>
        <w:rPr>
          <w:rFonts w:hint="eastAsia" w:ascii="仿宋" w:hAnsi="仿宋" w:eastAsia="仿宋" w:cs="仿宋"/>
          <w:b/>
          <w:bCs/>
          <w:color w:val="auto"/>
          <w:sz w:val="32"/>
          <w:szCs w:val="32"/>
          <w:shd w:val="clear" w:color="auto" w:fill="auto"/>
          <w:lang w:val="en-US" w:eastAsia="zh-CN"/>
        </w:rPr>
        <w:t>领导干部下基层接访，解决群众关切问题。</w:t>
      </w:r>
      <w:r>
        <w:rPr>
          <w:rFonts w:hint="eastAsia" w:ascii="仿宋" w:hAnsi="仿宋" w:eastAsia="仿宋" w:cs="仿宋"/>
          <w:color w:val="auto"/>
          <w:sz w:val="32"/>
          <w:szCs w:val="32"/>
          <w:shd w:val="clear" w:color="auto" w:fill="auto"/>
          <w:lang w:val="en-US" w:eastAsia="zh-CN"/>
        </w:rPr>
        <w:t>今年在继续坚持做好街道干部定期接访工作的基础上，重点开展带案下访和重点约访工作。主要采取重点约访、带案下访、社区挂点领导包案等方式，及时解决辖区居民的各种投诉和矛盾纠纷。全年网上接访101件，办理101件，满意度98.5%，线下接访37件，化解率96%。</w:t>
      </w:r>
    </w:p>
    <w:p w14:paraId="389E7BDA">
      <w:pPr>
        <w:keepNext w:val="0"/>
        <w:keepLines w:val="0"/>
        <w:pageBreakBefore w:val="0"/>
        <w:widowControl w:val="0"/>
        <w:kinsoku/>
        <w:wordWrap/>
        <w:overflowPunct/>
        <w:topLinePunct w:val="0"/>
        <w:autoSpaceDE/>
        <w:autoSpaceDN/>
        <w:bidi w:val="0"/>
        <w:snapToGrid/>
        <w:spacing w:line="560" w:lineRule="exact"/>
        <w:ind w:left="0" w:firstLine="643" w:firstLineChars="200"/>
        <w:textAlignment w:val="auto"/>
        <w:rPr>
          <w:rFonts w:hint="default" w:ascii="仿宋" w:hAnsi="仿宋" w:eastAsia="仿宋" w:cs="仿宋"/>
          <w:b w:val="0"/>
          <w:bCs/>
          <w:color w:val="auto"/>
          <w:sz w:val="32"/>
          <w:szCs w:val="32"/>
          <w:shd w:val="clear" w:color="auto" w:fill="auto"/>
          <w:lang w:val="en-US" w:eastAsia="zh-CN"/>
        </w:rPr>
      </w:pPr>
      <w:r>
        <w:rPr>
          <w:rFonts w:hint="eastAsia" w:ascii="楷体" w:hAnsi="楷体" w:eastAsia="楷体" w:cs="楷体"/>
          <w:b/>
          <w:bCs/>
          <w:color w:val="auto"/>
          <w:sz w:val="32"/>
          <w:szCs w:val="32"/>
          <w:shd w:val="clear" w:color="auto" w:fill="auto"/>
          <w:lang w:val="en-US" w:eastAsia="zh-CN"/>
        </w:rPr>
        <w:t>（五）管党治党敢抓敢管。</w:t>
      </w:r>
      <w:r>
        <w:rPr>
          <w:rFonts w:hint="eastAsia" w:ascii="仿宋" w:hAnsi="仿宋" w:eastAsia="仿宋" w:cs="仿宋"/>
          <w:b/>
          <w:bCs/>
          <w:color w:val="auto"/>
          <w:sz w:val="32"/>
          <w:szCs w:val="32"/>
          <w:shd w:val="clear" w:color="auto" w:fill="auto"/>
          <w:lang w:val="en-US" w:eastAsia="zh-CN"/>
        </w:rPr>
        <w:t>推进整改落实。</w:t>
      </w:r>
      <w:r>
        <w:rPr>
          <w:rFonts w:hint="eastAsia" w:ascii="仿宋" w:hAnsi="仿宋" w:eastAsia="仿宋" w:cs="仿宋"/>
          <w:b w:val="0"/>
          <w:bCs/>
          <w:color w:val="auto"/>
          <w:sz w:val="32"/>
          <w:szCs w:val="32"/>
          <w:shd w:val="clear" w:color="auto" w:fill="auto"/>
          <w:lang w:val="en-US" w:eastAsia="zh-CN"/>
        </w:rPr>
        <w:t>实施“街道社区联改”，巡察前，对照“未巡先改”共性问题清单，针对查出的4个问题，及时研究制定整改方案，细化责任分工，做好未巡先改；巡察后，通过台账管理、定期抽查、整改督查等方式强化对被巡察8个社区的全过程跟踪督导，紧紧将巡察整改成果融入到各项日常工作中。</w:t>
      </w:r>
      <w:r>
        <w:rPr>
          <w:rFonts w:hint="eastAsia" w:ascii="仿宋" w:hAnsi="仿宋" w:eastAsia="仿宋" w:cs="仿宋"/>
          <w:b/>
          <w:bCs w:val="0"/>
          <w:color w:val="auto"/>
          <w:sz w:val="32"/>
          <w:szCs w:val="32"/>
          <w:shd w:val="clear" w:color="auto" w:fill="auto"/>
          <w:lang w:val="en-US" w:eastAsia="zh-CN"/>
        </w:rPr>
        <w:t>推进城市党建示范建设。</w:t>
      </w:r>
      <w:r>
        <w:rPr>
          <w:rFonts w:hint="eastAsia" w:ascii="仿宋" w:hAnsi="仿宋" w:eastAsia="仿宋" w:cs="仿宋"/>
          <w:b w:val="0"/>
          <w:bCs/>
          <w:color w:val="auto"/>
          <w:sz w:val="32"/>
          <w:szCs w:val="32"/>
          <w:shd w:val="clear" w:color="auto" w:fill="auto"/>
          <w:lang w:val="en-US" w:eastAsia="zh-CN"/>
        </w:rPr>
        <w:t>组织参加市、区社区书记培训2次。发展入党积极分子6人，发展对象2人，吸收为预备党员2人，党员转正9人。组织居民代表解决各类问题627件（其中，矛盾纠纷224件、群众诉求258件、安全隐患54件、其他问题91件），提供微服务132次。全面落实意识形态主体责任，召开意识形态工作专题分析研判会议2次，中心组学习会议9次，确保辖区内没有出现错误思潮在敏感时间节点沉渣泛起的问题。</w:t>
      </w:r>
      <w:r>
        <w:rPr>
          <w:rFonts w:hint="eastAsia" w:ascii="仿宋" w:hAnsi="仿宋" w:eastAsia="仿宋" w:cs="仿宋"/>
          <w:b/>
          <w:bCs w:val="0"/>
          <w:color w:val="auto"/>
          <w:sz w:val="32"/>
          <w:szCs w:val="32"/>
          <w:shd w:val="clear" w:color="auto" w:fill="auto"/>
          <w:lang w:val="en-US" w:eastAsia="zh-CN"/>
        </w:rPr>
        <w:t>推进“清廉单元”建设。</w:t>
      </w:r>
      <w:r>
        <w:rPr>
          <w:rFonts w:hint="eastAsia" w:ascii="仿宋" w:hAnsi="仿宋" w:eastAsia="仿宋" w:cs="仿宋"/>
          <w:b w:val="0"/>
          <w:bCs/>
          <w:color w:val="auto"/>
          <w:sz w:val="32"/>
          <w:szCs w:val="32"/>
          <w:shd w:val="clear" w:color="auto" w:fill="auto"/>
          <w:lang w:val="en-US" w:eastAsia="zh-CN"/>
        </w:rPr>
        <w:t>不断优化党风、政风、家风，由街道纪工委牵头联合幸福湾社区，组织辖区内企事业单位及各小区开展第二届“清廉杯”小区篮球赛，通过图文报道的形式实时更新赛事情况，进一步加强街道、社区、辖区单位和广大群众之间的沟通交流，赛出风格、赛出水平、赛出友谊。今年来共计开展“清廉篮球杯”、“廉洁剪纸”等清廉文化活动10余次，成功完成街道市级清廉单元创建，完成宏宇、幸福湾、锦溪、红星桥社区等区级清廉社区申报。</w:t>
      </w:r>
    </w:p>
    <w:p w14:paraId="13FDCCE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黑体" w:hAnsi="黑体" w:eastAsia="黑体" w:cs="黑体"/>
          <w:b/>
          <w:bCs/>
          <w:color w:val="auto"/>
          <w:kern w:val="2"/>
          <w:sz w:val="32"/>
          <w:szCs w:val="32"/>
          <w:lang w:val="en-US" w:eastAsia="zh-CN" w:bidi="ar-SA"/>
        </w:rPr>
      </w:pPr>
      <w:r>
        <w:rPr>
          <w:rFonts w:hint="eastAsia" w:ascii="黑体" w:hAnsi="黑体" w:eastAsia="黑体" w:cs="黑体"/>
          <w:b/>
          <w:bCs/>
          <w:color w:val="auto"/>
          <w:kern w:val="2"/>
          <w:sz w:val="32"/>
          <w:szCs w:val="32"/>
          <w:lang w:val="en-US" w:eastAsia="zh-CN" w:bidi="ar-SA"/>
        </w:rPr>
        <w:t>二、2023年《政府工作报告》（区六届人大二次会议通过）分解的目标任务完成情况</w:t>
      </w:r>
    </w:p>
    <w:p w14:paraId="3934977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红星街道已对照2023年《政府工作报告》，对分解的目标任务明确时间节点一一落实，现已全面完成分解的目标任务。</w:t>
      </w:r>
    </w:p>
    <w:p w14:paraId="62C21AC3">
      <w:pPr>
        <w:widowControl/>
        <w:numPr>
          <w:ilvl w:val="0"/>
          <w:numId w:val="0"/>
        </w:numPr>
        <w:spacing w:line="240" w:lineRule="auto"/>
        <w:ind w:leftChars="0" w:firstLine="643" w:firstLineChars="200"/>
        <w:jc w:val="left"/>
        <w:rPr>
          <w:rFonts w:hint="eastAsia" w:ascii="仿宋" w:hAnsi="仿宋" w:eastAsia="仿宋" w:cs="宋体"/>
          <w:b w:val="0"/>
          <w:bCs/>
          <w:color w:val="auto"/>
          <w:sz w:val="32"/>
          <w:szCs w:val="32"/>
          <w:lang w:val="en-US" w:eastAsia="zh-CN"/>
        </w:rPr>
      </w:pPr>
      <w:r>
        <w:rPr>
          <w:rFonts w:hint="eastAsia" w:ascii="楷体" w:hAnsi="楷体" w:eastAsia="楷体" w:cs="楷体"/>
          <w:b/>
          <w:bCs/>
          <w:color w:val="auto"/>
          <w:kern w:val="0"/>
          <w:sz w:val="32"/>
          <w:szCs w:val="32"/>
          <w:lang w:eastAsia="zh-CN"/>
        </w:rPr>
        <w:t>（</w:t>
      </w:r>
      <w:r>
        <w:rPr>
          <w:rFonts w:hint="eastAsia" w:ascii="楷体" w:hAnsi="楷体" w:eastAsia="楷体" w:cs="楷体"/>
          <w:b/>
          <w:bCs/>
          <w:color w:val="auto"/>
          <w:kern w:val="0"/>
          <w:sz w:val="32"/>
          <w:szCs w:val="32"/>
          <w:lang w:val="en-US" w:eastAsia="zh-CN"/>
        </w:rPr>
        <w:t>一</w:t>
      </w:r>
      <w:r>
        <w:rPr>
          <w:rFonts w:hint="eastAsia" w:ascii="楷体" w:hAnsi="楷体" w:eastAsia="楷体" w:cs="楷体"/>
          <w:b/>
          <w:bCs/>
          <w:color w:val="auto"/>
          <w:kern w:val="0"/>
          <w:sz w:val="32"/>
          <w:szCs w:val="32"/>
          <w:lang w:eastAsia="zh-CN"/>
        </w:rPr>
        <w:t>）</w:t>
      </w:r>
      <w:r>
        <w:rPr>
          <w:rFonts w:hint="eastAsia" w:ascii="楷体" w:hAnsi="楷体" w:eastAsia="楷体" w:cs="楷体"/>
          <w:b/>
          <w:bCs/>
          <w:color w:val="auto"/>
          <w:kern w:val="0"/>
          <w:sz w:val="32"/>
          <w:szCs w:val="32"/>
          <w:lang w:val="en-US" w:eastAsia="zh-CN"/>
        </w:rPr>
        <w:t>优化社会保障服务，不断增进民生福祉</w:t>
      </w:r>
      <w:r>
        <w:rPr>
          <w:rFonts w:hint="eastAsia" w:ascii="楷体" w:hAnsi="楷体" w:eastAsia="楷体" w:cs="楷体"/>
          <w:b/>
          <w:bCs/>
          <w:color w:val="auto"/>
          <w:kern w:val="0"/>
          <w:sz w:val="32"/>
          <w:szCs w:val="32"/>
          <w:lang w:eastAsia="zh-CN"/>
        </w:rPr>
        <w:t>。</w:t>
      </w:r>
      <w:r>
        <w:rPr>
          <w:rFonts w:hint="eastAsia" w:ascii="宋体" w:hAnsi="宋体" w:eastAsia="仿宋" w:cs="宋体"/>
          <w:color w:val="auto"/>
          <w:kern w:val="0"/>
          <w:sz w:val="32"/>
          <w:szCs w:val="32"/>
          <w:lang w:eastAsia="zh-CN"/>
        </w:rPr>
        <w:t>截止目前，</w:t>
      </w:r>
      <w:r>
        <w:rPr>
          <w:rFonts w:hint="eastAsia" w:ascii="宋体" w:hAnsi="宋体" w:eastAsia="仿宋" w:cs="宋体"/>
          <w:color w:val="auto"/>
          <w:kern w:val="0"/>
          <w:sz w:val="32"/>
          <w:szCs w:val="32"/>
        </w:rPr>
        <w:t>我街道共完成城镇新增就业</w:t>
      </w:r>
      <w:r>
        <w:rPr>
          <w:rFonts w:hint="eastAsia" w:ascii="宋体" w:hAnsi="宋体" w:eastAsia="仿宋" w:cs="宋体"/>
          <w:color w:val="auto"/>
          <w:kern w:val="0"/>
          <w:sz w:val="32"/>
          <w:szCs w:val="32"/>
          <w:lang w:val="en-US" w:eastAsia="zh-CN"/>
        </w:rPr>
        <w:t>809</w:t>
      </w:r>
      <w:r>
        <w:rPr>
          <w:rFonts w:hint="eastAsia" w:ascii="宋体" w:hAnsi="宋体" w:eastAsia="仿宋" w:cs="宋体"/>
          <w:color w:val="auto"/>
          <w:kern w:val="0"/>
          <w:sz w:val="32"/>
          <w:szCs w:val="32"/>
        </w:rPr>
        <w:t>人，其中</w:t>
      </w:r>
      <w:r>
        <w:rPr>
          <w:rFonts w:hint="eastAsia" w:ascii="宋体" w:hAnsi="宋体" w:eastAsia="仿宋" w:cs="宋体"/>
          <w:color w:val="auto"/>
          <w:kern w:val="0"/>
          <w:sz w:val="32"/>
          <w:szCs w:val="32"/>
          <w:lang w:eastAsia="zh-CN"/>
        </w:rPr>
        <w:t>失业再</w:t>
      </w:r>
      <w:r>
        <w:rPr>
          <w:rFonts w:hint="eastAsia" w:ascii="宋体" w:hAnsi="宋体" w:eastAsia="仿宋" w:cs="宋体"/>
          <w:color w:val="auto"/>
          <w:kern w:val="0"/>
          <w:sz w:val="32"/>
          <w:szCs w:val="32"/>
        </w:rPr>
        <w:t>失业</w:t>
      </w:r>
      <w:r>
        <w:rPr>
          <w:rFonts w:hint="eastAsia" w:ascii="宋体" w:hAnsi="宋体" w:eastAsia="仿宋" w:cs="宋体"/>
          <w:color w:val="auto"/>
          <w:kern w:val="0"/>
          <w:sz w:val="32"/>
          <w:szCs w:val="32"/>
          <w:lang w:val="en-US" w:eastAsia="zh-CN"/>
        </w:rPr>
        <w:t>544</w:t>
      </w:r>
      <w:r>
        <w:rPr>
          <w:rFonts w:hint="eastAsia" w:ascii="宋体" w:hAnsi="宋体" w:eastAsia="仿宋" w:cs="宋体"/>
          <w:color w:val="auto"/>
          <w:kern w:val="0"/>
          <w:sz w:val="32"/>
          <w:szCs w:val="32"/>
        </w:rPr>
        <w:t>人，就业困难人员再就业</w:t>
      </w:r>
      <w:r>
        <w:rPr>
          <w:rFonts w:hint="eastAsia" w:ascii="宋体" w:hAnsi="宋体" w:eastAsia="仿宋" w:cs="宋体"/>
          <w:color w:val="auto"/>
          <w:kern w:val="0"/>
          <w:sz w:val="32"/>
          <w:szCs w:val="32"/>
          <w:lang w:val="en-US" w:eastAsia="zh-CN"/>
        </w:rPr>
        <w:t>266</w:t>
      </w:r>
      <w:r>
        <w:rPr>
          <w:rFonts w:hint="eastAsia" w:ascii="宋体" w:hAnsi="宋体" w:eastAsia="仿宋" w:cs="宋体"/>
          <w:color w:val="auto"/>
          <w:kern w:val="0"/>
          <w:sz w:val="32"/>
          <w:szCs w:val="32"/>
        </w:rPr>
        <w:t>人。</w:t>
      </w:r>
      <w:r>
        <w:rPr>
          <w:rFonts w:hint="eastAsia" w:ascii="仿宋" w:hAnsi="仿宋" w:eastAsia="仿宋" w:cs="仿宋"/>
          <w:color w:val="auto"/>
          <w:sz w:val="32"/>
          <w:szCs w:val="32"/>
          <w:lang w:val="en-US" w:eastAsia="zh-CN"/>
        </w:rPr>
        <w:t>2023年帮助10名零就业家庭再就业，</w:t>
      </w:r>
      <w:r>
        <w:rPr>
          <w:rFonts w:hint="eastAsia" w:ascii="仿宋" w:hAnsi="仿宋" w:eastAsia="仿宋" w:cs="仿宋"/>
          <w:color w:val="auto"/>
          <w:sz w:val="32"/>
          <w:szCs w:val="32"/>
          <w:lang w:eastAsia="zh-CN"/>
        </w:rPr>
        <w:t>实现“零就业家庭”保持动态归零。</w:t>
      </w:r>
      <w:r>
        <w:rPr>
          <w:rFonts w:hint="eastAsia" w:ascii="宋体" w:hAnsi="宋体" w:eastAsia="仿宋" w:cs="宋体"/>
          <w:color w:val="auto"/>
          <w:kern w:val="0"/>
          <w:sz w:val="32"/>
          <w:szCs w:val="32"/>
          <w:lang w:eastAsia="zh-CN"/>
        </w:rPr>
        <w:t>参加市区级大型现场招聘会</w:t>
      </w:r>
      <w:r>
        <w:rPr>
          <w:rFonts w:hint="eastAsia" w:ascii="宋体" w:hAnsi="宋体" w:eastAsia="仿宋" w:cs="宋体"/>
          <w:color w:val="auto"/>
          <w:kern w:val="0"/>
          <w:sz w:val="32"/>
          <w:szCs w:val="32"/>
          <w:lang w:val="en-US" w:eastAsia="zh-CN"/>
        </w:rPr>
        <w:t>5次，参加人数达1000余人，</w:t>
      </w:r>
      <w:r>
        <w:rPr>
          <w:rFonts w:hint="eastAsia" w:ascii="宋体" w:hAnsi="宋体" w:eastAsia="仿宋" w:cs="宋体"/>
          <w:color w:val="auto"/>
          <w:kern w:val="0"/>
          <w:sz w:val="32"/>
          <w:szCs w:val="32"/>
        </w:rPr>
        <w:t>为辖区居民办理《就业失业登记证》</w:t>
      </w:r>
      <w:r>
        <w:rPr>
          <w:rFonts w:hint="eastAsia" w:ascii="宋体" w:hAnsi="宋体" w:eastAsia="仿宋" w:cs="宋体"/>
          <w:color w:val="auto"/>
          <w:kern w:val="0"/>
          <w:sz w:val="32"/>
          <w:szCs w:val="32"/>
          <w:lang w:val="en-US" w:eastAsia="zh-CN"/>
        </w:rPr>
        <w:t>175</w:t>
      </w:r>
      <w:r>
        <w:rPr>
          <w:rFonts w:hint="eastAsia" w:ascii="宋体" w:hAnsi="宋体" w:eastAsia="仿宋" w:cs="宋体"/>
          <w:color w:val="auto"/>
          <w:kern w:val="0"/>
          <w:sz w:val="32"/>
          <w:szCs w:val="32"/>
        </w:rPr>
        <w:t>人，其中申请困难认定</w:t>
      </w:r>
      <w:r>
        <w:rPr>
          <w:rFonts w:hint="eastAsia" w:ascii="宋体" w:hAnsi="宋体" w:eastAsia="仿宋" w:cs="宋体"/>
          <w:color w:val="auto"/>
          <w:kern w:val="0"/>
          <w:sz w:val="32"/>
          <w:szCs w:val="32"/>
          <w:lang w:val="en-US" w:eastAsia="zh-CN"/>
        </w:rPr>
        <w:t>79</w:t>
      </w:r>
      <w:r>
        <w:rPr>
          <w:rFonts w:hint="eastAsia" w:ascii="宋体" w:hAnsi="宋体" w:eastAsia="仿宋" w:cs="宋体"/>
          <w:color w:val="auto"/>
          <w:kern w:val="0"/>
          <w:sz w:val="32"/>
          <w:szCs w:val="32"/>
        </w:rPr>
        <w:t>人，为就业困难灵活就业人员办理养老保险补贴</w:t>
      </w:r>
      <w:r>
        <w:rPr>
          <w:rFonts w:hint="eastAsia" w:ascii="宋体" w:hAnsi="宋体" w:eastAsia="仿宋" w:cs="宋体"/>
          <w:color w:val="auto"/>
          <w:kern w:val="0"/>
          <w:sz w:val="32"/>
          <w:szCs w:val="32"/>
          <w:lang w:val="en-US" w:eastAsia="zh-CN"/>
        </w:rPr>
        <w:t>105</w:t>
      </w:r>
      <w:r>
        <w:rPr>
          <w:rFonts w:hint="eastAsia" w:ascii="宋体" w:hAnsi="宋体" w:eastAsia="仿宋" w:cs="宋体"/>
          <w:color w:val="auto"/>
          <w:kern w:val="0"/>
          <w:sz w:val="32"/>
          <w:szCs w:val="32"/>
        </w:rPr>
        <w:t>人</w:t>
      </w:r>
      <w:r>
        <w:rPr>
          <w:rFonts w:hint="eastAsia" w:ascii="宋体" w:hAnsi="宋体" w:eastAsia="仿宋" w:cs="宋体"/>
          <w:color w:val="auto"/>
          <w:kern w:val="0"/>
          <w:sz w:val="32"/>
          <w:szCs w:val="32"/>
          <w:lang w:eastAsia="zh-CN"/>
        </w:rPr>
        <w:t>。目前，红星</w:t>
      </w:r>
      <w:r>
        <w:rPr>
          <w:rFonts w:hint="eastAsia" w:ascii="宋体" w:hAnsi="宋体" w:eastAsia="仿宋" w:cs="宋体"/>
          <w:color w:val="auto"/>
          <w:kern w:val="0"/>
          <w:sz w:val="32"/>
          <w:szCs w:val="32"/>
          <w:lang w:val="en-US" w:eastAsia="zh-CN"/>
        </w:rPr>
        <w:t>街道</w:t>
      </w:r>
      <w:r>
        <w:rPr>
          <w:rFonts w:hint="eastAsia" w:ascii="宋体" w:hAnsi="宋体" w:eastAsia="仿宋" w:cs="宋体"/>
          <w:color w:val="auto"/>
          <w:kern w:val="0"/>
          <w:sz w:val="32"/>
          <w:szCs w:val="32"/>
          <w:lang w:eastAsia="zh-CN"/>
        </w:rPr>
        <w:t>参与居民养老保险</w:t>
      </w:r>
      <w:r>
        <w:rPr>
          <w:rFonts w:hint="eastAsia" w:ascii="宋体" w:hAnsi="宋体" w:eastAsia="仿宋" w:cs="宋体"/>
          <w:color w:val="auto"/>
          <w:kern w:val="0"/>
          <w:sz w:val="32"/>
          <w:szCs w:val="32"/>
          <w:lang w:val="en-US" w:eastAsia="zh-CN"/>
        </w:rPr>
        <w:t>1743人，待遇人员526人，其中今年新增办理40人。</w:t>
      </w:r>
      <w:r>
        <w:rPr>
          <w:rFonts w:hint="eastAsia" w:ascii="仿宋" w:hAnsi="仿宋" w:eastAsia="仿宋" w:cs="宋体"/>
          <w:color w:val="auto"/>
          <w:sz w:val="32"/>
          <w:szCs w:val="32"/>
        </w:rPr>
        <w:t>红星街道</w:t>
      </w:r>
      <w:r>
        <w:rPr>
          <w:rFonts w:hint="eastAsia" w:ascii="仿宋" w:hAnsi="仿宋" w:eastAsia="仿宋" w:cs="宋体"/>
          <w:color w:val="auto"/>
          <w:sz w:val="32"/>
          <w:szCs w:val="32"/>
          <w:lang w:val="en-US" w:eastAsia="zh-CN"/>
        </w:rPr>
        <w:t>成立</w:t>
      </w:r>
      <w:r>
        <w:rPr>
          <w:rFonts w:hint="eastAsia" w:ascii="仿宋" w:hAnsi="仿宋" w:eastAsia="仿宋" w:cs="宋体"/>
          <w:color w:val="auto"/>
          <w:sz w:val="32"/>
          <w:szCs w:val="32"/>
        </w:rPr>
        <w:t>劳动人事争议调解中心，下设1</w:t>
      </w:r>
      <w:r>
        <w:rPr>
          <w:rFonts w:hint="eastAsia" w:ascii="仿宋" w:hAnsi="仿宋" w:eastAsia="仿宋" w:cs="宋体"/>
          <w:color w:val="auto"/>
          <w:sz w:val="32"/>
          <w:szCs w:val="32"/>
          <w:lang w:val="en-US" w:eastAsia="zh-CN"/>
        </w:rPr>
        <w:t>3</w:t>
      </w:r>
      <w:r>
        <w:rPr>
          <w:rFonts w:hint="eastAsia" w:ascii="仿宋" w:hAnsi="仿宋" w:eastAsia="仿宋" w:cs="宋体"/>
          <w:color w:val="auto"/>
          <w:sz w:val="32"/>
          <w:szCs w:val="32"/>
        </w:rPr>
        <w:t>个社区调解中心，</w:t>
      </w:r>
      <w:r>
        <w:rPr>
          <w:rFonts w:hint="eastAsia" w:ascii="仿宋" w:hAnsi="仿宋" w:eastAsia="仿宋" w:cs="宋体"/>
          <w:color w:val="auto"/>
          <w:sz w:val="32"/>
          <w:szCs w:val="32"/>
          <w:lang w:val="en-US" w:eastAsia="zh-CN"/>
        </w:rPr>
        <w:t>2023年共调处线上线下劳务纠纷32起，在街道社区调解成功20起，另12起提交到劳动仲裁部门调处。</w:t>
      </w:r>
    </w:p>
    <w:p w14:paraId="791BCBA7">
      <w:pPr>
        <w:ind w:firstLine="643" w:firstLineChars="200"/>
        <w:rPr>
          <w:rFonts w:hint="eastAsia" w:ascii="仿宋" w:hAnsi="仿宋" w:eastAsia="仿宋" w:cs="仿宋"/>
          <w:color w:val="auto"/>
          <w:sz w:val="32"/>
          <w:szCs w:val="32"/>
          <w:lang w:val="en-US" w:eastAsia="zh-CN"/>
        </w:rPr>
      </w:pPr>
      <w:r>
        <w:rPr>
          <w:rFonts w:hint="eastAsia" w:ascii="楷体" w:hAnsi="楷体" w:eastAsia="楷体" w:cs="楷体"/>
          <w:b/>
          <w:bCs/>
          <w:i w:val="0"/>
          <w:iCs w:val="0"/>
          <w:caps w:val="0"/>
          <w:color w:val="auto"/>
          <w:spacing w:val="0"/>
          <w:sz w:val="32"/>
          <w:szCs w:val="32"/>
          <w:shd w:val="clear" w:fill="FFFFFF"/>
          <w:lang w:eastAsia="zh-CN"/>
        </w:rPr>
        <w:t>（</w:t>
      </w:r>
      <w:r>
        <w:rPr>
          <w:rFonts w:hint="eastAsia" w:ascii="楷体" w:hAnsi="楷体" w:eastAsia="楷体" w:cs="楷体"/>
          <w:b/>
          <w:bCs/>
          <w:i w:val="0"/>
          <w:iCs w:val="0"/>
          <w:caps w:val="0"/>
          <w:color w:val="auto"/>
          <w:spacing w:val="0"/>
          <w:sz w:val="32"/>
          <w:szCs w:val="32"/>
          <w:shd w:val="clear" w:fill="FFFFFF"/>
          <w:lang w:val="en-US" w:eastAsia="zh-CN"/>
        </w:rPr>
        <w:t>二</w:t>
      </w:r>
      <w:r>
        <w:rPr>
          <w:rFonts w:hint="eastAsia" w:ascii="楷体" w:hAnsi="楷体" w:eastAsia="楷体" w:cs="楷体"/>
          <w:b/>
          <w:bCs/>
          <w:i w:val="0"/>
          <w:iCs w:val="0"/>
          <w:caps w:val="0"/>
          <w:color w:val="auto"/>
          <w:spacing w:val="0"/>
          <w:sz w:val="32"/>
          <w:szCs w:val="32"/>
          <w:shd w:val="clear" w:fill="FFFFFF"/>
          <w:lang w:eastAsia="zh-CN"/>
        </w:rPr>
        <w:t>）践行绿色发展理念，厚植最美生态底色。</w:t>
      </w:r>
      <w:r>
        <w:rPr>
          <w:rFonts w:hint="eastAsia" w:ascii="仿宋" w:hAnsi="仿宋" w:eastAsia="仿宋" w:cs="仿宋"/>
          <w:color w:val="auto"/>
          <w:sz w:val="32"/>
          <w:szCs w:val="32"/>
        </w:rPr>
        <w:t>红星街道始终牢固树立“绿水青山就是金山银山”的生态文明理念，紧盯人民群众对优美生态环境的需求，全力加强生态建设，深入推进污染防治和生态保护，持续提升绿色发展动能</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在“世界水日”“中国水周”和“环保宣传日”等重要时间节点，利用横幅标语、宣传单、电子显示屏等多种形式广泛宣传河长制工作的重要性和必要性，对辖区的河道进行了为期一个月的集中专项清理，街道及社区共开展行动30次，出动工作人员、志愿者及社区及民间河长200余人，清理水域及岸线垃圾3吨，清理菜地20多处</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常态化开展打击违规种菜行动，全年共清理菜地100多处。注重大气污染防治工作，2023年，街道完成天星华府油烟污染交办件1件，协助上级部门处置猴子酒吧噪音扰民行动及噪音投诉事件10余起，制止房屋拆除扬尘污染2件、制止焚烧事件20余起、制作禁燃宣传横幅30余条、禁烧警示牌40余块。</w:t>
      </w:r>
    </w:p>
    <w:p w14:paraId="3C253E5F">
      <w:pPr>
        <w:spacing w:line="600" w:lineRule="exact"/>
        <w:ind w:firstLine="643" w:firstLineChars="200"/>
        <w:rPr>
          <w:rFonts w:hint="eastAsia" w:ascii="仿宋" w:eastAsia="仿宋" w:cs="仿宋"/>
          <w:b w:val="0"/>
          <w:bCs w:val="0"/>
          <w:color w:val="auto"/>
          <w:sz w:val="32"/>
          <w:szCs w:val="32"/>
          <w:lang w:val="en-US" w:eastAsia="zh-CN"/>
        </w:rPr>
      </w:pPr>
      <w:r>
        <w:rPr>
          <w:rFonts w:hint="eastAsia" w:ascii="楷体" w:hAnsi="楷体" w:eastAsia="楷体" w:cs="楷体"/>
          <w:b/>
          <w:bCs/>
          <w:color w:val="auto"/>
          <w:sz w:val="32"/>
          <w:szCs w:val="32"/>
          <w:lang w:val="en-US" w:eastAsia="zh-CN"/>
        </w:rPr>
        <w:t>（三）完善文化服务体系，满足群众文化需求。</w:t>
      </w:r>
      <w:r>
        <w:rPr>
          <w:rFonts w:hint="eastAsia" w:ascii="仿宋" w:hAnsi="仿宋" w:eastAsia="仿宋" w:cs="仿宋"/>
          <w:sz w:val="32"/>
          <w:szCs w:val="32"/>
          <w:lang w:val="en-US" w:eastAsia="zh-CN"/>
        </w:rPr>
        <w:t>红星街道</w:t>
      </w:r>
      <w:r>
        <w:rPr>
          <w:rFonts w:hint="eastAsia" w:ascii="仿宋" w:hAnsi="仿宋" w:eastAsia="仿宋" w:cs="仿宋"/>
          <w:sz w:val="32"/>
          <w:szCs w:val="32"/>
        </w:rPr>
        <w:t>积极推进街道</w:t>
      </w:r>
      <w:r>
        <w:rPr>
          <w:rFonts w:hint="eastAsia" w:ascii="仿宋" w:hAnsi="仿宋" w:eastAsia="仿宋" w:cs="仿宋"/>
          <w:sz w:val="32"/>
          <w:szCs w:val="32"/>
          <w:lang w:val="en-US" w:eastAsia="zh-CN"/>
        </w:rPr>
        <w:t>综合文化</w:t>
      </w:r>
      <w:r>
        <w:rPr>
          <w:rFonts w:hint="eastAsia" w:ascii="仿宋" w:hAnsi="仿宋" w:eastAsia="仿宋" w:cs="仿宋"/>
          <w:sz w:val="32"/>
          <w:szCs w:val="32"/>
        </w:rPr>
        <w:t>文化站和社区综合文化服务中心建设，打通文化服务群众“最后一公里”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街道、社区</w:t>
      </w:r>
      <w:r>
        <w:rPr>
          <w:rFonts w:hint="eastAsia" w:ascii="仿宋" w:hAnsi="仿宋" w:eastAsia="仿宋" w:cs="仿宋"/>
          <w:sz w:val="32"/>
          <w:szCs w:val="32"/>
        </w:rPr>
        <w:t>共建有1</w:t>
      </w:r>
      <w:r>
        <w:rPr>
          <w:rFonts w:hint="eastAsia" w:ascii="仿宋" w:hAnsi="仿宋" w:eastAsia="仿宋" w:cs="仿宋"/>
          <w:sz w:val="32"/>
          <w:szCs w:val="32"/>
          <w:lang w:val="en-US" w:eastAsia="zh-CN"/>
        </w:rPr>
        <w:t>4</w:t>
      </w:r>
      <w:r>
        <w:rPr>
          <w:rFonts w:hint="eastAsia" w:ascii="仿宋" w:hAnsi="仿宋" w:eastAsia="仿宋" w:cs="仿宋"/>
          <w:sz w:val="32"/>
          <w:szCs w:val="32"/>
        </w:rPr>
        <w:t>个图书借阅室，藏书</w:t>
      </w:r>
      <w:r>
        <w:rPr>
          <w:rFonts w:hint="eastAsia" w:ascii="仿宋" w:hAnsi="仿宋" w:eastAsia="仿宋" w:cs="仿宋"/>
          <w:sz w:val="32"/>
          <w:szCs w:val="32"/>
          <w:lang w:val="en-US" w:eastAsia="zh-CN"/>
        </w:rPr>
        <w:t>5000</w:t>
      </w:r>
      <w:r>
        <w:rPr>
          <w:rFonts w:hint="eastAsia" w:ascii="仿宋" w:hAnsi="仿宋" w:eastAsia="仿宋" w:cs="仿宋"/>
          <w:sz w:val="32"/>
          <w:szCs w:val="32"/>
        </w:rPr>
        <w:t>余册，着力满足各年龄段的各类读者需要。</w:t>
      </w:r>
      <w:r>
        <w:rPr>
          <w:rFonts w:hint="eastAsia" w:ascii="仿宋" w:hAnsi="仿宋" w:eastAsia="仿宋" w:cs="仿宋"/>
          <w:color w:val="auto"/>
          <w:sz w:val="32"/>
          <w:szCs w:val="32"/>
          <w:lang w:val="en-US" w:eastAsia="zh-CN"/>
        </w:rPr>
        <w:t>共组织志愿者开展文化活动30余次，发放文化宣传手册500余份，放映公益电影10余场，</w:t>
      </w:r>
      <w:r>
        <w:rPr>
          <w:rFonts w:hint="eastAsia" w:ascii="仿宋" w:hAnsi="仿宋" w:eastAsia="仿宋" w:cs="仿宋"/>
          <w:sz w:val="32"/>
          <w:szCs w:val="32"/>
        </w:rPr>
        <w:t>依托新时代文明实践站、所，组织建立文艺工作志愿队伍数</w:t>
      </w:r>
      <w:r>
        <w:rPr>
          <w:rFonts w:hint="eastAsia" w:ascii="仿宋" w:hAnsi="仿宋" w:eastAsia="仿宋" w:cs="仿宋"/>
          <w:sz w:val="32"/>
          <w:szCs w:val="32"/>
          <w:lang w:val="en-US" w:eastAsia="zh-CN"/>
        </w:rPr>
        <w:t>10</w:t>
      </w:r>
      <w:r>
        <w:rPr>
          <w:rFonts w:hint="eastAsia" w:ascii="仿宋" w:hAnsi="仿宋" w:eastAsia="仿宋" w:cs="仿宋"/>
          <w:sz w:val="32"/>
          <w:szCs w:val="32"/>
        </w:rPr>
        <w:t>支</w:t>
      </w:r>
      <w:r>
        <w:rPr>
          <w:rFonts w:hint="eastAsia" w:ascii="仿宋" w:hAnsi="仿宋" w:eastAsia="仿宋" w:cs="仿宋"/>
          <w:sz w:val="32"/>
          <w:szCs w:val="32"/>
          <w:lang w:eastAsia="zh-CN"/>
        </w:rPr>
        <w:t>。</w:t>
      </w:r>
      <w:r>
        <w:rPr>
          <w:rFonts w:hint="eastAsia" w:ascii="仿宋" w:hAnsi="仿宋" w:eastAsia="仿宋" w:cs="仿宋"/>
          <w:sz w:val="32"/>
          <w:szCs w:val="32"/>
        </w:rPr>
        <w:t>目前，</w:t>
      </w:r>
      <w:r>
        <w:rPr>
          <w:rFonts w:hint="eastAsia" w:ascii="仿宋" w:hAnsi="仿宋" w:eastAsia="仿宋" w:cs="仿宋"/>
          <w:sz w:val="32"/>
          <w:szCs w:val="32"/>
          <w:lang w:val="en-US" w:eastAsia="zh-CN"/>
        </w:rPr>
        <w:t>街道</w:t>
      </w:r>
      <w:r>
        <w:rPr>
          <w:rFonts w:hint="eastAsia" w:ascii="仿宋" w:hAnsi="仿宋" w:eastAsia="仿宋" w:cs="仿宋"/>
          <w:sz w:val="32"/>
          <w:szCs w:val="32"/>
        </w:rPr>
        <w:t>共有舞蹈、民乐、健身团体等10余支，队伍人数达</w:t>
      </w:r>
      <w:r>
        <w:rPr>
          <w:rFonts w:hint="eastAsia" w:ascii="仿宋" w:hAnsi="仿宋" w:eastAsia="仿宋" w:cs="仿宋"/>
          <w:sz w:val="32"/>
          <w:szCs w:val="32"/>
          <w:lang w:val="en-US" w:eastAsia="zh-CN"/>
        </w:rPr>
        <w:t>5</w:t>
      </w:r>
      <w:r>
        <w:rPr>
          <w:rFonts w:hint="eastAsia" w:ascii="仿宋" w:hAnsi="仿宋" w:eastAsia="仿宋" w:cs="仿宋"/>
          <w:sz w:val="32"/>
          <w:szCs w:val="32"/>
        </w:rPr>
        <w:t>00余人，自发开展健身、文娱宣传活动数百余次。</w:t>
      </w:r>
      <w:r>
        <w:rPr>
          <w:rFonts w:hint="eastAsia" w:ascii="仿宋" w:hAnsi="仿宋" w:eastAsia="仿宋" w:cs="仿宋"/>
          <w:sz w:val="32"/>
          <w:szCs w:val="32"/>
          <w:lang w:val="en-US" w:eastAsia="zh-CN"/>
        </w:rPr>
        <w:t>街道联合老年大学、清水湾艺术团、杨村社区唱响乐团等优秀文化团体，</w:t>
      </w:r>
      <w:r>
        <w:rPr>
          <w:rFonts w:hint="eastAsia" w:ascii="仿宋" w:hAnsi="仿宋" w:eastAsia="仿宋" w:cs="仿宋"/>
          <w:b w:val="0"/>
          <w:bCs w:val="0"/>
          <w:color w:val="auto"/>
          <w:sz w:val="32"/>
          <w:szCs w:val="32"/>
          <w:lang w:val="en-US" w:eastAsia="zh-CN"/>
        </w:rPr>
        <w:t>在辖区开展公益表演20余场，</w:t>
      </w:r>
      <w:r>
        <w:rPr>
          <w:rFonts w:hint="eastAsia" w:ascii="仿宋" w:hAnsi="仿宋" w:eastAsia="仿宋" w:cs="仿宋"/>
          <w:sz w:val="32"/>
          <w:szCs w:val="32"/>
          <w:lang w:val="en-US" w:eastAsia="zh-CN"/>
        </w:rPr>
        <w:t>成功举办了各类</w:t>
      </w:r>
      <w:r>
        <w:rPr>
          <w:rFonts w:hint="eastAsia" w:ascii="仿宋" w:hAnsi="仿宋" w:eastAsia="仿宋" w:cs="仿宋"/>
          <w:sz w:val="32"/>
          <w:szCs w:val="32"/>
        </w:rPr>
        <w:t>群众性文艺</w:t>
      </w:r>
      <w:r>
        <w:rPr>
          <w:rFonts w:hint="eastAsia" w:ascii="仿宋" w:hAnsi="仿宋" w:eastAsia="仿宋" w:cs="仿宋"/>
          <w:sz w:val="32"/>
          <w:szCs w:val="32"/>
          <w:lang w:val="en-US" w:eastAsia="zh-CN"/>
        </w:rPr>
        <w:t>演出</w:t>
      </w:r>
      <w:r>
        <w:rPr>
          <w:rFonts w:hint="eastAsia" w:ascii="仿宋" w:hAnsi="仿宋" w:eastAsia="仿宋" w:cs="仿宋"/>
          <w:sz w:val="32"/>
          <w:szCs w:val="32"/>
        </w:rPr>
        <w:t>、清廉阅读分享会、文化大合唱、</w:t>
      </w:r>
      <w:r>
        <w:rPr>
          <w:rFonts w:hint="eastAsia" w:ascii="仿宋" w:hAnsi="仿宋" w:eastAsia="仿宋" w:cs="仿宋"/>
          <w:sz w:val="32"/>
          <w:szCs w:val="32"/>
          <w:lang w:val="en-US" w:eastAsia="zh-CN"/>
        </w:rPr>
        <w:t>文化艺术培训等</w:t>
      </w:r>
      <w:r>
        <w:rPr>
          <w:rFonts w:hint="eastAsia" w:ascii="仿宋" w:hAnsi="仿宋" w:eastAsia="仿宋" w:cs="仿宋"/>
          <w:sz w:val="32"/>
          <w:szCs w:val="32"/>
        </w:rPr>
        <w:t>活动</w:t>
      </w:r>
      <w:r>
        <w:rPr>
          <w:rFonts w:hint="eastAsia" w:ascii="仿宋" w:hAnsi="仿宋" w:eastAsia="仿宋" w:cs="仿宋"/>
          <w:sz w:val="32"/>
          <w:szCs w:val="32"/>
          <w:lang w:val="en-US" w:eastAsia="zh-CN"/>
        </w:rPr>
        <w:t>30余场</w:t>
      </w:r>
      <w:r>
        <w:rPr>
          <w:rFonts w:hint="eastAsia" w:ascii="仿宋" w:hAnsi="仿宋" w:eastAsia="仿宋" w:cs="仿宋"/>
          <w:sz w:val="32"/>
          <w:szCs w:val="32"/>
          <w:lang w:eastAsia="zh-CN"/>
        </w:rPr>
        <w:t>。</w:t>
      </w:r>
    </w:p>
    <w:p w14:paraId="29FA51FA">
      <w:pPr>
        <w:ind w:firstLine="643" w:firstLineChars="200"/>
        <w:rPr>
          <w:rFonts w:hint="eastAsia" w:ascii="楷体" w:hAnsi="楷体" w:eastAsia="楷体" w:cs="楷体"/>
          <w:b/>
          <w:bCs/>
          <w:color w:val="auto"/>
          <w:sz w:val="32"/>
          <w:szCs w:val="32"/>
          <w:lang w:val="en-US" w:eastAsia="zh-CN"/>
        </w:rPr>
      </w:pPr>
    </w:p>
    <w:p w14:paraId="110B659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黑体" w:hAnsi="黑体" w:eastAsia="黑体" w:cs="黑体"/>
          <w:b/>
          <w:bCs/>
          <w:color w:val="auto"/>
          <w:kern w:val="2"/>
          <w:sz w:val="32"/>
          <w:szCs w:val="32"/>
          <w:lang w:val="en-US" w:eastAsia="zh-CN" w:bidi="ar-SA"/>
        </w:rPr>
      </w:pPr>
      <w:r>
        <w:rPr>
          <w:rFonts w:hint="eastAsia" w:ascii="黑体" w:hAnsi="黑体" w:eastAsia="黑体" w:cs="黑体"/>
          <w:b/>
          <w:bCs/>
          <w:color w:val="auto"/>
          <w:kern w:val="2"/>
          <w:sz w:val="32"/>
          <w:szCs w:val="32"/>
          <w:lang w:val="en-US" w:eastAsia="zh-CN" w:bidi="ar-SA"/>
        </w:rPr>
        <w:t>三、存在的主要问题、困难及形势研判</w:t>
      </w:r>
    </w:p>
    <w:p w14:paraId="4D19AF2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在肯定成绩的同时，我们也清醒地认识到，目前街道仍然存在着问题与不足。</w:t>
      </w:r>
      <w:r>
        <w:rPr>
          <w:rFonts w:hint="eastAsia" w:ascii="仿宋" w:hAnsi="仿宋" w:eastAsia="仿宋" w:cs="仿宋"/>
          <w:color w:val="auto"/>
          <w:sz w:val="32"/>
          <w:szCs w:val="32"/>
          <w:lang w:val="en-US" w:eastAsia="zh-CN"/>
        </w:rPr>
        <w:t>一是街道社区在经济工作方面，还没有形成好的抓平时的长效机制，社区还存在“要我抓”的认识，没有真正形成“我要抓”的自觉。二是在创文创卫中存在着对有物管小区监督力度弱，对无物管小区常态化管理办法不多的问题。三是社会大局虽然相对稳定，但是业主与物业的群体性矛盾在不少小区已经表现或在酝酿，业主对物业满意率不高普遍存在。四是对于充分发动居民党员参与社区治理还办法不多。五是红星辖区居民素质总体较高，不乏各类专业人才，群众对精神文化生活需求较高，我们在公共文化进社区方面力度还不够大。</w:t>
      </w:r>
    </w:p>
    <w:p w14:paraId="754CFFEA">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b/>
          <w:bCs/>
          <w:color w:val="auto"/>
          <w:kern w:val="2"/>
          <w:sz w:val="32"/>
          <w:szCs w:val="32"/>
          <w:lang w:val="en-US" w:eastAsia="zh-CN" w:bidi="ar-SA"/>
        </w:rPr>
      </w:pPr>
      <w:r>
        <w:rPr>
          <w:rFonts w:hint="eastAsia" w:ascii="仿宋" w:hAnsi="仿宋" w:eastAsia="仿宋" w:cs="仿宋"/>
          <w:b w:val="0"/>
          <w:bCs w:val="0"/>
          <w:color w:val="auto"/>
          <w:sz w:val="32"/>
          <w:szCs w:val="32"/>
          <w:lang w:val="en-US" w:eastAsia="zh-CN"/>
        </w:rPr>
        <w:t>对此，我们将认真对待、直面问题，采取有力措施，绝不辜负社会关切、群众期盼。</w:t>
      </w:r>
    </w:p>
    <w:p w14:paraId="2777CE3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黑体" w:hAnsi="黑体" w:eastAsia="黑体" w:cs="黑体"/>
          <w:b/>
          <w:bCs/>
          <w:color w:val="auto"/>
          <w:kern w:val="2"/>
          <w:sz w:val="32"/>
          <w:szCs w:val="32"/>
          <w:lang w:val="en-US" w:eastAsia="zh-CN" w:bidi="ar-SA"/>
        </w:rPr>
      </w:pPr>
      <w:r>
        <w:rPr>
          <w:rFonts w:hint="eastAsia" w:ascii="黑体" w:hAnsi="黑体" w:eastAsia="黑体" w:cs="黑体"/>
          <w:b/>
          <w:bCs/>
          <w:color w:val="auto"/>
          <w:kern w:val="2"/>
          <w:sz w:val="32"/>
          <w:szCs w:val="32"/>
          <w:lang w:val="en-US" w:eastAsia="zh-CN" w:bidi="ar-SA"/>
        </w:rPr>
        <w:t>四、2024年工作思路、战略目标、重点工作和拟采取的主要工作措施</w:t>
      </w:r>
    </w:p>
    <w:p w14:paraId="253F41A7">
      <w:pPr>
        <w:keepNext w:val="0"/>
        <w:keepLines w:val="0"/>
        <w:pageBreakBefore w:val="0"/>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color w:val="auto"/>
          <w:sz w:val="32"/>
          <w:szCs w:val="32"/>
          <w:shd w:val="clear" w:color="auto" w:fill="auto"/>
          <w:lang w:val="en-US" w:eastAsia="zh-CN"/>
        </w:rPr>
        <w:t>2024年，我们将以真抓实干的奋斗者姿态，全面落实“三高四新”战略定位和使命任务，深入贯彻党的二十大精神，积极为怀化“三城一区”建设贡献力量，全力推动高质量跨越式发展，为全面建设社会主义现代化国家、全面推进中华民族伟大复兴而团结奋斗，在新的赶考之路上向历史和人民交出新的优异答卷。</w:t>
      </w:r>
    </w:p>
    <w:p w14:paraId="51B5113C">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（一）聚焦一个目标，争先创优，为鹤城当好贯彻“五新四城”战略主力军排头兵作出红星贡献。</w:t>
      </w:r>
    </w:p>
    <w:p w14:paraId="16D11DC9">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红星街道历来工作基础好，干部队伍踏实、务干，城市基础条件也较好，人口较多，具备争先创优的条件。我们将依托现有的工作基础，争先创优，各项工作不仅要在全区争先进，创特色，下一步更要在省、市争位子、出亮点。</w:t>
      </w:r>
    </w:p>
    <w:p w14:paraId="41F699B7">
      <w:pPr>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（二）为全面建设怀化国际陆港之城和全力推进鹤中一体化融合发展服务，提升打造打造宜居、宜业、宜商、宜学、宜医城市街道。</w:t>
      </w:r>
    </w:p>
    <w:p w14:paraId="1FF41A4E">
      <w:pPr>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市委、区委全面建设怀化国际陆港之城和全力推进鹤中一体化融合发展，将会进一步带动、推动中心城区发展。九十年代以来，红星街道辖区一直是怀化高品质居住区，但因城市开发理念及规划标准不够高，目前高品质小区、无物管小区、城中村相互毗邻，制约了城市品质的提升。下一步，红星街道将全面落实市委区委关于“一迎三创”的部署，抓住物业管理职能下放鹤城的机遇，以社区小区党建为引领，全面提升物业服务和无物管小区治理能力，同时承担好城中村插花地日常管理责任，充分发挥辖区学校、医院、金融、住宿、餐饮及其他服务业资源丰富的优势，打造打造宜居、宜业、宜商、宜学、宜医主城区街道，不断推动提高中心城区的人口首度位和经济首位度。</w:t>
      </w:r>
    </w:p>
    <w:p w14:paraId="07E61536">
      <w:pPr>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b/>
          <w:bCs/>
          <w:color w:val="auto"/>
          <w:sz w:val="32"/>
          <w:szCs w:val="32"/>
          <w:lang w:val="en-US" w:eastAsia="zh-CN"/>
        </w:rPr>
        <w:t xml:space="preserve"> </w:t>
      </w:r>
      <w:r>
        <w:rPr>
          <w:rFonts w:hint="eastAsia" w:ascii="楷体" w:hAnsi="楷体" w:eastAsia="楷体" w:cs="楷体"/>
          <w:b/>
          <w:bCs/>
          <w:color w:val="auto"/>
          <w:sz w:val="32"/>
          <w:szCs w:val="32"/>
          <w:lang w:val="en-US" w:eastAsia="zh-CN"/>
        </w:rPr>
        <w:t>（三）发扬店小二精神，倾注更多心力招商引资，努力构建湖天南路与天星东路新商圈，打造新的城市会客厅。</w:t>
      </w:r>
    </w:p>
    <w:p w14:paraId="0C287C2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前在怀化城市迎丰路以南片区，天星东路、湖天大道两条主干道沿线新经济带和商圈正在形成，业态也正在丰富。红星辖区天星东路上，从西往东，鸿涛翡翠湾项目今年将完工，天星阁项目已盘活完成消防验收，天星华府二期已完工，正清制药厂家属区拆迁将启动，华泰凤凰酒店经营扭亏为赢，天星新嘉坡及盛世华都北区人气逾加旺盛；在湖天大道从北往南，中远农贸市场改造将完成，巴厘右岸消防已通过处遗即将成功，大美时光里已开始交房，润兰上城文旅项目将于1年内完工。在辖区的锦园北路、云集路两条次干道业态成熟、经营活跃，下一步，我们将摆正店小二位置，加强城市精细化管理，更好解决停车难、停车乱问题，倾力开展招商引资，将两条主干道和两条次干道沿线打造为新商圈和新的城市会客厅。</w:t>
      </w:r>
    </w:p>
    <w:p w14:paraId="592FB410">
      <w:pPr>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（四）守好底线，夯实基础，筑牢安全生产和社会稳定防线，为经济发展保驾护航。</w:t>
      </w:r>
    </w:p>
    <w:p w14:paraId="1CB8D424">
      <w:pPr>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红星辖区人口多，老旧小区多，火灾隐患、建筑物脱落、建筑工地是主要风险，下一步我们将严格督促企业和单位落实安全生产主体责任，落实街道社区属地监管责任，配合区直部门落实行业监管责任，对辖区各网格实行一月一排查全覆盖，对重点区域如工地实行一周一排查，全力将各类轻重安全隐患消灭在隐患初起阶段。红星辖区社会稳定基础较好，我们下一步继续坚持警源、诉源、访源共治，充分发挥好街道和社区综治中心作用，坚持执行领导干部下访机制，对矛盾纠纷做到早发现、早介入、早调解、早调解，认真开展首次调解、现场化解工作，努力消解现有矛盾纠纷存量。</w:t>
      </w:r>
    </w:p>
    <w:p w14:paraId="5BEF520C">
      <w:pPr>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（五）扎实开展主题教育，扛牢全面从严治党政治责任，打造坚强有力的基层战斗堡垒，激发社会治理新活力。</w:t>
      </w:r>
    </w:p>
    <w:p w14:paraId="0FC5B550">
      <w:pPr>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1.把管党治党政治责任扛起来。</w:t>
      </w:r>
      <w:r>
        <w:rPr>
          <w:rFonts w:hint="eastAsia" w:ascii="仿宋" w:hAnsi="仿宋" w:eastAsia="仿宋" w:cs="仿宋"/>
          <w:color w:val="auto"/>
          <w:sz w:val="32"/>
          <w:szCs w:val="32"/>
          <w:lang w:val="en-US" w:eastAsia="zh-CN"/>
        </w:rPr>
        <w:t>管好下属党组织，组织下辖党组织按一片一课一实践要求开展好主题教育，以基层党组织标准化建设为抓手大力提升下辖党组织组织力、战斗力。推广建设好小区党支部，将党支部战斗堡垒直接建立于小区、群众之中，探索实施党建引领居民小区“微治理”行动。对今年巡察的5个社区，参照已巡察的8个社区问题，做好未巡先改工作，扎实整改好自查出来的问题。严格管好街道社区工作纪律，运用好个别和集体谈心谈话制度，将苗头性问题用咬耳朵、扯袖子的方式解决在萌芽状态。坚持民主集中制落实“三重一大”事项集体决策制度，提高决策的质量和水平。</w:t>
      </w:r>
    </w:p>
    <w:p w14:paraId="41E70366">
      <w:pPr>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2.锻炼培养好干部队伍。</w:t>
      </w:r>
      <w:r>
        <w:rPr>
          <w:rFonts w:hint="eastAsia" w:ascii="仿宋" w:hAnsi="仿宋" w:eastAsia="仿宋" w:cs="仿宋"/>
          <w:color w:val="auto"/>
          <w:sz w:val="32"/>
          <w:szCs w:val="32"/>
          <w:lang w:val="en-US" w:eastAsia="zh-CN"/>
        </w:rPr>
        <w:t>培养使用好年轻街道社区干部。一方面通过干部座谈会、干部轮训等方式让他们知道优秀干部标准和成长方向，另一方面在一线给他们压任务、拜师傅、学经验，在基层“墩好苗”，除掉娇气，打好基础，与群众打成一片，早日成为基层工作好手、强手。</w:t>
      </w:r>
    </w:p>
    <w:p w14:paraId="63DA6B4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eastAsia" w:ascii="黑体" w:hAnsi="黑体" w:eastAsia="黑体" w:cs="黑体"/>
          <w:b/>
          <w:bCs/>
          <w:color w:val="auto"/>
          <w:kern w:val="2"/>
          <w:sz w:val="32"/>
          <w:szCs w:val="32"/>
          <w:lang w:val="en-US" w:eastAsia="zh-CN" w:bidi="ar-SA"/>
        </w:rPr>
      </w:pPr>
      <w:r>
        <w:rPr>
          <w:rFonts w:hint="eastAsia" w:ascii="黑体" w:hAnsi="黑体" w:eastAsia="黑体" w:cs="黑体"/>
          <w:b/>
          <w:bCs/>
          <w:color w:val="auto"/>
          <w:kern w:val="2"/>
          <w:sz w:val="32"/>
          <w:szCs w:val="32"/>
          <w:lang w:val="en-US" w:eastAsia="zh-CN" w:bidi="ar-SA"/>
        </w:rPr>
        <w:t>五、对区政府自身建设的意见和建议</w:t>
      </w:r>
    </w:p>
    <w:p w14:paraId="363FA610">
      <w:pPr>
        <w:ind w:firstLine="643" w:firstLineChars="200"/>
        <w:rPr>
          <w:rFonts w:hint="eastAsia" w:ascii="仿宋" w:hAnsi="仿宋" w:eastAsia="仿宋" w:cs="仿宋"/>
          <w:color w:val="auto"/>
          <w:sz w:val="32"/>
          <w:szCs w:val="20"/>
          <w:lang w:val="en-US" w:eastAsia="zh-CN"/>
        </w:rPr>
      </w:pPr>
      <w:r>
        <w:rPr>
          <w:rFonts w:hint="eastAsia" w:ascii="楷体" w:hAnsi="楷体" w:eastAsia="楷体" w:cs="楷体"/>
          <w:b/>
          <w:bCs/>
          <w:color w:val="auto"/>
          <w:sz w:val="32"/>
          <w:szCs w:val="20"/>
          <w:lang w:val="en-US" w:eastAsia="zh-CN"/>
        </w:rPr>
        <w:t>（一）优化服务水平，提高行政效率。</w:t>
      </w:r>
      <w:r>
        <w:rPr>
          <w:rFonts w:hint="eastAsia" w:ascii="仿宋" w:hAnsi="仿宋" w:eastAsia="仿宋" w:cs="仿宋"/>
          <w:color w:val="auto"/>
          <w:sz w:val="32"/>
          <w:szCs w:val="20"/>
          <w:lang w:val="en-US" w:eastAsia="zh-CN"/>
        </w:rPr>
        <w:t>进一步精简审批事项，优化工作流程，加强工作衔接，提高办事效率和服务水平。健全完善首问负责、服务承诺、限时办结制度，积极探索统一办理、联合办理、集中办理行政许可制度，全面推行“一站式”服务。</w:t>
      </w:r>
      <w:r>
        <w:rPr>
          <w:rFonts w:hint="default" w:ascii="仿宋" w:hAnsi="仿宋" w:eastAsia="仿宋" w:cs="仿宋"/>
          <w:color w:val="auto"/>
          <w:sz w:val="32"/>
          <w:szCs w:val="20"/>
          <w:lang w:val="en-US" w:eastAsia="zh-CN"/>
        </w:rPr>
        <w:t>政府各部门单位之间协调联动、密切配合，不推透、不扯皮，</w:t>
      </w:r>
      <w:r>
        <w:rPr>
          <w:rFonts w:hint="eastAsia" w:ascii="仿宋" w:hAnsi="仿宋" w:eastAsia="仿宋" w:cs="仿宋"/>
          <w:color w:val="auto"/>
          <w:sz w:val="32"/>
          <w:szCs w:val="20"/>
          <w:lang w:val="en-US" w:eastAsia="zh-CN"/>
        </w:rPr>
        <w:t>不断提高行政运行效率。</w:t>
      </w:r>
    </w:p>
    <w:p w14:paraId="52772223">
      <w:pPr>
        <w:ind w:firstLine="643" w:firstLineChars="200"/>
        <w:rPr>
          <w:rFonts w:hint="eastAsia" w:ascii="仿宋" w:hAnsi="仿宋" w:eastAsia="仿宋" w:cs="仿宋"/>
          <w:b w:val="0"/>
          <w:color w:val="auto"/>
          <w:kern w:val="2"/>
          <w:sz w:val="32"/>
          <w:szCs w:val="20"/>
          <w:lang w:val="en-US" w:eastAsia="zh-CN" w:bidi="ar-SA"/>
        </w:rPr>
      </w:pPr>
      <w:r>
        <w:rPr>
          <w:rFonts w:hint="eastAsia" w:ascii="楷体" w:hAnsi="楷体" w:eastAsia="楷体" w:cs="楷体"/>
          <w:b/>
          <w:bCs/>
          <w:color w:val="auto"/>
          <w:kern w:val="2"/>
          <w:sz w:val="32"/>
          <w:szCs w:val="20"/>
          <w:lang w:val="en-US" w:eastAsia="zh-CN" w:bidi="ar-SA"/>
        </w:rPr>
        <w:t>（二）弘扬优良作风，厉行勤俭节约。</w:t>
      </w:r>
      <w:r>
        <w:rPr>
          <w:rFonts w:hint="default" w:ascii="仿宋" w:hAnsi="仿宋" w:eastAsia="仿宋" w:cs="仿宋"/>
          <w:b w:val="0"/>
          <w:color w:val="auto"/>
          <w:kern w:val="2"/>
          <w:sz w:val="32"/>
          <w:szCs w:val="20"/>
          <w:lang w:val="en-US" w:eastAsia="zh-CN" w:bidi="ar-SA"/>
        </w:rPr>
        <w:t>大力弘扬艰苦奋斗、厉行节约的优良传统</w:t>
      </w:r>
      <w:r>
        <w:rPr>
          <w:rFonts w:hint="eastAsia" w:ascii="仿宋" w:hAnsi="仿宋" w:eastAsia="仿宋" w:cs="仿宋"/>
          <w:b w:val="0"/>
          <w:color w:val="auto"/>
          <w:kern w:val="2"/>
          <w:sz w:val="32"/>
          <w:szCs w:val="20"/>
          <w:lang w:val="en-US" w:eastAsia="zh-CN" w:bidi="ar-SA"/>
        </w:rPr>
        <w:t>。</w:t>
      </w:r>
      <w:r>
        <w:rPr>
          <w:rFonts w:hint="default" w:ascii="仿宋" w:hAnsi="仿宋" w:eastAsia="仿宋" w:cs="仿宋"/>
          <w:b w:val="0"/>
          <w:color w:val="auto"/>
          <w:kern w:val="2"/>
          <w:sz w:val="32"/>
          <w:szCs w:val="20"/>
          <w:lang w:val="en-US" w:eastAsia="zh-CN" w:bidi="ar-SA"/>
        </w:rPr>
        <w:t>加强节约型机关建设，严格执行公务用车管理规定，严禁超标准配备使用公务用车，从严控制接待标准，减少</w:t>
      </w:r>
      <w:r>
        <w:rPr>
          <w:rFonts w:hint="eastAsia" w:ascii="仿宋" w:hAnsi="仿宋" w:eastAsia="仿宋" w:cs="仿宋"/>
          <w:b w:val="0"/>
          <w:color w:val="auto"/>
          <w:kern w:val="2"/>
          <w:sz w:val="32"/>
          <w:szCs w:val="20"/>
          <w:lang w:val="en-US" w:eastAsia="zh-CN" w:bidi="ar-SA"/>
        </w:rPr>
        <w:t>一</w:t>
      </w:r>
      <w:r>
        <w:rPr>
          <w:rFonts w:hint="default" w:ascii="仿宋" w:hAnsi="仿宋" w:eastAsia="仿宋" w:cs="仿宋"/>
          <w:b w:val="0"/>
          <w:color w:val="auto"/>
          <w:kern w:val="2"/>
          <w:sz w:val="32"/>
          <w:szCs w:val="20"/>
          <w:lang w:val="en-US" w:eastAsia="zh-CN" w:bidi="ar-SA"/>
        </w:rPr>
        <w:t>般性支出，努力降低行政成本，把有限的资金更多地用在发展经济和改善民生上</w:t>
      </w:r>
      <w:r>
        <w:rPr>
          <w:rFonts w:hint="eastAsia" w:ascii="仿宋" w:hAnsi="仿宋" w:eastAsia="仿宋" w:cs="仿宋"/>
          <w:b w:val="0"/>
          <w:color w:val="auto"/>
          <w:kern w:val="2"/>
          <w:sz w:val="32"/>
          <w:szCs w:val="20"/>
          <w:lang w:val="en-US" w:eastAsia="zh-CN" w:bidi="ar-SA"/>
        </w:rPr>
        <w:t>。</w:t>
      </w:r>
    </w:p>
    <w:p w14:paraId="41B3FD38">
      <w:pPr>
        <w:ind w:firstLine="643" w:firstLineChars="200"/>
        <w:rPr>
          <w:rFonts w:hint="eastAsia"/>
          <w:spacing w:val="-5"/>
          <w:sz w:val="32"/>
          <w:szCs w:val="32"/>
          <w:lang w:val="en-US" w:eastAsia="zh-CN"/>
        </w:rPr>
      </w:pPr>
      <w:r>
        <w:rPr>
          <w:rFonts w:hint="eastAsia" w:ascii="楷体" w:hAnsi="楷体" w:eastAsia="楷体" w:cs="楷体"/>
          <w:b/>
          <w:bCs/>
          <w:color w:val="auto"/>
          <w:kern w:val="2"/>
          <w:sz w:val="32"/>
          <w:szCs w:val="20"/>
          <w:lang w:val="en-US" w:eastAsia="zh-CN" w:bidi="ar-SA"/>
        </w:rPr>
        <w:t>（三）提高创新意识，增强工作实效。</w:t>
      </w:r>
      <w:r>
        <w:rPr>
          <w:rFonts w:hint="default" w:ascii="仿宋" w:hAnsi="仿宋" w:eastAsia="仿宋" w:cs="仿宋"/>
          <w:b w:val="0"/>
          <w:color w:val="auto"/>
          <w:kern w:val="2"/>
          <w:sz w:val="32"/>
          <w:szCs w:val="20"/>
          <w:lang w:val="en-US" w:eastAsia="zh-CN" w:bidi="ar-SA"/>
        </w:rPr>
        <w:t>要以解放思想为动力，注重用新思维、新观念、新方法、新手段解决发展难题，以观念创新、体制机制创新、管理创新和服务创新推进工作开展</w:t>
      </w:r>
      <w:r>
        <w:rPr>
          <w:rFonts w:hint="eastAsia" w:ascii="仿宋" w:hAnsi="仿宋" w:eastAsia="仿宋" w:cs="仿宋"/>
          <w:b w:val="0"/>
          <w:color w:val="auto"/>
          <w:kern w:val="2"/>
          <w:sz w:val="32"/>
          <w:szCs w:val="20"/>
          <w:lang w:val="en-US" w:eastAsia="zh-CN" w:bidi="ar-SA"/>
        </w:rPr>
        <w:t>。要坚持理论联系实际，做到学以致用、以学促干、以干带学。准确把握经济社会发展规律，努力成为抓发展、干事业的行家里手。</w:t>
      </w:r>
    </w:p>
    <w:p w14:paraId="4E259AFC">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(二)评价指标分析</w:t>
      </w:r>
    </w:p>
    <w:p w14:paraId="6F530F9E">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整体绩效目标设定‌与部门职责、行业发展规划紧密相连，以行政事业单位能更好地履职为人民服务的评价目标核心，结合实际细化指标值内容，提高了指标评价的合理性、明确性和可衡量性，同时也具备可实现性。</w:t>
      </w:r>
    </w:p>
    <w:p w14:paraId="00D75BE7">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‌预算配置‌方面，预算资金在不同项目或活动间的分配合理，符合优先级，有效支持了部门职责和行业发展规划的实现，预算配置的灵活性和适应性大大提高。</w:t>
      </w:r>
    </w:p>
    <w:p w14:paraId="67142320">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预算执行‌方面，有详细的资金管理制度、办法并严格按照相关管理制度、办法管理预算资金，预算执行过程中的合规性得到保证，预算执行进度与计划进度的匹配程度尚有提高的空间，预算执行过程中专款专用，确保资源有效配置。</w:t>
      </w:r>
    </w:p>
    <w:p w14:paraId="470FC91C">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‌预算管理‌方面，预算管理制度在不断完善，流程规范、透明。积极响应厉行节俭的提倡，严格压缩不比要的开支，在以前年的决算基础上制定预算，严格控制成本、提高资金使用效益。</w:t>
      </w:r>
    </w:p>
    <w:p w14:paraId="07B5D2E9">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‌资产管理方面，只存在工作必需的资产新增，积极盘活资产，提高资产使用效率，达到要求的资产及时处置，不断完善和健全资产管理制度。</w:t>
      </w:r>
    </w:p>
    <w:p w14:paraId="49565F95">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部门‌职责履行方面，部门履职对于红星街道办事处社会、经济、文化、生态等各方面发展起到推动作用，并且这份效益将对黄岩产生持续且长远的影响。</w:t>
      </w:r>
    </w:p>
    <w:p w14:paraId="1EAD5DF3">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2C9E8474">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1.预算编制不够精细，部分预算项目编制时考虑不够周全。</w:t>
      </w:r>
    </w:p>
    <w:p w14:paraId="27E28AD0">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2.预算执行进度把控不严，部分预算项目执行进度缓慢，影响了整体预算绩效。</w:t>
      </w:r>
    </w:p>
    <w:p w14:paraId="6D98DF2B">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3.预算绩效管理机制不够完善，导致部分预算资金使用效益不高。</w:t>
      </w:r>
    </w:p>
    <w:p w14:paraId="5FA59C73">
      <w:pPr>
        <w:widowControl w:val="0"/>
        <w:kinsoku/>
        <w:overflowPunct w:val="0"/>
        <w:spacing w:line="360" w:lineRule="auto"/>
        <w:ind w:firstLine="591" w:firstLineChars="200"/>
        <w:rPr>
          <w:rFonts w:ascii="黑体" w:hAnsi="黑体" w:eastAsia="黑体" w:cs="黑体"/>
          <w:b/>
          <w:bCs/>
          <w:spacing w:val="-13"/>
          <w:sz w:val="32"/>
          <w:szCs w:val="32"/>
          <w:lang w:eastAsia="zh-CN"/>
        </w:rPr>
      </w:pPr>
      <w:r>
        <w:rPr>
          <w:rFonts w:ascii="黑体" w:hAnsi="黑体" w:eastAsia="黑体" w:cs="黑体"/>
          <w:b/>
          <w:bCs/>
          <w:spacing w:val="-13"/>
          <w:sz w:val="32"/>
          <w:szCs w:val="32"/>
          <w:lang w:eastAsia="zh-CN"/>
        </w:rPr>
        <w:t>八、下一步改进措施</w:t>
      </w:r>
    </w:p>
    <w:p w14:paraId="6FE2845F">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1.加强预算编制的精细化和科学化，确保预算项目更加符合实际需求。</w:t>
      </w:r>
    </w:p>
    <w:p w14:paraId="5FEE34E8">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2.严格把控预算执行进度，确保预算项目按时、按质、按量完成。</w:t>
      </w:r>
    </w:p>
    <w:p w14:paraId="0D6522CB">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3.完善预算绩效管理机制，建立科学的绩效评价体系，提高预算资金使用效益。</w:t>
      </w:r>
    </w:p>
    <w:p w14:paraId="66FC4B42">
      <w:pPr>
        <w:widowControl w:val="0"/>
        <w:kinsoku/>
        <w:overflowPunct w:val="0"/>
        <w:spacing w:line="360" w:lineRule="auto"/>
        <w:ind w:firstLine="604" w:firstLineChars="200"/>
        <w:rPr>
          <w:rFonts w:ascii="黑体" w:hAnsi="黑体" w:eastAsia="黑体" w:cs="黑体"/>
          <w:spacing w:val="-13"/>
          <w:sz w:val="32"/>
          <w:szCs w:val="32"/>
          <w:lang w:eastAsia="zh-CN"/>
        </w:rPr>
      </w:pPr>
      <w:r>
        <w:rPr>
          <w:rFonts w:hint="eastAsia" w:ascii="仿宋" w:hAnsi="仿宋" w:eastAsia="仿宋" w:cs="仿宋"/>
          <w:snapToGrid w:val="0"/>
          <w:color w:val="000000"/>
          <w:spacing w:val="-9"/>
          <w:sz w:val="32"/>
          <w:szCs w:val="32"/>
          <w:lang w:val="en-US" w:eastAsia="zh-CN" w:bidi="ar-SA"/>
        </w:rPr>
        <w:t>4.加强预算绩效管理培训，提高预算意识和绩效观念。</w:t>
      </w:r>
    </w:p>
    <w:p w14:paraId="5B7C30A9">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九、其他需要说明的情况</w:t>
      </w:r>
    </w:p>
    <w:p w14:paraId="26780073">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无。</w:t>
      </w:r>
    </w:p>
    <w:p w14:paraId="2769320B">
      <w:pPr>
        <w:widowControl w:val="0"/>
        <w:kinsoku/>
        <w:overflowPunct w:val="0"/>
        <w:spacing w:line="360" w:lineRule="auto"/>
        <w:ind w:firstLine="640" w:firstLineChars="200"/>
        <w:rPr>
          <w:sz w:val="32"/>
          <w:szCs w:val="32"/>
          <w:lang w:eastAsia="zh-CN"/>
        </w:rPr>
      </w:pPr>
    </w:p>
    <w:p w14:paraId="22A2F3B5">
      <w:pPr>
        <w:pStyle w:val="2"/>
        <w:widowControl w:val="0"/>
        <w:kinsoku/>
        <w:overflowPunct w:val="0"/>
        <w:spacing w:line="360" w:lineRule="auto"/>
        <w:ind w:firstLine="580" w:firstLineChars="200"/>
        <w:rPr>
          <w:sz w:val="32"/>
          <w:szCs w:val="32"/>
          <w:lang w:eastAsia="zh-CN"/>
        </w:rPr>
      </w:pPr>
      <w:r>
        <w:rPr>
          <w:spacing w:val="-15"/>
          <w:sz w:val="32"/>
          <w:szCs w:val="32"/>
          <w:lang w:eastAsia="zh-CN"/>
        </w:rPr>
        <w:t>附件：</w:t>
      </w:r>
    </w:p>
    <w:p w14:paraId="55089D88">
      <w:pPr>
        <w:pStyle w:val="2"/>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14:paraId="2CF44F14">
      <w:pPr>
        <w:pStyle w:val="2"/>
        <w:widowControl w:val="0"/>
        <w:kinsoku/>
        <w:overflowPunct w:val="0"/>
        <w:spacing w:line="360" w:lineRule="auto"/>
        <w:ind w:firstLine="624" w:firstLineChars="200"/>
        <w:rPr>
          <w:sz w:val="32"/>
          <w:szCs w:val="32"/>
          <w:lang w:eastAsia="zh-CN"/>
        </w:rPr>
      </w:pPr>
      <w:r>
        <w:rPr>
          <w:rFonts w:hint="eastAsia" w:ascii="宋体" w:hAnsi="宋体" w:eastAsia="宋体" w:cs="宋体"/>
          <w:spacing w:val="-4"/>
          <w:sz w:val="32"/>
          <w:szCs w:val="32"/>
          <w:lang w:eastAsia="zh-CN"/>
        </w:rPr>
        <w:t>2.</w:t>
      </w:r>
      <w:r>
        <w:rPr>
          <w:spacing w:val="-4"/>
          <w:sz w:val="32"/>
          <w:szCs w:val="32"/>
          <w:lang w:eastAsia="zh-CN"/>
        </w:rPr>
        <w:t>部门整体支出绩效自评表</w:t>
      </w:r>
    </w:p>
    <w:p w14:paraId="503C9127">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24EB0D83">
      <w:pPr>
        <w:pStyle w:val="2"/>
        <w:spacing w:before="75" w:line="222" w:lineRule="auto"/>
        <w:rPr>
          <w:sz w:val="24"/>
          <w:szCs w:val="24"/>
          <w:lang w:eastAsia="zh-CN"/>
        </w:rPr>
      </w:pPr>
      <w:r>
        <w:rPr>
          <w:spacing w:val="15"/>
          <w:sz w:val="24"/>
          <w:szCs w:val="24"/>
          <w:lang w:eastAsia="zh-CN"/>
        </w:rPr>
        <w:t>附件1-1</w:t>
      </w:r>
    </w:p>
    <w:p w14:paraId="77609F65">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413393EF">
      <w:pPr>
        <w:spacing w:line="219" w:lineRule="auto"/>
        <w:ind w:left="545"/>
        <w:rPr>
          <w:rFonts w:ascii="宋体" w:hAnsi="宋体" w:eastAsia="宋体" w:cs="宋体"/>
          <w:spacing w:val="-1"/>
          <w:lang w:eastAsia="zh-CN"/>
        </w:rPr>
      </w:pPr>
    </w:p>
    <w:p w14:paraId="70AB9404">
      <w:pPr>
        <w:spacing w:line="219" w:lineRule="auto"/>
        <w:ind w:left="545"/>
        <w:rPr>
          <w:rFonts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怀化市鹤城区</w:t>
      </w:r>
      <w:r>
        <w:rPr>
          <w:rFonts w:hint="eastAsia" w:ascii="宋体" w:hAnsi="宋体" w:eastAsia="宋体" w:cs="宋体"/>
          <w:spacing w:val="-1"/>
          <w:lang w:val="en-US" w:eastAsia="zh-CN"/>
        </w:rPr>
        <w:t>红星街道办事处</w:t>
      </w:r>
      <w:r>
        <w:rPr>
          <w:rFonts w:hint="eastAsia" w:ascii="宋体" w:hAnsi="宋体" w:eastAsia="宋体" w:cs="宋体"/>
          <w:spacing w:val="-1"/>
          <w:lang w:eastAsia="zh-CN"/>
        </w:rPr>
        <w:t xml:space="preserve">                                                           单位：万元</w:t>
      </w:r>
    </w:p>
    <w:p w14:paraId="4F61522B">
      <w:pPr>
        <w:spacing w:line="37" w:lineRule="exact"/>
      </w:pPr>
    </w:p>
    <w:tbl>
      <w:tblPr>
        <w:tblStyle w:val="8"/>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045E3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7AF603CE">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4B7DFE05">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4B47FF6A">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1AF0A858">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7D481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7EE96839">
            <w:pPr>
              <w:pStyle w:val="9"/>
            </w:pPr>
          </w:p>
        </w:tc>
        <w:tc>
          <w:tcPr>
            <w:tcW w:w="2018" w:type="dxa"/>
            <w:gridSpan w:val="2"/>
          </w:tcPr>
          <w:p w14:paraId="35AEAECD">
            <w:pPr>
              <w:pStyle w:val="9"/>
              <w:spacing w:before="40"/>
              <w:jc w:val="center"/>
              <w:rPr>
                <w:rFonts w:hint="default" w:eastAsia="宋体"/>
                <w:lang w:val="en-US" w:eastAsia="zh-CN"/>
              </w:rPr>
            </w:pPr>
            <w:r>
              <w:rPr>
                <w:rFonts w:hint="eastAsia" w:eastAsia="宋体"/>
                <w:lang w:val="en-US" w:eastAsia="zh-CN"/>
              </w:rPr>
              <w:t>136</w:t>
            </w:r>
          </w:p>
        </w:tc>
        <w:tc>
          <w:tcPr>
            <w:tcW w:w="2197" w:type="dxa"/>
            <w:gridSpan w:val="2"/>
          </w:tcPr>
          <w:p w14:paraId="0D6274C8">
            <w:pPr>
              <w:pStyle w:val="9"/>
              <w:spacing w:before="40"/>
              <w:jc w:val="center"/>
              <w:rPr>
                <w:rFonts w:hint="default" w:eastAsia="宋体"/>
                <w:lang w:val="en-US" w:eastAsia="zh-CN"/>
              </w:rPr>
            </w:pPr>
            <w:r>
              <w:rPr>
                <w:rFonts w:hint="eastAsia" w:eastAsia="宋体"/>
                <w:lang w:val="en-US" w:eastAsia="zh-CN"/>
              </w:rPr>
              <w:t>122</w:t>
            </w:r>
          </w:p>
        </w:tc>
        <w:tc>
          <w:tcPr>
            <w:tcW w:w="1843" w:type="dxa"/>
            <w:gridSpan w:val="2"/>
          </w:tcPr>
          <w:p w14:paraId="3482B60C">
            <w:pPr>
              <w:pStyle w:val="9"/>
              <w:spacing w:before="40"/>
              <w:jc w:val="center"/>
              <w:rPr>
                <w:rFonts w:eastAsia="宋体"/>
                <w:lang w:eastAsia="zh-CN"/>
              </w:rPr>
            </w:pPr>
            <w:r>
              <w:rPr>
                <w:rFonts w:hint="eastAsia" w:eastAsia="宋体"/>
                <w:lang w:val="en-US" w:eastAsia="zh-CN"/>
              </w:rPr>
              <w:t>89.71</w:t>
            </w:r>
            <w:r>
              <w:rPr>
                <w:rFonts w:hint="eastAsia" w:eastAsia="宋体"/>
                <w:lang w:eastAsia="zh-CN"/>
              </w:rPr>
              <w:t>%</w:t>
            </w:r>
          </w:p>
        </w:tc>
      </w:tr>
      <w:tr w14:paraId="72661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39B78D4">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1708BFF8">
            <w:pPr>
              <w:spacing w:before="99" w:line="219" w:lineRule="auto"/>
              <w:ind w:left="403"/>
              <w:jc w:val="both"/>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7408857B">
            <w:pPr>
              <w:spacing w:before="99" w:line="219" w:lineRule="auto"/>
              <w:ind w:left="496"/>
              <w:jc w:val="both"/>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0ED81F3E">
            <w:pPr>
              <w:spacing w:before="99" w:line="219" w:lineRule="auto"/>
              <w:ind w:left="318"/>
              <w:jc w:val="both"/>
              <w:rPr>
                <w:rFonts w:ascii="宋体" w:hAnsi="宋体" w:eastAsia="宋体" w:cs="宋体"/>
                <w:sz w:val="20"/>
                <w:szCs w:val="20"/>
              </w:rPr>
            </w:pPr>
            <w:r>
              <w:rPr>
                <w:rFonts w:ascii="宋体" w:hAnsi="宋体" w:eastAsia="宋体" w:cs="宋体"/>
                <w:spacing w:val="-2"/>
                <w:sz w:val="20"/>
                <w:szCs w:val="20"/>
              </w:rPr>
              <w:t>2023年决算数</w:t>
            </w:r>
          </w:p>
        </w:tc>
      </w:tr>
      <w:tr w14:paraId="5E47F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ADA3658">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tcPr>
          <w:p w14:paraId="064DBDC8">
            <w:pPr>
              <w:pStyle w:val="9"/>
              <w:spacing w:before="80"/>
              <w:jc w:val="center"/>
              <w:rPr>
                <w:rFonts w:eastAsia="宋体"/>
                <w:lang w:eastAsia="zh-CN"/>
              </w:rPr>
            </w:pPr>
            <w:r>
              <w:rPr>
                <w:rFonts w:hint="eastAsia" w:eastAsia="宋体"/>
                <w:lang w:eastAsia="zh-CN"/>
              </w:rPr>
              <w:t>0</w:t>
            </w:r>
          </w:p>
        </w:tc>
        <w:tc>
          <w:tcPr>
            <w:tcW w:w="2197" w:type="dxa"/>
            <w:gridSpan w:val="2"/>
          </w:tcPr>
          <w:p w14:paraId="5BCAD287">
            <w:pPr>
              <w:pStyle w:val="9"/>
              <w:spacing w:before="80"/>
              <w:jc w:val="center"/>
              <w:rPr>
                <w:rFonts w:eastAsia="宋体"/>
                <w:lang w:eastAsia="zh-CN"/>
              </w:rPr>
            </w:pPr>
            <w:r>
              <w:rPr>
                <w:rFonts w:hint="eastAsia" w:eastAsia="宋体"/>
                <w:lang w:eastAsia="zh-CN"/>
              </w:rPr>
              <w:t>0</w:t>
            </w:r>
          </w:p>
        </w:tc>
        <w:tc>
          <w:tcPr>
            <w:tcW w:w="1843" w:type="dxa"/>
            <w:gridSpan w:val="2"/>
          </w:tcPr>
          <w:p w14:paraId="361692E3">
            <w:pPr>
              <w:pStyle w:val="9"/>
              <w:spacing w:before="80"/>
              <w:jc w:val="center"/>
              <w:rPr>
                <w:rFonts w:eastAsia="宋体"/>
                <w:lang w:eastAsia="zh-CN"/>
              </w:rPr>
            </w:pPr>
            <w:r>
              <w:rPr>
                <w:rFonts w:hint="eastAsia" w:eastAsia="宋体"/>
                <w:lang w:eastAsia="zh-CN"/>
              </w:rPr>
              <w:t>0</w:t>
            </w:r>
          </w:p>
        </w:tc>
      </w:tr>
      <w:tr w14:paraId="6F9460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448B4B0E">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tcPr>
          <w:p w14:paraId="2C64B1ED">
            <w:pPr>
              <w:pStyle w:val="9"/>
              <w:jc w:val="center"/>
              <w:rPr>
                <w:lang w:eastAsia="zh-CN"/>
              </w:rPr>
            </w:pPr>
          </w:p>
        </w:tc>
        <w:tc>
          <w:tcPr>
            <w:tcW w:w="2197" w:type="dxa"/>
            <w:gridSpan w:val="2"/>
          </w:tcPr>
          <w:p w14:paraId="068B7023">
            <w:pPr>
              <w:pStyle w:val="9"/>
              <w:jc w:val="center"/>
              <w:rPr>
                <w:lang w:eastAsia="zh-CN"/>
              </w:rPr>
            </w:pPr>
          </w:p>
        </w:tc>
        <w:tc>
          <w:tcPr>
            <w:tcW w:w="1843" w:type="dxa"/>
            <w:gridSpan w:val="2"/>
          </w:tcPr>
          <w:p w14:paraId="49C19AC8">
            <w:pPr>
              <w:pStyle w:val="9"/>
              <w:jc w:val="center"/>
              <w:rPr>
                <w:lang w:eastAsia="zh-CN"/>
              </w:rPr>
            </w:pPr>
          </w:p>
        </w:tc>
      </w:tr>
      <w:tr w14:paraId="7006E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C149190">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tcPr>
          <w:p w14:paraId="1897F63F">
            <w:pPr>
              <w:pStyle w:val="9"/>
              <w:jc w:val="center"/>
            </w:pPr>
          </w:p>
        </w:tc>
        <w:tc>
          <w:tcPr>
            <w:tcW w:w="2197" w:type="dxa"/>
            <w:gridSpan w:val="2"/>
          </w:tcPr>
          <w:p w14:paraId="258F7130">
            <w:pPr>
              <w:pStyle w:val="9"/>
              <w:jc w:val="center"/>
            </w:pPr>
          </w:p>
        </w:tc>
        <w:tc>
          <w:tcPr>
            <w:tcW w:w="1843" w:type="dxa"/>
            <w:gridSpan w:val="2"/>
          </w:tcPr>
          <w:p w14:paraId="582FC450">
            <w:pPr>
              <w:pStyle w:val="9"/>
              <w:jc w:val="center"/>
            </w:pPr>
          </w:p>
        </w:tc>
      </w:tr>
      <w:tr w14:paraId="29AA1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F7EA895">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tcPr>
          <w:p w14:paraId="2B7E581C">
            <w:pPr>
              <w:pStyle w:val="9"/>
              <w:jc w:val="center"/>
            </w:pPr>
          </w:p>
        </w:tc>
        <w:tc>
          <w:tcPr>
            <w:tcW w:w="2197" w:type="dxa"/>
            <w:gridSpan w:val="2"/>
          </w:tcPr>
          <w:p w14:paraId="726F78EB">
            <w:pPr>
              <w:pStyle w:val="9"/>
              <w:jc w:val="center"/>
            </w:pPr>
          </w:p>
        </w:tc>
        <w:tc>
          <w:tcPr>
            <w:tcW w:w="1843" w:type="dxa"/>
            <w:gridSpan w:val="2"/>
          </w:tcPr>
          <w:p w14:paraId="7EE718F6">
            <w:pPr>
              <w:pStyle w:val="9"/>
              <w:jc w:val="center"/>
            </w:pPr>
          </w:p>
        </w:tc>
      </w:tr>
      <w:tr w14:paraId="5EF5B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85496AA">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tcPr>
          <w:p w14:paraId="68490AC3">
            <w:pPr>
              <w:pStyle w:val="9"/>
              <w:jc w:val="center"/>
              <w:rPr>
                <w:rFonts w:eastAsia="宋体"/>
                <w:lang w:eastAsia="zh-CN"/>
              </w:rPr>
            </w:pPr>
          </w:p>
        </w:tc>
        <w:tc>
          <w:tcPr>
            <w:tcW w:w="2197" w:type="dxa"/>
            <w:gridSpan w:val="2"/>
          </w:tcPr>
          <w:p w14:paraId="279D9AF1">
            <w:pPr>
              <w:pStyle w:val="9"/>
              <w:jc w:val="center"/>
              <w:rPr>
                <w:rFonts w:eastAsia="宋体"/>
                <w:lang w:eastAsia="zh-CN"/>
              </w:rPr>
            </w:pPr>
          </w:p>
        </w:tc>
        <w:tc>
          <w:tcPr>
            <w:tcW w:w="1843" w:type="dxa"/>
            <w:gridSpan w:val="2"/>
          </w:tcPr>
          <w:p w14:paraId="45B23F71">
            <w:pPr>
              <w:pStyle w:val="9"/>
              <w:jc w:val="center"/>
              <w:rPr>
                <w:rFonts w:eastAsia="宋体"/>
                <w:lang w:eastAsia="zh-CN"/>
              </w:rPr>
            </w:pPr>
          </w:p>
        </w:tc>
      </w:tr>
      <w:tr w14:paraId="3443A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45B968D2">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tcPr>
          <w:p w14:paraId="3B6BDEB5">
            <w:pPr>
              <w:pStyle w:val="9"/>
              <w:jc w:val="center"/>
              <w:rPr>
                <w:rFonts w:eastAsia="宋体"/>
                <w:lang w:eastAsia="zh-CN"/>
              </w:rPr>
            </w:pPr>
          </w:p>
        </w:tc>
        <w:tc>
          <w:tcPr>
            <w:tcW w:w="2197" w:type="dxa"/>
            <w:gridSpan w:val="2"/>
          </w:tcPr>
          <w:p w14:paraId="27BF1050">
            <w:pPr>
              <w:pStyle w:val="9"/>
              <w:jc w:val="center"/>
              <w:rPr>
                <w:rFonts w:eastAsia="宋体"/>
                <w:lang w:eastAsia="zh-CN"/>
              </w:rPr>
            </w:pPr>
          </w:p>
        </w:tc>
        <w:tc>
          <w:tcPr>
            <w:tcW w:w="1843" w:type="dxa"/>
            <w:gridSpan w:val="2"/>
          </w:tcPr>
          <w:p w14:paraId="29E47AAA">
            <w:pPr>
              <w:pStyle w:val="9"/>
              <w:jc w:val="center"/>
              <w:rPr>
                <w:rFonts w:eastAsia="宋体"/>
                <w:lang w:eastAsia="zh-CN"/>
              </w:rPr>
            </w:pPr>
          </w:p>
        </w:tc>
      </w:tr>
      <w:tr w14:paraId="104DC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B2DC508">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tcPr>
          <w:p w14:paraId="6FCA2B37">
            <w:pPr>
              <w:pStyle w:val="9"/>
              <w:spacing w:before="80"/>
              <w:jc w:val="center"/>
              <w:rPr>
                <w:rFonts w:hint="default" w:eastAsia="宋体"/>
                <w:lang w:val="en-US" w:eastAsia="zh-CN"/>
              </w:rPr>
            </w:pPr>
            <w:r>
              <w:rPr>
                <w:rFonts w:hint="eastAsia" w:eastAsia="宋体"/>
                <w:lang w:val="en-US" w:eastAsia="zh-CN"/>
              </w:rPr>
              <w:t>275.19</w:t>
            </w:r>
          </w:p>
        </w:tc>
        <w:tc>
          <w:tcPr>
            <w:tcW w:w="2197" w:type="dxa"/>
            <w:gridSpan w:val="2"/>
          </w:tcPr>
          <w:p w14:paraId="1EBF1FFF">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eastAsiaTheme="minorEastAsia"/>
                <w:lang w:val="en-US" w:eastAsia="zh-CN"/>
              </w:rPr>
            </w:pPr>
            <w:r>
              <w:rPr>
                <w:rFonts w:hint="eastAsia" w:eastAsia="宋体"/>
                <w:lang w:val="en-US" w:eastAsia="zh-CN"/>
              </w:rPr>
              <w:t>596</w:t>
            </w:r>
          </w:p>
        </w:tc>
        <w:tc>
          <w:tcPr>
            <w:tcW w:w="1843" w:type="dxa"/>
            <w:gridSpan w:val="2"/>
          </w:tcPr>
          <w:p w14:paraId="25A3D616">
            <w:pPr>
              <w:pStyle w:val="9"/>
              <w:spacing w:before="80"/>
              <w:jc w:val="center"/>
              <w:rPr>
                <w:rFonts w:hint="default" w:eastAsia="宋体"/>
                <w:lang w:val="en-US" w:eastAsia="zh-CN"/>
              </w:rPr>
            </w:pPr>
            <w:r>
              <w:rPr>
                <w:rFonts w:hint="eastAsia" w:eastAsia="宋体"/>
                <w:lang w:val="en-US" w:eastAsia="zh-CN"/>
              </w:rPr>
              <w:t>427.75</w:t>
            </w:r>
          </w:p>
        </w:tc>
      </w:tr>
      <w:tr w14:paraId="5A53CC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65B35493">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tcPr>
          <w:p w14:paraId="5E332551">
            <w:pPr>
              <w:pStyle w:val="9"/>
              <w:jc w:val="center"/>
            </w:pPr>
          </w:p>
        </w:tc>
        <w:tc>
          <w:tcPr>
            <w:tcW w:w="2197" w:type="dxa"/>
            <w:gridSpan w:val="2"/>
          </w:tcPr>
          <w:p w14:paraId="31F848B9">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pPr>
          </w:p>
        </w:tc>
        <w:tc>
          <w:tcPr>
            <w:tcW w:w="1843" w:type="dxa"/>
            <w:gridSpan w:val="2"/>
          </w:tcPr>
          <w:p w14:paraId="7625127A">
            <w:pPr>
              <w:pStyle w:val="9"/>
              <w:jc w:val="center"/>
            </w:pPr>
          </w:p>
        </w:tc>
      </w:tr>
      <w:tr w14:paraId="3207F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0A9ECF81">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tcPr>
          <w:p w14:paraId="7CA99986">
            <w:pPr>
              <w:pStyle w:val="9"/>
              <w:jc w:val="center"/>
            </w:pPr>
          </w:p>
        </w:tc>
        <w:tc>
          <w:tcPr>
            <w:tcW w:w="2197" w:type="dxa"/>
            <w:gridSpan w:val="2"/>
          </w:tcPr>
          <w:p w14:paraId="6F3CF871">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eastAsia="宋体"/>
                <w:lang w:val="en-US" w:eastAsia="zh-CN"/>
              </w:rPr>
            </w:pPr>
          </w:p>
        </w:tc>
        <w:tc>
          <w:tcPr>
            <w:tcW w:w="1843" w:type="dxa"/>
            <w:gridSpan w:val="2"/>
          </w:tcPr>
          <w:p w14:paraId="63EA8D57">
            <w:pPr>
              <w:pStyle w:val="9"/>
              <w:jc w:val="center"/>
            </w:pPr>
          </w:p>
        </w:tc>
      </w:tr>
      <w:tr w14:paraId="60E6E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3331" w:type="dxa"/>
            <w:vMerge w:val="restart"/>
            <w:tcBorders>
              <w:bottom w:val="nil"/>
            </w:tcBorders>
          </w:tcPr>
          <w:p w14:paraId="4C75744C">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p>
          <w:p w14:paraId="1B475BAB">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tcPr>
          <w:p w14:paraId="2431140A">
            <w:pPr>
              <w:pStyle w:val="9"/>
              <w:jc w:val="center"/>
              <w:rPr>
                <w:lang w:eastAsia="zh-CN"/>
              </w:rPr>
            </w:pPr>
          </w:p>
        </w:tc>
        <w:tc>
          <w:tcPr>
            <w:tcW w:w="2197" w:type="dxa"/>
            <w:gridSpan w:val="2"/>
          </w:tcPr>
          <w:p w14:paraId="16105DF0">
            <w:pPr>
              <w:pStyle w:val="9"/>
              <w:jc w:val="center"/>
              <w:rPr>
                <w:lang w:eastAsia="zh-CN"/>
              </w:rPr>
            </w:pPr>
          </w:p>
        </w:tc>
        <w:tc>
          <w:tcPr>
            <w:tcW w:w="1843" w:type="dxa"/>
            <w:gridSpan w:val="2"/>
            <w:vMerge w:val="restart"/>
            <w:tcBorders>
              <w:bottom w:val="nil"/>
            </w:tcBorders>
          </w:tcPr>
          <w:p w14:paraId="03A18723">
            <w:pPr>
              <w:pStyle w:val="9"/>
              <w:jc w:val="center"/>
              <w:rPr>
                <w:lang w:eastAsia="zh-CN"/>
              </w:rPr>
            </w:pPr>
          </w:p>
        </w:tc>
      </w:tr>
      <w:tr w14:paraId="24589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3331" w:type="dxa"/>
            <w:vMerge w:val="continue"/>
            <w:tcBorders>
              <w:top w:val="nil"/>
            </w:tcBorders>
          </w:tcPr>
          <w:p w14:paraId="427F3B72">
            <w:pPr>
              <w:pStyle w:val="9"/>
              <w:rPr>
                <w:lang w:eastAsia="zh-CN"/>
              </w:rPr>
            </w:pPr>
          </w:p>
        </w:tc>
        <w:tc>
          <w:tcPr>
            <w:tcW w:w="2018" w:type="dxa"/>
            <w:gridSpan w:val="2"/>
          </w:tcPr>
          <w:p w14:paraId="37BCF87E">
            <w:pPr>
              <w:pStyle w:val="9"/>
              <w:spacing w:line="230" w:lineRule="exact"/>
              <w:jc w:val="center"/>
              <w:rPr>
                <w:sz w:val="20"/>
                <w:lang w:eastAsia="zh-CN"/>
              </w:rPr>
            </w:pPr>
          </w:p>
        </w:tc>
        <w:tc>
          <w:tcPr>
            <w:tcW w:w="2197" w:type="dxa"/>
            <w:gridSpan w:val="2"/>
          </w:tcPr>
          <w:p w14:paraId="6A75AF54">
            <w:pPr>
              <w:pStyle w:val="9"/>
              <w:spacing w:line="230" w:lineRule="exact"/>
              <w:jc w:val="center"/>
              <w:rPr>
                <w:sz w:val="20"/>
                <w:lang w:eastAsia="zh-CN"/>
              </w:rPr>
            </w:pPr>
          </w:p>
        </w:tc>
        <w:tc>
          <w:tcPr>
            <w:tcW w:w="1843" w:type="dxa"/>
            <w:gridSpan w:val="2"/>
            <w:vMerge w:val="continue"/>
            <w:tcBorders>
              <w:top w:val="nil"/>
            </w:tcBorders>
          </w:tcPr>
          <w:p w14:paraId="5D452190">
            <w:pPr>
              <w:pStyle w:val="9"/>
              <w:jc w:val="center"/>
              <w:rPr>
                <w:lang w:eastAsia="zh-CN"/>
              </w:rPr>
            </w:pPr>
          </w:p>
        </w:tc>
      </w:tr>
      <w:tr w14:paraId="56149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15D9A3B7">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tcPr>
          <w:p w14:paraId="725659B8">
            <w:pPr>
              <w:pStyle w:val="9"/>
              <w:spacing w:before="80"/>
              <w:jc w:val="center"/>
              <w:rPr>
                <w:lang w:eastAsia="zh-CN"/>
              </w:rPr>
            </w:pPr>
            <w:r>
              <w:rPr>
                <w:rFonts w:hint="eastAsia" w:eastAsia="宋体"/>
                <w:lang w:val="en-US" w:eastAsia="zh-CN"/>
              </w:rPr>
              <w:t>275.19</w:t>
            </w:r>
          </w:p>
        </w:tc>
        <w:tc>
          <w:tcPr>
            <w:tcW w:w="2197" w:type="dxa"/>
            <w:gridSpan w:val="2"/>
          </w:tcPr>
          <w:p w14:paraId="3CB38197">
            <w:pPr>
              <w:pStyle w:val="9"/>
              <w:spacing w:before="80"/>
              <w:jc w:val="center"/>
              <w:rPr>
                <w:rFonts w:hint="default"/>
                <w:lang w:val="en-US" w:eastAsia="zh-CN"/>
              </w:rPr>
            </w:pPr>
            <w:r>
              <w:rPr>
                <w:rFonts w:hint="eastAsia"/>
                <w:lang w:val="en-US" w:eastAsia="zh-CN"/>
              </w:rPr>
              <w:t>596</w:t>
            </w:r>
          </w:p>
        </w:tc>
        <w:tc>
          <w:tcPr>
            <w:tcW w:w="1843" w:type="dxa"/>
            <w:gridSpan w:val="2"/>
          </w:tcPr>
          <w:p w14:paraId="4B3C2F1A">
            <w:pPr>
              <w:pStyle w:val="9"/>
              <w:spacing w:before="80"/>
              <w:jc w:val="center"/>
              <w:rPr>
                <w:lang w:eastAsia="zh-CN"/>
              </w:rPr>
            </w:pPr>
            <w:r>
              <w:rPr>
                <w:rFonts w:hint="eastAsia" w:eastAsia="宋体"/>
                <w:lang w:val="en-US" w:eastAsia="zh-CN"/>
              </w:rPr>
              <w:t>427.75</w:t>
            </w:r>
          </w:p>
        </w:tc>
      </w:tr>
      <w:tr w14:paraId="634370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735D9A59">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tcPr>
          <w:p w14:paraId="2D86CF92">
            <w:pPr>
              <w:pStyle w:val="9"/>
              <w:jc w:val="center"/>
            </w:pPr>
          </w:p>
        </w:tc>
        <w:tc>
          <w:tcPr>
            <w:tcW w:w="2197" w:type="dxa"/>
            <w:gridSpan w:val="2"/>
          </w:tcPr>
          <w:p w14:paraId="7F5DB352">
            <w:pPr>
              <w:pStyle w:val="9"/>
              <w:jc w:val="center"/>
            </w:pPr>
          </w:p>
        </w:tc>
        <w:tc>
          <w:tcPr>
            <w:tcW w:w="1843" w:type="dxa"/>
            <w:gridSpan w:val="2"/>
          </w:tcPr>
          <w:p w14:paraId="18B6B071">
            <w:pPr>
              <w:pStyle w:val="9"/>
              <w:jc w:val="center"/>
            </w:pPr>
          </w:p>
        </w:tc>
      </w:tr>
      <w:tr w14:paraId="55EDA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882EDAE">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tcPr>
          <w:p w14:paraId="62415090">
            <w:pPr>
              <w:pStyle w:val="9"/>
              <w:spacing w:before="80"/>
              <w:jc w:val="center"/>
              <w:rPr>
                <w:rFonts w:hint="default" w:eastAsia="宋体"/>
                <w:lang w:val="en-US" w:eastAsia="zh-CN"/>
              </w:rPr>
            </w:pPr>
            <w:r>
              <w:rPr>
                <w:rFonts w:hint="eastAsia" w:eastAsia="宋体"/>
                <w:lang w:val="en-US" w:eastAsia="zh-CN"/>
              </w:rPr>
              <w:t>449.15</w:t>
            </w:r>
          </w:p>
        </w:tc>
        <w:tc>
          <w:tcPr>
            <w:tcW w:w="2197" w:type="dxa"/>
            <w:gridSpan w:val="2"/>
          </w:tcPr>
          <w:p w14:paraId="72D24593">
            <w:pPr>
              <w:pStyle w:val="9"/>
              <w:spacing w:before="80"/>
              <w:jc w:val="center"/>
              <w:rPr>
                <w:rFonts w:hint="default" w:eastAsia="宋体"/>
                <w:lang w:val="en-US" w:eastAsia="zh-CN"/>
              </w:rPr>
            </w:pPr>
            <w:r>
              <w:rPr>
                <w:rFonts w:hint="eastAsia" w:eastAsia="宋体"/>
                <w:lang w:val="en-US" w:eastAsia="zh-CN"/>
              </w:rPr>
              <w:t>52.84</w:t>
            </w:r>
          </w:p>
        </w:tc>
        <w:tc>
          <w:tcPr>
            <w:tcW w:w="1843" w:type="dxa"/>
            <w:gridSpan w:val="2"/>
          </w:tcPr>
          <w:p w14:paraId="0D85776A">
            <w:pPr>
              <w:pStyle w:val="9"/>
              <w:spacing w:before="80"/>
              <w:jc w:val="center"/>
              <w:rPr>
                <w:rFonts w:hint="default" w:eastAsia="宋体"/>
                <w:lang w:val="en-US" w:eastAsia="zh-CN"/>
              </w:rPr>
            </w:pPr>
            <w:r>
              <w:rPr>
                <w:rFonts w:hint="eastAsia" w:eastAsia="宋体"/>
                <w:lang w:val="en-US" w:eastAsia="zh-CN"/>
              </w:rPr>
              <w:t>257.43</w:t>
            </w:r>
          </w:p>
        </w:tc>
      </w:tr>
      <w:tr w14:paraId="655FBB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66B0A17C">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tcPr>
          <w:p w14:paraId="1515ABE5">
            <w:pPr>
              <w:pStyle w:val="9"/>
              <w:spacing w:before="80"/>
              <w:jc w:val="center"/>
              <w:rPr>
                <w:rFonts w:hint="default" w:eastAsia="宋体"/>
                <w:lang w:val="en-US" w:eastAsia="zh-CN"/>
              </w:rPr>
            </w:pPr>
            <w:r>
              <w:rPr>
                <w:rFonts w:hint="eastAsia" w:eastAsia="宋体"/>
                <w:lang w:val="en-US" w:eastAsia="zh-CN"/>
              </w:rPr>
              <w:t>224.18</w:t>
            </w:r>
          </w:p>
        </w:tc>
        <w:tc>
          <w:tcPr>
            <w:tcW w:w="2197" w:type="dxa"/>
            <w:gridSpan w:val="2"/>
          </w:tcPr>
          <w:p w14:paraId="306503C0">
            <w:pPr>
              <w:pStyle w:val="9"/>
              <w:spacing w:before="80"/>
              <w:jc w:val="center"/>
              <w:rPr>
                <w:rFonts w:hint="default" w:eastAsia="宋体"/>
                <w:lang w:val="en-US" w:eastAsia="zh-CN"/>
              </w:rPr>
            </w:pPr>
            <w:r>
              <w:rPr>
                <w:rFonts w:hint="eastAsia" w:eastAsia="宋体"/>
                <w:lang w:val="en-US" w:eastAsia="zh-CN"/>
              </w:rPr>
              <w:t>23</w:t>
            </w:r>
          </w:p>
        </w:tc>
        <w:tc>
          <w:tcPr>
            <w:tcW w:w="1843" w:type="dxa"/>
            <w:gridSpan w:val="2"/>
          </w:tcPr>
          <w:p w14:paraId="34528C33">
            <w:pPr>
              <w:pStyle w:val="9"/>
              <w:spacing w:before="80"/>
              <w:jc w:val="center"/>
              <w:rPr>
                <w:rFonts w:hint="default" w:eastAsia="宋体"/>
                <w:lang w:val="en-US" w:eastAsia="zh-CN"/>
              </w:rPr>
            </w:pPr>
            <w:r>
              <w:rPr>
                <w:rFonts w:hint="eastAsia" w:eastAsia="宋体"/>
                <w:lang w:val="en-US" w:eastAsia="zh-CN"/>
              </w:rPr>
              <w:t>33.6</w:t>
            </w:r>
          </w:p>
        </w:tc>
      </w:tr>
      <w:tr w14:paraId="35816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E43A513">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tcPr>
          <w:p w14:paraId="1EC77B05">
            <w:pPr>
              <w:pStyle w:val="9"/>
              <w:spacing w:before="80"/>
              <w:jc w:val="center"/>
              <w:rPr>
                <w:rFonts w:hint="default" w:eastAsia="宋体"/>
                <w:lang w:val="en-US" w:eastAsia="zh-CN"/>
              </w:rPr>
            </w:pPr>
            <w:r>
              <w:rPr>
                <w:rFonts w:hint="eastAsia" w:eastAsia="宋体"/>
                <w:lang w:val="en-US" w:eastAsia="zh-CN"/>
              </w:rPr>
              <w:t>7.15</w:t>
            </w:r>
          </w:p>
        </w:tc>
        <w:tc>
          <w:tcPr>
            <w:tcW w:w="2197" w:type="dxa"/>
            <w:gridSpan w:val="2"/>
          </w:tcPr>
          <w:p w14:paraId="6BC4CD33">
            <w:pPr>
              <w:pStyle w:val="9"/>
              <w:spacing w:before="80"/>
              <w:jc w:val="center"/>
              <w:rPr>
                <w:rFonts w:hint="default" w:eastAsia="宋体"/>
                <w:lang w:val="en-US" w:eastAsia="zh-CN"/>
              </w:rPr>
            </w:pPr>
            <w:r>
              <w:rPr>
                <w:rFonts w:hint="eastAsia" w:eastAsia="宋体"/>
                <w:lang w:val="en-US" w:eastAsia="zh-CN"/>
              </w:rPr>
              <w:t>6.92</w:t>
            </w:r>
          </w:p>
        </w:tc>
        <w:tc>
          <w:tcPr>
            <w:tcW w:w="1843" w:type="dxa"/>
            <w:gridSpan w:val="2"/>
          </w:tcPr>
          <w:p w14:paraId="2E997483">
            <w:pPr>
              <w:pStyle w:val="9"/>
              <w:spacing w:before="80"/>
              <w:jc w:val="center"/>
              <w:rPr>
                <w:rFonts w:hint="default" w:eastAsia="宋体"/>
                <w:lang w:val="en-US" w:eastAsia="zh-CN"/>
              </w:rPr>
            </w:pPr>
            <w:r>
              <w:rPr>
                <w:rFonts w:hint="eastAsia" w:eastAsia="宋体"/>
                <w:lang w:val="en-US" w:eastAsia="zh-CN"/>
              </w:rPr>
              <w:t>6.85</w:t>
            </w:r>
          </w:p>
        </w:tc>
      </w:tr>
      <w:tr w14:paraId="3F6BF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3AFA6938">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tcPr>
          <w:p w14:paraId="3C437405">
            <w:pPr>
              <w:pStyle w:val="9"/>
              <w:spacing w:before="80"/>
              <w:jc w:val="center"/>
              <w:rPr>
                <w:rFonts w:hint="default" w:eastAsia="宋体"/>
                <w:lang w:val="en-US" w:eastAsia="zh-CN"/>
              </w:rPr>
            </w:pPr>
            <w:r>
              <w:rPr>
                <w:rFonts w:hint="eastAsia" w:eastAsia="宋体"/>
                <w:lang w:val="en-US" w:eastAsia="zh-CN"/>
              </w:rPr>
              <w:t>1.1</w:t>
            </w:r>
          </w:p>
        </w:tc>
        <w:tc>
          <w:tcPr>
            <w:tcW w:w="2197" w:type="dxa"/>
            <w:gridSpan w:val="2"/>
          </w:tcPr>
          <w:p w14:paraId="443E1B89">
            <w:pPr>
              <w:pStyle w:val="9"/>
              <w:spacing w:before="80"/>
              <w:jc w:val="center"/>
              <w:rPr>
                <w:rFonts w:hint="eastAsia" w:eastAsia="宋体"/>
                <w:lang w:val="en-US" w:eastAsia="zh-CN"/>
              </w:rPr>
            </w:pPr>
            <w:r>
              <w:rPr>
                <w:rFonts w:hint="eastAsia" w:eastAsia="宋体"/>
                <w:lang w:val="en-US" w:eastAsia="zh-CN"/>
              </w:rPr>
              <w:t>0</w:t>
            </w:r>
          </w:p>
        </w:tc>
        <w:tc>
          <w:tcPr>
            <w:tcW w:w="1843" w:type="dxa"/>
            <w:gridSpan w:val="2"/>
          </w:tcPr>
          <w:p w14:paraId="701F59F0">
            <w:pPr>
              <w:pStyle w:val="9"/>
              <w:spacing w:before="80"/>
              <w:jc w:val="center"/>
              <w:rPr>
                <w:rFonts w:eastAsia="宋体"/>
                <w:lang w:eastAsia="zh-CN"/>
              </w:rPr>
            </w:pPr>
            <w:r>
              <w:rPr>
                <w:rFonts w:hint="eastAsia" w:eastAsia="宋体"/>
                <w:lang w:eastAsia="zh-CN"/>
              </w:rPr>
              <w:t>0</w:t>
            </w:r>
          </w:p>
        </w:tc>
      </w:tr>
      <w:tr w14:paraId="2D92D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A7F5335">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tcPr>
          <w:p w14:paraId="4F3CBFBE">
            <w:pPr>
              <w:pStyle w:val="9"/>
              <w:spacing w:before="80"/>
              <w:jc w:val="center"/>
            </w:pPr>
          </w:p>
        </w:tc>
        <w:tc>
          <w:tcPr>
            <w:tcW w:w="2197" w:type="dxa"/>
            <w:gridSpan w:val="2"/>
          </w:tcPr>
          <w:p w14:paraId="1DF49E24">
            <w:pPr>
              <w:pStyle w:val="9"/>
              <w:spacing w:before="80"/>
              <w:jc w:val="center"/>
            </w:pPr>
          </w:p>
        </w:tc>
        <w:tc>
          <w:tcPr>
            <w:tcW w:w="1843" w:type="dxa"/>
            <w:gridSpan w:val="2"/>
          </w:tcPr>
          <w:p w14:paraId="6D0DAA52">
            <w:pPr>
              <w:pStyle w:val="9"/>
              <w:spacing w:before="80"/>
              <w:jc w:val="center"/>
            </w:pPr>
          </w:p>
        </w:tc>
      </w:tr>
      <w:tr w14:paraId="0CE94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558D5E9">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tcPr>
          <w:p w14:paraId="1932F725">
            <w:pPr>
              <w:pStyle w:val="9"/>
              <w:spacing w:before="80"/>
              <w:jc w:val="center"/>
              <w:rPr>
                <w:lang w:eastAsia="zh-CN"/>
              </w:rPr>
            </w:pPr>
          </w:p>
        </w:tc>
        <w:tc>
          <w:tcPr>
            <w:tcW w:w="2197" w:type="dxa"/>
            <w:gridSpan w:val="2"/>
          </w:tcPr>
          <w:p w14:paraId="0161ECC4">
            <w:pPr>
              <w:pStyle w:val="9"/>
              <w:spacing w:before="80"/>
              <w:jc w:val="center"/>
              <w:rPr>
                <w:lang w:eastAsia="zh-CN"/>
              </w:rPr>
            </w:pPr>
          </w:p>
        </w:tc>
        <w:tc>
          <w:tcPr>
            <w:tcW w:w="1843" w:type="dxa"/>
            <w:gridSpan w:val="2"/>
          </w:tcPr>
          <w:p w14:paraId="275260F8">
            <w:pPr>
              <w:pStyle w:val="9"/>
              <w:spacing w:before="80"/>
              <w:jc w:val="center"/>
              <w:rPr>
                <w:lang w:eastAsia="zh-CN"/>
              </w:rPr>
            </w:pPr>
          </w:p>
        </w:tc>
      </w:tr>
      <w:tr w14:paraId="64997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77038B77">
            <w:pPr>
              <w:pStyle w:val="9"/>
              <w:spacing w:line="269" w:lineRule="auto"/>
              <w:rPr>
                <w:lang w:eastAsia="zh-CN"/>
              </w:rPr>
            </w:pPr>
          </w:p>
          <w:p w14:paraId="223A5603">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40ACFF98">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7A2036AD">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28A1867A">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4B40055C">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78C74DD7">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706B1E40">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4C945747">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5F62A98B">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03A62DE7">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48AB1C0D">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70CA9408">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034C1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703E3BFD">
            <w:pPr>
              <w:pStyle w:val="9"/>
            </w:pPr>
          </w:p>
        </w:tc>
        <w:tc>
          <w:tcPr>
            <w:tcW w:w="1169" w:type="dxa"/>
          </w:tcPr>
          <w:p w14:paraId="5FD1130B">
            <w:pPr>
              <w:pStyle w:val="9"/>
            </w:pPr>
          </w:p>
        </w:tc>
        <w:tc>
          <w:tcPr>
            <w:tcW w:w="849" w:type="dxa"/>
          </w:tcPr>
          <w:p w14:paraId="0202DD4B">
            <w:pPr>
              <w:pStyle w:val="9"/>
            </w:pPr>
          </w:p>
        </w:tc>
        <w:tc>
          <w:tcPr>
            <w:tcW w:w="1109" w:type="dxa"/>
          </w:tcPr>
          <w:p w14:paraId="2E366059">
            <w:pPr>
              <w:pStyle w:val="9"/>
            </w:pPr>
          </w:p>
        </w:tc>
        <w:tc>
          <w:tcPr>
            <w:tcW w:w="1088" w:type="dxa"/>
          </w:tcPr>
          <w:p w14:paraId="6170C771">
            <w:pPr>
              <w:pStyle w:val="9"/>
            </w:pPr>
          </w:p>
        </w:tc>
        <w:tc>
          <w:tcPr>
            <w:tcW w:w="969" w:type="dxa"/>
          </w:tcPr>
          <w:p w14:paraId="5519CCE3">
            <w:pPr>
              <w:pStyle w:val="9"/>
            </w:pPr>
          </w:p>
        </w:tc>
        <w:tc>
          <w:tcPr>
            <w:tcW w:w="874" w:type="dxa"/>
          </w:tcPr>
          <w:p w14:paraId="533410CD">
            <w:pPr>
              <w:pStyle w:val="9"/>
            </w:pPr>
          </w:p>
        </w:tc>
      </w:tr>
      <w:tr w14:paraId="3E564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73E2CA46">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3F994036">
            <w:pPr>
              <w:pStyle w:val="9"/>
              <w:keepNext w:val="0"/>
              <w:keepLines w:val="0"/>
              <w:pageBreakBefore w:val="0"/>
              <w:widowControl/>
              <w:kinsoku w:val="0"/>
              <w:wordWrap/>
              <w:overflowPunct/>
              <w:topLinePunct w:val="0"/>
              <w:autoSpaceDE w:val="0"/>
              <w:autoSpaceDN w:val="0"/>
              <w:bidi w:val="0"/>
              <w:adjustRightInd w:val="0"/>
              <w:snapToGrid w:val="0"/>
              <w:spacing w:before="120"/>
              <w:textAlignment w:val="baseline"/>
              <w:rPr>
                <w:rFonts w:eastAsia="宋体"/>
                <w:lang w:eastAsia="zh-CN"/>
              </w:rPr>
            </w:pPr>
            <w:r>
              <w:rPr>
                <w:rFonts w:hint="eastAsia" w:eastAsia="宋体"/>
                <w:lang w:eastAsia="zh-CN"/>
              </w:rPr>
              <w:t>压缩一切不必要开支，节约水电，办公提倡双面打印</w:t>
            </w:r>
          </w:p>
        </w:tc>
      </w:tr>
    </w:tbl>
    <w:p w14:paraId="6A860751">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435F08F5">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米雅琴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2024年11月12日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17775166093</w:t>
      </w:r>
    </w:p>
    <w:p w14:paraId="00BE1106">
      <w:pPr>
        <w:spacing w:line="242" w:lineRule="auto"/>
        <w:rPr>
          <w:lang w:eastAsia="zh-CN"/>
        </w:rPr>
      </w:pPr>
    </w:p>
    <w:p w14:paraId="409BB34E">
      <w:pPr>
        <w:spacing w:line="242" w:lineRule="auto"/>
        <w:rPr>
          <w:lang w:eastAsia="zh-CN"/>
        </w:rPr>
      </w:pPr>
    </w:p>
    <w:p w14:paraId="0236DA92">
      <w:pPr>
        <w:spacing w:line="242" w:lineRule="auto"/>
        <w:rPr>
          <w:lang w:eastAsia="zh-CN"/>
        </w:rPr>
      </w:pPr>
    </w:p>
    <w:p w14:paraId="0F48389F">
      <w:pPr>
        <w:spacing w:line="242" w:lineRule="auto"/>
        <w:rPr>
          <w:lang w:eastAsia="zh-CN"/>
        </w:rPr>
      </w:pPr>
    </w:p>
    <w:p w14:paraId="75476904">
      <w:pPr>
        <w:pStyle w:val="2"/>
        <w:spacing w:before="100" w:line="222" w:lineRule="auto"/>
        <w:ind w:left="414"/>
        <w:rPr>
          <w:sz w:val="24"/>
          <w:szCs w:val="24"/>
          <w:lang w:eastAsia="zh-CN"/>
        </w:rPr>
      </w:pPr>
      <w:r>
        <w:rPr>
          <w:spacing w:val="15"/>
          <w:sz w:val="24"/>
          <w:szCs w:val="24"/>
          <w:lang w:eastAsia="zh-CN"/>
        </w:rPr>
        <w:t>附件1-2</w:t>
      </w:r>
    </w:p>
    <w:p w14:paraId="34199841">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8"/>
        <w:tblW w:w="931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88"/>
        <w:gridCol w:w="1129"/>
        <w:gridCol w:w="699"/>
        <w:gridCol w:w="449"/>
        <w:gridCol w:w="1286"/>
      </w:tblGrid>
      <w:tr w14:paraId="381B4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tcPr>
          <w:p w14:paraId="0A526AB4">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168" w:type="dxa"/>
            <w:gridSpan w:val="8"/>
          </w:tcPr>
          <w:p w14:paraId="25889883">
            <w:pPr>
              <w:pStyle w:val="9"/>
              <w:spacing w:before="80"/>
              <w:rPr>
                <w:rFonts w:eastAsia="宋体"/>
                <w:lang w:eastAsia="zh-CN"/>
              </w:rPr>
            </w:pPr>
            <w:r>
              <w:rPr>
                <w:rFonts w:hint="eastAsia" w:eastAsia="宋体"/>
                <w:lang w:eastAsia="zh-CN"/>
              </w:rPr>
              <w:t>怀化市鹤城区黄岩旅游度假区管理处</w:t>
            </w:r>
          </w:p>
        </w:tc>
      </w:tr>
      <w:tr w14:paraId="37E12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26EBC868">
            <w:pPr>
              <w:pStyle w:val="9"/>
              <w:spacing w:line="244" w:lineRule="auto"/>
              <w:rPr>
                <w:lang w:eastAsia="zh-CN"/>
              </w:rPr>
            </w:pPr>
          </w:p>
          <w:p w14:paraId="4D799D1F">
            <w:pPr>
              <w:pStyle w:val="9"/>
              <w:spacing w:line="244" w:lineRule="auto"/>
              <w:rPr>
                <w:lang w:eastAsia="zh-CN"/>
              </w:rPr>
            </w:pPr>
          </w:p>
          <w:p w14:paraId="23E9B489">
            <w:pPr>
              <w:pStyle w:val="9"/>
              <w:spacing w:line="245" w:lineRule="auto"/>
              <w:rPr>
                <w:lang w:eastAsia="zh-CN"/>
              </w:rPr>
            </w:pPr>
          </w:p>
          <w:p w14:paraId="4ADDEB67">
            <w:pPr>
              <w:pStyle w:val="9"/>
              <w:spacing w:line="245" w:lineRule="auto"/>
              <w:rPr>
                <w:lang w:eastAsia="zh-CN"/>
              </w:rPr>
            </w:pPr>
          </w:p>
          <w:p w14:paraId="1221A100">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tcPr>
          <w:p w14:paraId="3C2D7524">
            <w:pPr>
              <w:pStyle w:val="9"/>
            </w:pPr>
          </w:p>
        </w:tc>
        <w:tc>
          <w:tcPr>
            <w:tcW w:w="1039" w:type="dxa"/>
          </w:tcPr>
          <w:p w14:paraId="3D850982">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88" w:type="dxa"/>
          </w:tcPr>
          <w:p w14:paraId="0C086DE9">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129" w:type="dxa"/>
          </w:tcPr>
          <w:p w14:paraId="551BAF67">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99" w:type="dxa"/>
          </w:tcPr>
          <w:p w14:paraId="116E4116">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618CEDAC">
            <w:pPr>
              <w:spacing w:before="139" w:line="200" w:lineRule="auto"/>
              <w:ind w:left="50"/>
              <w:rPr>
                <w:rFonts w:ascii="宋体" w:hAnsi="宋体" w:eastAsia="宋体" w:cs="宋体"/>
                <w:sz w:val="20"/>
                <w:szCs w:val="20"/>
              </w:rPr>
            </w:pPr>
            <w:r>
              <w:rPr>
                <w:rFonts w:ascii="宋体" w:hAnsi="宋体" w:eastAsia="宋体" w:cs="宋体"/>
                <w:sz w:val="20"/>
                <w:szCs w:val="20"/>
              </w:rPr>
              <w:t>执行率</w:t>
            </w:r>
          </w:p>
        </w:tc>
        <w:tc>
          <w:tcPr>
            <w:tcW w:w="1286" w:type="dxa"/>
          </w:tcPr>
          <w:p w14:paraId="6FF58298">
            <w:pPr>
              <w:spacing w:before="269" w:line="219" w:lineRule="auto"/>
              <w:ind w:left="388"/>
              <w:rPr>
                <w:rFonts w:ascii="宋体" w:hAnsi="宋体" w:eastAsia="宋体" w:cs="宋体"/>
                <w:sz w:val="20"/>
                <w:szCs w:val="20"/>
              </w:rPr>
            </w:pPr>
            <w:r>
              <w:rPr>
                <w:rFonts w:ascii="宋体" w:hAnsi="宋体" w:eastAsia="宋体" w:cs="宋体"/>
                <w:spacing w:val="-3"/>
                <w:sz w:val="20"/>
                <w:szCs w:val="20"/>
              </w:rPr>
              <w:t>得分</w:t>
            </w:r>
          </w:p>
        </w:tc>
      </w:tr>
      <w:tr w14:paraId="6AF3C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783B74E3">
            <w:pPr>
              <w:pStyle w:val="9"/>
            </w:pPr>
          </w:p>
        </w:tc>
        <w:tc>
          <w:tcPr>
            <w:tcW w:w="2278" w:type="dxa"/>
            <w:gridSpan w:val="2"/>
          </w:tcPr>
          <w:p w14:paraId="4CD52E20">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tcPr>
          <w:p w14:paraId="444ED412">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ascii="宋体" w:hAnsi="宋体" w:eastAsia="宋体" w:cs="宋体"/>
                <w:snapToGrid w:val="0"/>
                <w:color w:val="000000"/>
                <w:spacing w:val="-1"/>
                <w:sz w:val="20"/>
                <w:szCs w:val="20"/>
                <w:lang w:val="en-US" w:eastAsia="zh-CN" w:bidi="ar-SA"/>
              </w:rPr>
            </w:pPr>
            <w:r>
              <w:rPr>
                <w:rFonts w:hint="eastAsia" w:ascii="宋体" w:hAnsi="宋体" w:eastAsia="宋体" w:cs="宋体"/>
                <w:snapToGrid w:val="0"/>
                <w:color w:val="000000"/>
                <w:spacing w:val="-1"/>
                <w:sz w:val="20"/>
                <w:szCs w:val="20"/>
                <w:lang w:val="en-US" w:eastAsia="zh-CN" w:bidi="ar-SA"/>
              </w:rPr>
              <w:t>1619.37</w:t>
            </w:r>
          </w:p>
        </w:tc>
        <w:tc>
          <w:tcPr>
            <w:tcW w:w="1288" w:type="dxa"/>
          </w:tcPr>
          <w:p w14:paraId="0FB21BC5">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ascii="宋体" w:hAnsi="宋体" w:eastAsia="宋体" w:cs="宋体"/>
                <w:snapToGrid w:val="0"/>
                <w:color w:val="000000"/>
                <w:spacing w:val="-1"/>
                <w:sz w:val="20"/>
                <w:szCs w:val="20"/>
                <w:lang w:val="en-US" w:eastAsia="zh-CN" w:bidi="ar-SA"/>
              </w:rPr>
            </w:pPr>
            <w:r>
              <w:rPr>
                <w:rFonts w:hint="eastAsia" w:ascii="宋体" w:hAnsi="宋体" w:eastAsia="宋体" w:cs="宋体"/>
                <w:snapToGrid w:val="0"/>
                <w:color w:val="000000"/>
                <w:spacing w:val="-1"/>
                <w:sz w:val="20"/>
                <w:szCs w:val="20"/>
                <w:lang w:val="en-US" w:eastAsia="zh-CN" w:bidi="ar-SA"/>
              </w:rPr>
              <w:t>1786.04</w:t>
            </w:r>
          </w:p>
        </w:tc>
        <w:tc>
          <w:tcPr>
            <w:tcW w:w="1129" w:type="dxa"/>
          </w:tcPr>
          <w:p w14:paraId="429EC17C">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eastAsia" w:ascii="宋体" w:hAnsi="宋体" w:eastAsia="宋体" w:cs="宋体"/>
                <w:snapToGrid w:val="0"/>
                <w:color w:val="000000"/>
                <w:spacing w:val="-1"/>
                <w:sz w:val="20"/>
                <w:szCs w:val="20"/>
                <w:lang w:val="en-US" w:eastAsia="zh-CN" w:bidi="ar-SA"/>
              </w:rPr>
            </w:pPr>
            <w:r>
              <w:rPr>
                <w:rFonts w:hint="eastAsia" w:ascii="宋体" w:hAnsi="宋体" w:eastAsia="宋体" w:cs="宋体"/>
                <w:snapToGrid w:val="0"/>
                <w:color w:val="000000"/>
                <w:spacing w:val="-1"/>
                <w:sz w:val="20"/>
                <w:szCs w:val="20"/>
                <w:lang w:val="en-US" w:eastAsia="zh-CN" w:bidi="ar-SA"/>
              </w:rPr>
              <w:t>1786.04</w:t>
            </w:r>
          </w:p>
        </w:tc>
        <w:tc>
          <w:tcPr>
            <w:tcW w:w="699" w:type="dxa"/>
          </w:tcPr>
          <w:p w14:paraId="2FB7313A">
            <w:pPr>
              <w:keepNext w:val="0"/>
              <w:keepLines w:val="0"/>
              <w:pageBreakBefore w:val="0"/>
              <w:widowControl/>
              <w:kinsoku w:val="0"/>
              <w:wordWrap/>
              <w:overflowPunct/>
              <w:topLinePunct w:val="0"/>
              <w:autoSpaceDE w:val="0"/>
              <w:autoSpaceDN w:val="0"/>
              <w:bidi w:val="0"/>
              <w:adjustRightInd w:val="0"/>
              <w:snapToGrid w:val="0"/>
              <w:spacing w:before="160" w:line="185" w:lineRule="auto"/>
              <w:ind w:left="249"/>
              <w:jc w:val="both"/>
              <w:textAlignment w:val="baseline"/>
              <w:rPr>
                <w:rFonts w:hint="eastAsia" w:ascii="宋体" w:hAnsi="宋体" w:eastAsia="宋体" w:cs="宋体"/>
                <w:snapToGrid w:val="0"/>
                <w:color w:val="000000"/>
                <w:spacing w:val="-1"/>
                <w:sz w:val="20"/>
                <w:szCs w:val="20"/>
                <w:lang w:val="en-US" w:eastAsia="zh-CN" w:bidi="ar-SA"/>
              </w:rPr>
            </w:pPr>
            <w:r>
              <w:rPr>
                <w:rFonts w:hint="eastAsia" w:ascii="宋体" w:hAnsi="宋体" w:eastAsia="宋体" w:cs="宋体"/>
                <w:snapToGrid w:val="0"/>
                <w:color w:val="000000"/>
                <w:spacing w:val="-1"/>
                <w:sz w:val="20"/>
                <w:szCs w:val="20"/>
                <w:lang w:val="en-US" w:eastAsia="zh-CN" w:bidi="ar-SA"/>
              </w:rPr>
              <w:t>10</w:t>
            </w:r>
          </w:p>
        </w:tc>
        <w:tc>
          <w:tcPr>
            <w:tcW w:w="449" w:type="dxa"/>
          </w:tcPr>
          <w:p w14:paraId="6A03CCA2">
            <w:pPr>
              <w:pStyle w:val="9"/>
              <w:jc w:val="left"/>
              <w:rPr>
                <w:rFonts w:hint="eastAsia" w:ascii="宋体" w:hAnsi="宋体" w:eastAsia="宋体" w:cs="宋体"/>
                <w:snapToGrid w:val="0"/>
                <w:color w:val="000000"/>
                <w:spacing w:val="-1"/>
                <w:sz w:val="20"/>
                <w:szCs w:val="20"/>
                <w:lang w:val="en-US" w:eastAsia="zh-CN" w:bidi="ar-SA"/>
              </w:rPr>
            </w:pPr>
            <w:r>
              <w:rPr>
                <w:rFonts w:hint="eastAsia" w:ascii="宋体" w:hAnsi="宋体" w:eastAsia="宋体" w:cs="宋体"/>
                <w:snapToGrid w:val="0"/>
                <w:color w:val="000000"/>
                <w:spacing w:val="-1"/>
                <w:sz w:val="20"/>
                <w:szCs w:val="20"/>
                <w:lang w:val="en-US" w:eastAsia="zh-CN" w:bidi="ar-SA"/>
              </w:rPr>
              <w:t>1</w:t>
            </w:r>
            <w:r>
              <w:rPr>
                <w:rFonts w:hint="eastAsia" w:ascii="宋体" w:hAnsi="宋体" w:eastAsia="宋体" w:cs="宋体"/>
                <w:snapToGrid w:val="0"/>
                <w:color w:val="000000"/>
                <w:spacing w:val="-1"/>
                <w:sz w:val="20"/>
                <w:szCs w:val="20"/>
                <w:lang w:val="en-US" w:eastAsia="zh-CN" w:bidi="ar-SA"/>
              </w:rPr>
              <w:t>00%</w:t>
            </w:r>
          </w:p>
        </w:tc>
        <w:tc>
          <w:tcPr>
            <w:tcW w:w="1286" w:type="dxa"/>
          </w:tcPr>
          <w:p w14:paraId="0464EA4D">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ascii="宋体" w:hAnsi="宋体" w:eastAsia="宋体" w:cs="宋体"/>
                <w:snapToGrid w:val="0"/>
                <w:color w:val="000000"/>
                <w:spacing w:val="-1"/>
                <w:sz w:val="20"/>
                <w:szCs w:val="20"/>
                <w:lang w:val="en-US" w:eastAsia="zh-CN" w:bidi="ar-SA"/>
              </w:rPr>
            </w:pPr>
            <w:r>
              <w:rPr>
                <w:rFonts w:hint="eastAsia" w:ascii="宋体" w:hAnsi="宋体" w:eastAsia="宋体" w:cs="宋体"/>
                <w:snapToGrid w:val="0"/>
                <w:color w:val="000000"/>
                <w:spacing w:val="-1"/>
                <w:sz w:val="20"/>
                <w:szCs w:val="20"/>
                <w:lang w:val="en-US" w:eastAsia="zh-CN" w:bidi="ar-SA"/>
              </w:rPr>
              <w:t>10</w:t>
            </w:r>
          </w:p>
        </w:tc>
      </w:tr>
      <w:tr w14:paraId="5F43A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5157EE99">
            <w:pPr>
              <w:pStyle w:val="9"/>
            </w:pPr>
          </w:p>
        </w:tc>
        <w:tc>
          <w:tcPr>
            <w:tcW w:w="4605" w:type="dxa"/>
            <w:gridSpan w:val="4"/>
          </w:tcPr>
          <w:p w14:paraId="7537EFA0">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563" w:type="dxa"/>
            <w:gridSpan w:val="4"/>
          </w:tcPr>
          <w:p w14:paraId="3E751109">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2D608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52DD0FF">
            <w:pPr>
              <w:pStyle w:val="9"/>
            </w:pPr>
          </w:p>
        </w:tc>
        <w:tc>
          <w:tcPr>
            <w:tcW w:w="4605" w:type="dxa"/>
            <w:gridSpan w:val="4"/>
          </w:tcPr>
          <w:p w14:paraId="38A338B4">
            <w:pPr>
              <w:spacing w:before="70" w:line="219" w:lineRule="auto"/>
              <w:ind w:left="331"/>
              <w:rPr>
                <w:rFonts w:ascii="宋体" w:hAnsi="宋体" w:eastAsia="宋体" w:cs="宋体"/>
                <w:sz w:val="20"/>
                <w:szCs w:val="20"/>
                <w:lang w:eastAsia="zh-CN"/>
              </w:rPr>
            </w:pPr>
            <w:r>
              <w:rPr>
                <w:rFonts w:ascii="宋体" w:hAnsi="宋体" w:eastAsia="宋体" w:cs="宋体"/>
                <w:spacing w:val="-3"/>
                <w:sz w:val="20"/>
                <w:szCs w:val="20"/>
                <w:lang w:eastAsia="zh-CN"/>
              </w:rPr>
              <w:t>其中：一般公共预算：</w:t>
            </w:r>
            <w:r>
              <w:rPr>
                <w:rFonts w:hint="eastAsia" w:ascii="宋体" w:hAnsi="宋体" w:eastAsia="宋体" w:cs="宋体"/>
                <w:spacing w:val="-1"/>
                <w:sz w:val="20"/>
                <w:szCs w:val="20"/>
                <w:lang w:val="en-US" w:eastAsia="zh-CN"/>
              </w:rPr>
              <w:t>1786.04</w:t>
            </w:r>
          </w:p>
        </w:tc>
        <w:tc>
          <w:tcPr>
            <w:tcW w:w="3563" w:type="dxa"/>
            <w:gridSpan w:val="4"/>
          </w:tcPr>
          <w:p w14:paraId="288A7894">
            <w:pPr>
              <w:spacing w:before="68" w:line="219" w:lineRule="auto"/>
              <w:ind w:left="95"/>
              <w:rPr>
                <w:rFonts w:hint="default" w:ascii="宋体" w:hAnsi="宋体" w:eastAsia="宋体" w:cs="宋体"/>
                <w:sz w:val="20"/>
                <w:szCs w:val="20"/>
                <w:lang w:val="en-US" w:eastAsia="zh-CN"/>
              </w:rPr>
            </w:pPr>
            <w:r>
              <w:rPr>
                <w:rFonts w:ascii="宋体" w:hAnsi="宋体" w:eastAsia="宋体" w:cs="宋体"/>
                <w:sz w:val="20"/>
                <w:szCs w:val="20"/>
              </w:rPr>
              <w:t>其中：基本支出：</w:t>
            </w:r>
            <w:r>
              <w:rPr>
                <w:rFonts w:hint="eastAsia" w:ascii="宋体" w:hAnsi="宋体" w:eastAsia="宋体" w:cs="宋体"/>
                <w:spacing w:val="-1"/>
                <w:sz w:val="20"/>
                <w:szCs w:val="20"/>
                <w:lang w:val="en-US" w:eastAsia="zh-CN"/>
              </w:rPr>
              <w:t>1358.29</w:t>
            </w:r>
          </w:p>
        </w:tc>
      </w:tr>
      <w:tr w14:paraId="3076B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269CE655">
            <w:pPr>
              <w:pStyle w:val="9"/>
            </w:pPr>
          </w:p>
        </w:tc>
        <w:tc>
          <w:tcPr>
            <w:tcW w:w="4605" w:type="dxa"/>
            <w:gridSpan w:val="4"/>
          </w:tcPr>
          <w:p w14:paraId="700E20F9">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563" w:type="dxa"/>
            <w:gridSpan w:val="4"/>
          </w:tcPr>
          <w:p w14:paraId="292D4895">
            <w:pPr>
              <w:spacing w:before="70" w:line="220" w:lineRule="auto"/>
              <w:ind w:left="715"/>
              <w:rPr>
                <w:rFonts w:hint="default" w:ascii="宋体" w:hAnsi="宋体" w:eastAsia="宋体" w:cs="宋体"/>
                <w:sz w:val="20"/>
                <w:szCs w:val="20"/>
                <w:lang w:val="en-US" w:eastAsia="zh-CN"/>
              </w:rPr>
            </w:pPr>
            <w:r>
              <w:rPr>
                <w:rFonts w:ascii="宋体" w:hAnsi="宋体" w:eastAsia="宋体" w:cs="宋体"/>
                <w:spacing w:val="-1"/>
                <w:sz w:val="20"/>
                <w:szCs w:val="20"/>
              </w:rPr>
              <w:t>项目支出：</w:t>
            </w:r>
            <w:r>
              <w:rPr>
                <w:rFonts w:hint="eastAsia" w:ascii="宋体" w:hAnsi="宋体" w:eastAsia="宋体" w:cs="宋体"/>
                <w:sz w:val="20"/>
                <w:szCs w:val="20"/>
                <w:lang w:val="en-US" w:eastAsia="zh-CN"/>
              </w:rPr>
              <w:t>427.75</w:t>
            </w:r>
          </w:p>
        </w:tc>
      </w:tr>
      <w:tr w14:paraId="4DEB8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65C755CD">
            <w:pPr>
              <w:pStyle w:val="9"/>
            </w:pPr>
          </w:p>
        </w:tc>
        <w:tc>
          <w:tcPr>
            <w:tcW w:w="4605" w:type="dxa"/>
            <w:gridSpan w:val="4"/>
          </w:tcPr>
          <w:p w14:paraId="6EF24AE8">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563" w:type="dxa"/>
            <w:gridSpan w:val="4"/>
          </w:tcPr>
          <w:p w14:paraId="0C9123DC">
            <w:pPr>
              <w:pStyle w:val="9"/>
              <w:rPr>
                <w:lang w:eastAsia="zh-CN"/>
              </w:rPr>
            </w:pPr>
          </w:p>
        </w:tc>
      </w:tr>
      <w:tr w14:paraId="7CA15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7B037EE8">
            <w:pPr>
              <w:pStyle w:val="9"/>
              <w:rPr>
                <w:lang w:eastAsia="zh-CN"/>
              </w:rPr>
            </w:pPr>
          </w:p>
        </w:tc>
        <w:tc>
          <w:tcPr>
            <w:tcW w:w="4605" w:type="dxa"/>
            <w:gridSpan w:val="4"/>
          </w:tcPr>
          <w:p w14:paraId="59693D5D">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p>
        </w:tc>
        <w:tc>
          <w:tcPr>
            <w:tcW w:w="3563" w:type="dxa"/>
            <w:gridSpan w:val="4"/>
          </w:tcPr>
          <w:p w14:paraId="73F642AD">
            <w:pPr>
              <w:pStyle w:val="9"/>
            </w:pPr>
          </w:p>
        </w:tc>
      </w:tr>
      <w:tr w14:paraId="1B91E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1393D69C">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tcPr>
          <w:p w14:paraId="269365A8">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563" w:type="dxa"/>
            <w:gridSpan w:val="4"/>
          </w:tcPr>
          <w:p w14:paraId="53D3031D">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67683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144" w:type="dxa"/>
            <w:vMerge w:val="continue"/>
            <w:tcBorders>
              <w:top w:val="nil"/>
            </w:tcBorders>
          </w:tcPr>
          <w:p w14:paraId="09007C17">
            <w:pPr>
              <w:pStyle w:val="9"/>
            </w:pPr>
          </w:p>
        </w:tc>
        <w:tc>
          <w:tcPr>
            <w:tcW w:w="4605" w:type="dxa"/>
            <w:gridSpan w:val="4"/>
          </w:tcPr>
          <w:p w14:paraId="7A0DFFF7">
            <w:pPr>
              <w:pStyle w:val="9"/>
              <w:spacing w:line="230" w:lineRule="exact"/>
              <w:rPr>
                <w:rFonts w:hint="eastAsia" w:eastAsia="宋体"/>
                <w:sz w:val="20"/>
                <w:lang w:eastAsia="zh-CN"/>
              </w:rPr>
            </w:pPr>
            <w:r>
              <w:rPr>
                <w:rFonts w:hint="eastAsia" w:eastAsia="宋体"/>
                <w:sz w:val="20"/>
                <w:lang w:eastAsia="zh-CN"/>
              </w:rPr>
              <w:t>黄岩管理处有效履职</w:t>
            </w:r>
          </w:p>
        </w:tc>
        <w:tc>
          <w:tcPr>
            <w:tcW w:w="3563" w:type="dxa"/>
            <w:gridSpan w:val="4"/>
          </w:tcPr>
          <w:p w14:paraId="0555F18B">
            <w:pPr>
              <w:pStyle w:val="9"/>
              <w:spacing w:line="230" w:lineRule="exact"/>
              <w:rPr>
                <w:rFonts w:hint="eastAsia" w:eastAsia="宋体"/>
                <w:sz w:val="20"/>
                <w:lang w:eastAsia="zh-CN"/>
              </w:rPr>
            </w:pPr>
            <w:r>
              <w:rPr>
                <w:rFonts w:hint="eastAsia" w:eastAsia="宋体"/>
                <w:sz w:val="20"/>
                <w:lang w:eastAsia="zh-CN"/>
              </w:rPr>
              <w:t>有效履职，服务群众水平得到提高</w:t>
            </w:r>
          </w:p>
        </w:tc>
      </w:tr>
      <w:tr w14:paraId="3B977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textDirection w:val="tbRlV"/>
          </w:tcPr>
          <w:p w14:paraId="1ACBA454">
            <w:pPr>
              <w:pStyle w:val="9"/>
              <w:spacing w:line="396" w:lineRule="auto"/>
            </w:pPr>
          </w:p>
          <w:p w14:paraId="1CB1A1D9">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tcPr>
          <w:p w14:paraId="17EE1DD7">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tcPr>
          <w:p w14:paraId="2CAF2EAA">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tcPr>
          <w:p w14:paraId="6158DDAE">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88" w:type="dxa"/>
          </w:tcPr>
          <w:p w14:paraId="438807D1">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29" w:type="dxa"/>
          </w:tcPr>
          <w:p w14:paraId="0D7FCAAF">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99" w:type="dxa"/>
          </w:tcPr>
          <w:p w14:paraId="2FD88127">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2E94B8B2">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286" w:type="dxa"/>
          </w:tcPr>
          <w:p w14:paraId="55EAD999">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19A0BCD5">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12A67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144" w:type="dxa"/>
            <w:vMerge w:val="continue"/>
            <w:tcBorders>
              <w:top w:val="nil"/>
              <w:bottom w:val="nil"/>
            </w:tcBorders>
            <w:textDirection w:val="tbRlV"/>
          </w:tcPr>
          <w:p w14:paraId="23BA7A7E">
            <w:pPr>
              <w:pStyle w:val="9"/>
              <w:rPr>
                <w:lang w:eastAsia="zh-CN"/>
              </w:rPr>
            </w:pPr>
          </w:p>
        </w:tc>
        <w:tc>
          <w:tcPr>
            <w:tcW w:w="1169" w:type="dxa"/>
            <w:vMerge w:val="restart"/>
            <w:tcBorders>
              <w:bottom w:val="nil"/>
            </w:tcBorders>
          </w:tcPr>
          <w:p w14:paraId="3048FA67">
            <w:pPr>
              <w:pStyle w:val="9"/>
              <w:spacing w:line="277" w:lineRule="auto"/>
              <w:rPr>
                <w:lang w:eastAsia="zh-CN"/>
              </w:rPr>
            </w:pPr>
          </w:p>
          <w:p w14:paraId="204E63B2">
            <w:pPr>
              <w:pStyle w:val="9"/>
              <w:spacing w:line="277" w:lineRule="auto"/>
              <w:rPr>
                <w:lang w:eastAsia="zh-CN"/>
              </w:rPr>
            </w:pPr>
          </w:p>
          <w:p w14:paraId="713347BC">
            <w:pPr>
              <w:pStyle w:val="9"/>
              <w:spacing w:line="278" w:lineRule="auto"/>
              <w:rPr>
                <w:lang w:eastAsia="zh-CN"/>
              </w:rPr>
            </w:pPr>
          </w:p>
          <w:p w14:paraId="68FA4957">
            <w:pPr>
              <w:pStyle w:val="9"/>
              <w:spacing w:line="278" w:lineRule="auto"/>
              <w:rPr>
                <w:lang w:eastAsia="zh-CN"/>
              </w:rPr>
            </w:pPr>
          </w:p>
          <w:p w14:paraId="37A5C286">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3A0166E4">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tcBorders>
              <w:bottom w:val="nil"/>
            </w:tcBorders>
          </w:tcPr>
          <w:p w14:paraId="3F5E7998">
            <w:pPr>
              <w:spacing w:before="161" w:line="212" w:lineRule="auto"/>
              <w:ind w:left="341" w:right="366"/>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pacing w:val="-6"/>
                <w:sz w:val="20"/>
                <w:szCs w:val="20"/>
              </w:rPr>
              <w:t>指标</w:t>
            </w:r>
          </w:p>
        </w:tc>
        <w:tc>
          <w:tcPr>
            <w:tcW w:w="1039" w:type="dxa"/>
            <w:vAlign w:val="center"/>
          </w:tcPr>
          <w:p w14:paraId="72B1749E">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全额完成本级行政区域工作任务</w:t>
            </w:r>
          </w:p>
        </w:tc>
        <w:tc>
          <w:tcPr>
            <w:tcW w:w="1288" w:type="dxa"/>
            <w:vAlign w:val="center"/>
          </w:tcPr>
          <w:p w14:paraId="115E7629">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100%</w:t>
            </w:r>
          </w:p>
        </w:tc>
        <w:tc>
          <w:tcPr>
            <w:tcW w:w="1129" w:type="dxa"/>
            <w:vAlign w:val="center"/>
          </w:tcPr>
          <w:p w14:paraId="5F61C23B">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100%</w:t>
            </w:r>
          </w:p>
        </w:tc>
        <w:tc>
          <w:tcPr>
            <w:tcW w:w="699" w:type="dxa"/>
            <w:vAlign w:val="center"/>
          </w:tcPr>
          <w:p w14:paraId="0244DEBE">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27FFC677">
            <w:pPr>
              <w:keepNext w:val="0"/>
              <w:keepLines w:val="0"/>
              <w:widowControl/>
              <w:suppressLineNumbers w:val="0"/>
              <w:spacing w:before="0" w:beforeAutospacing="0" w:after="0" w:afterAutospacing="0" w:line="240" w:lineRule="exact"/>
              <w:ind w:left="0" w:leftChars="0" w:right="0" w:rightChars="0"/>
              <w:jc w:val="center"/>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1286" w:type="dxa"/>
          </w:tcPr>
          <w:p w14:paraId="727F7E3F">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5B526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6FC8DBDA">
            <w:pPr>
              <w:pStyle w:val="9"/>
            </w:pPr>
          </w:p>
        </w:tc>
        <w:tc>
          <w:tcPr>
            <w:tcW w:w="1169" w:type="dxa"/>
            <w:vMerge w:val="continue"/>
            <w:tcBorders>
              <w:top w:val="nil"/>
              <w:bottom w:val="nil"/>
            </w:tcBorders>
          </w:tcPr>
          <w:p w14:paraId="5C7E47E3">
            <w:pPr>
              <w:pStyle w:val="9"/>
            </w:pPr>
          </w:p>
        </w:tc>
        <w:tc>
          <w:tcPr>
            <w:tcW w:w="1109" w:type="dxa"/>
            <w:tcBorders>
              <w:bottom w:val="nil"/>
            </w:tcBorders>
          </w:tcPr>
          <w:p w14:paraId="6B5A0DA9">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1039" w:type="dxa"/>
            <w:vAlign w:val="center"/>
          </w:tcPr>
          <w:p w14:paraId="5633816D">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按照年初绩效目标，合理安排资金使用</w:t>
            </w:r>
          </w:p>
        </w:tc>
        <w:tc>
          <w:tcPr>
            <w:tcW w:w="1288" w:type="dxa"/>
            <w:vAlign w:val="center"/>
          </w:tcPr>
          <w:p w14:paraId="367B495E">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合理</w:t>
            </w:r>
          </w:p>
        </w:tc>
        <w:tc>
          <w:tcPr>
            <w:tcW w:w="1129" w:type="dxa"/>
            <w:vAlign w:val="center"/>
          </w:tcPr>
          <w:p w14:paraId="08D1C4C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严格按照资金用途，在预算范围内合理支出</w:t>
            </w:r>
          </w:p>
        </w:tc>
        <w:tc>
          <w:tcPr>
            <w:tcW w:w="699" w:type="dxa"/>
            <w:vAlign w:val="center"/>
          </w:tcPr>
          <w:p w14:paraId="0B04731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20</w:t>
            </w:r>
          </w:p>
        </w:tc>
        <w:tc>
          <w:tcPr>
            <w:tcW w:w="449" w:type="dxa"/>
            <w:vAlign w:val="center"/>
          </w:tcPr>
          <w:p w14:paraId="01F967F1">
            <w:pPr>
              <w:keepNext w:val="0"/>
              <w:keepLines w:val="0"/>
              <w:widowControl/>
              <w:suppressLineNumbers w:val="0"/>
              <w:spacing w:before="0" w:beforeAutospacing="0" w:after="0" w:afterAutospacing="0" w:line="240" w:lineRule="exact"/>
              <w:ind w:left="0" w:leftChars="0" w:right="0" w:rightChars="0"/>
              <w:jc w:val="center"/>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20</w:t>
            </w:r>
          </w:p>
        </w:tc>
        <w:tc>
          <w:tcPr>
            <w:tcW w:w="1286" w:type="dxa"/>
          </w:tcPr>
          <w:p w14:paraId="3ADF4A5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6201F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144" w:type="dxa"/>
            <w:vMerge w:val="continue"/>
            <w:tcBorders>
              <w:top w:val="nil"/>
              <w:bottom w:val="nil"/>
            </w:tcBorders>
            <w:textDirection w:val="tbRlV"/>
          </w:tcPr>
          <w:p w14:paraId="537A8319">
            <w:pPr>
              <w:pStyle w:val="9"/>
            </w:pPr>
          </w:p>
        </w:tc>
        <w:tc>
          <w:tcPr>
            <w:tcW w:w="1169" w:type="dxa"/>
            <w:vMerge w:val="continue"/>
            <w:tcBorders>
              <w:top w:val="nil"/>
              <w:bottom w:val="nil"/>
            </w:tcBorders>
          </w:tcPr>
          <w:p w14:paraId="5D758026">
            <w:pPr>
              <w:pStyle w:val="9"/>
            </w:pPr>
          </w:p>
        </w:tc>
        <w:tc>
          <w:tcPr>
            <w:tcW w:w="1109" w:type="dxa"/>
            <w:tcBorders>
              <w:bottom w:val="nil"/>
            </w:tcBorders>
          </w:tcPr>
          <w:p w14:paraId="145E517C">
            <w:pPr>
              <w:spacing w:before="134" w:line="216" w:lineRule="auto"/>
              <w:ind w:left="341" w:right="348"/>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pacing w:val="-3"/>
                <w:sz w:val="20"/>
                <w:szCs w:val="20"/>
              </w:rPr>
              <w:t>指标</w:t>
            </w:r>
          </w:p>
        </w:tc>
        <w:tc>
          <w:tcPr>
            <w:tcW w:w="1039" w:type="dxa"/>
            <w:vAlign w:val="center"/>
          </w:tcPr>
          <w:p w14:paraId="38F6655E">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规定时间前完成任务</w:t>
            </w:r>
          </w:p>
        </w:tc>
        <w:tc>
          <w:tcPr>
            <w:tcW w:w="1288" w:type="dxa"/>
            <w:vAlign w:val="center"/>
          </w:tcPr>
          <w:p w14:paraId="03FBDB7C">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202</w:t>
            </w:r>
            <w:r>
              <w:rPr>
                <w:rFonts w:hint="eastAsia" w:ascii="Times New Roman" w:hAnsi="Times New Roman" w:eastAsia="仿宋_GB2312" w:cs="仿宋_GB2312"/>
                <w:snapToGrid w:val="0"/>
                <w:color w:val="000000"/>
                <w:kern w:val="2"/>
                <w:sz w:val="20"/>
                <w:szCs w:val="20"/>
                <w:lang w:val="en-US" w:eastAsia="zh-CN" w:bidi="ar"/>
              </w:rPr>
              <w:t>3</w:t>
            </w:r>
            <w:r>
              <w:rPr>
                <w:rFonts w:hint="default" w:ascii="Times New Roman" w:hAnsi="Times New Roman" w:eastAsia="仿宋_GB2312" w:cs="仿宋_GB2312"/>
                <w:snapToGrid w:val="0"/>
                <w:color w:val="000000"/>
                <w:kern w:val="2"/>
                <w:sz w:val="20"/>
                <w:szCs w:val="20"/>
                <w:lang w:val="en-US" w:eastAsia="zh-CN" w:bidi="ar"/>
              </w:rPr>
              <w:t>.12.31</w:t>
            </w:r>
          </w:p>
        </w:tc>
        <w:tc>
          <w:tcPr>
            <w:tcW w:w="1129" w:type="dxa"/>
            <w:vAlign w:val="center"/>
          </w:tcPr>
          <w:p w14:paraId="2E9AF409">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202</w:t>
            </w:r>
            <w:r>
              <w:rPr>
                <w:rFonts w:hint="eastAsia" w:ascii="Times New Roman" w:hAnsi="Times New Roman" w:eastAsia="仿宋_GB2312" w:cs="仿宋_GB2312"/>
                <w:snapToGrid w:val="0"/>
                <w:color w:val="000000"/>
                <w:kern w:val="2"/>
                <w:sz w:val="20"/>
                <w:szCs w:val="20"/>
                <w:lang w:val="en-US" w:eastAsia="zh-CN" w:bidi="ar"/>
              </w:rPr>
              <w:t>3</w:t>
            </w:r>
            <w:r>
              <w:rPr>
                <w:rFonts w:hint="default" w:ascii="Times New Roman" w:hAnsi="Times New Roman" w:eastAsia="仿宋_GB2312" w:cs="仿宋_GB2312"/>
                <w:snapToGrid w:val="0"/>
                <w:color w:val="000000"/>
                <w:kern w:val="2"/>
                <w:sz w:val="20"/>
                <w:szCs w:val="20"/>
                <w:lang w:val="en-US" w:eastAsia="zh-CN" w:bidi="ar"/>
              </w:rPr>
              <w:t>.12.31</w:t>
            </w:r>
          </w:p>
        </w:tc>
        <w:tc>
          <w:tcPr>
            <w:tcW w:w="699" w:type="dxa"/>
            <w:vAlign w:val="center"/>
          </w:tcPr>
          <w:p w14:paraId="3F149A6B">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63DD2FB8">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8</w:t>
            </w:r>
          </w:p>
        </w:tc>
        <w:tc>
          <w:tcPr>
            <w:tcW w:w="1286" w:type="dxa"/>
          </w:tcPr>
          <w:p w14:paraId="346525B1">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偏差原因：部分支付未在年内完成</w:t>
            </w:r>
          </w:p>
          <w:p w14:paraId="6CFB961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改进措施：加快支付进度</w:t>
            </w:r>
          </w:p>
        </w:tc>
      </w:tr>
      <w:tr w14:paraId="670BE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7CFA4F6A">
            <w:pPr>
              <w:pStyle w:val="9"/>
            </w:pPr>
          </w:p>
        </w:tc>
        <w:tc>
          <w:tcPr>
            <w:tcW w:w="1169" w:type="dxa"/>
            <w:vMerge w:val="continue"/>
            <w:tcBorders>
              <w:top w:val="nil"/>
              <w:bottom w:val="nil"/>
            </w:tcBorders>
          </w:tcPr>
          <w:p w14:paraId="474658E8">
            <w:pPr>
              <w:pStyle w:val="9"/>
            </w:pPr>
          </w:p>
        </w:tc>
        <w:tc>
          <w:tcPr>
            <w:tcW w:w="1109" w:type="dxa"/>
            <w:tcBorders>
              <w:bottom w:val="nil"/>
            </w:tcBorders>
          </w:tcPr>
          <w:p w14:paraId="001BA380">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1039" w:type="dxa"/>
            <w:vAlign w:val="center"/>
          </w:tcPr>
          <w:p w14:paraId="2B7CE743">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不超过全年预算数</w:t>
            </w:r>
          </w:p>
        </w:tc>
        <w:tc>
          <w:tcPr>
            <w:tcW w:w="1288" w:type="dxa"/>
            <w:vAlign w:val="center"/>
          </w:tcPr>
          <w:p w14:paraId="342F061A">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w:t>
            </w:r>
            <w:r>
              <w:rPr>
                <w:rFonts w:hint="default" w:ascii="Times New Roman" w:hAnsi="Times New Roman" w:eastAsia="仿宋_GB2312" w:cs="仿宋_GB2312"/>
                <w:snapToGrid w:val="0"/>
                <w:color w:val="000000"/>
                <w:kern w:val="2"/>
                <w:sz w:val="20"/>
                <w:szCs w:val="20"/>
                <w:lang w:val="en-US" w:eastAsia="zh-CN" w:bidi="ar"/>
              </w:rPr>
              <w:t>100%</w:t>
            </w:r>
          </w:p>
        </w:tc>
        <w:tc>
          <w:tcPr>
            <w:tcW w:w="1129" w:type="dxa"/>
            <w:vAlign w:val="center"/>
          </w:tcPr>
          <w:p w14:paraId="79ED6141">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w:t>
            </w:r>
            <w:r>
              <w:rPr>
                <w:rFonts w:hint="default" w:ascii="Times New Roman" w:hAnsi="Times New Roman" w:eastAsia="仿宋_GB2312" w:cs="仿宋_GB2312"/>
                <w:snapToGrid w:val="0"/>
                <w:color w:val="000000"/>
                <w:kern w:val="2"/>
                <w:sz w:val="20"/>
                <w:szCs w:val="20"/>
                <w:lang w:val="en-US" w:eastAsia="zh-CN" w:bidi="ar"/>
              </w:rPr>
              <w:t>100%</w:t>
            </w:r>
          </w:p>
        </w:tc>
        <w:tc>
          <w:tcPr>
            <w:tcW w:w="699" w:type="dxa"/>
            <w:vAlign w:val="center"/>
          </w:tcPr>
          <w:p w14:paraId="3274189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35F09161">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1286" w:type="dxa"/>
            <w:vAlign w:val="center"/>
          </w:tcPr>
          <w:p w14:paraId="2F49E951">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7AFCA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1AAC3B20">
            <w:pPr>
              <w:pStyle w:val="9"/>
            </w:pPr>
          </w:p>
        </w:tc>
        <w:tc>
          <w:tcPr>
            <w:tcW w:w="1169" w:type="dxa"/>
            <w:vMerge w:val="restart"/>
            <w:tcBorders>
              <w:bottom w:val="nil"/>
            </w:tcBorders>
          </w:tcPr>
          <w:p w14:paraId="03B9A03D">
            <w:pPr>
              <w:pStyle w:val="9"/>
              <w:spacing w:line="270" w:lineRule="auto"/>
            </w:pPr>
          </w:p>
          <w:p w14:paraId="058708D5">
            <w:pPr>
              <w:pStyle w:val="9"/>
              <w:spacing w:line="271" w:lineRule="auto"/>
            </w:pPr>
          </w:p>
          <w:p w14:paraId="18CAFCB3">
            <w:pPr>
              <w:pStyle w:val="9"/>
              <w:spacing w:line="271" w:lineRule="auto"/>
            </w:pPr>
          </w:p>
          <w:p w14:paraId="4D4BD3D2">
            <w:pPr>
              <w:pStyle w:val="9"/>
              <w:spacing w:line="271" w:lineRule="auto"/>
            </w:pPr>
          </w:p>
          <w:p w14:paraId="01C6C2AC">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06621B18">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109" w:type="dxa"/>
            <w:tcBorders>
              <w:bottom w:val="nil"/>
            </w:tcBorders>
          </w:tcPr>
          <w:p w14:paraId="2BF388FE">
            <w:pPr>
              <w:spacing w:before="145" w:line="216" w:lineRule="auto"/>
              <w:ind w:left="241" w:right="266"/>
              <w:rPr>
                <w:rFonts w:ascii="宋体" w:hAnsi="宋体" w:eastAsia="宋体" w:cs="宋体"/>
                <w:sz w:val="20"/>
                <w:szCs w:val="20"/>
              </w:rPr>
            </w:pPr>
            <w:r>
              <w:rPr>
                <w:rFonts w:ascii="宋体" w:hAnsi="宋体" w:eastAsia="宋体" w:cs="宋体"/>
                <w:spacing w:val="-4"/>
                <w:sz w:val="20"/>
                <w:szCs w:val="20"/>
              </w:rPr>
              <w:t>经济效益指标</w:t>
            </w:r>
          </w:p>
        </w:tc>
        <w:tc>
          <w:tcPr>
            <w:tcW w:w="1039" w:type="dxa"/>
            <w:vAlign w:val="center"/>
          </w:tcPr>
          <w:p w14:paraId="49E1CA11">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本级行政区域内村集体经济提高</w:t>
            </w:r>
          </w:p>
        </w:tc>
        <w:tc>
          <w:tcPr>
            <w:tcW w:w="1288" w:type="dxa"/>
            <w:vAlign w:val="center"/>
          </w:tcPr>
          <w:p w14:paraId="7F148312">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w:t>
            </w:r>
            <w:r>
              <w:rPr>
                <w:rFonts w:hint="default" w:ascii="Times New Roman" w:hAnsi="Times New Roman" w:eastAsia="仿宋_GB2312" w:cs="仿宋_GB2312"/>
                <w:snapToGrid w:val="0"/>
                <w:color w:val="000000"/>
                <w:kern w:val="2"/>
                <w:sz w:val="20"/>
                <w:szCs w:val="20"/>
                <w:lang w:val="en-US" w:eastAsia="zh-CN" w:bidi="ar"/>
              </w:rPr>
              <w:t>10</w:t>
            </w:r>
            <w:r>
              <w:rPr>
                <w:rFonts w:hint="eastAsia" w:ascii="Times New Roman" w:hAnsi="Times New Roman" w:eastAsia="仿宋_GB2312" w:cs="仿宋_GB2312"/>
                <w:snapToGrid w:val="0"/>
                <w:color w:val="000000"/>
                <w:kern w:val="2"/>
                <w:sz w:val="20"/>
                <w:szCs w:val="20"/>
                <w:lang w:val="en-US" w:eastAsia="zh-CN" w:bidi="ar"/>
              </w:rPr>
              <w:t>万</w:t>
            </w:r>
          </w:p>
        </w:tc>
        <w:tc>
          <w:tcPr>
            <w:tcW w:w="1129" w:type="dxa"/>
            <w:vAlign w:val="center"/>
          </w:tcPr>
          <w:p w14:paraId="6A0FAF87">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w:t>
            </w:r>
            <w:r>
              <w:rPr>
                <w:rFonts w:hint="default" w:ascii="Times New Roman" w:hAnsi="Times New Roman" w:eastAsia="仿宋_GB2312" w:cs="仿宋_GB2312"/>
                <w:snapToGrid w:val="0"/>
                <w:color w:val="000000"/>
                <w:kern w:val="2"/>
                <w:sz w:val="20"/>
                <w:szCs w:val="20"/>
                <w:lang w:val="en-US" w:eastAsia="zh-CN" w:bidi="ar"/>
              </w:rPr>
              <w:t>10</w:t>
            </w:r>
            <w:r>
              <w:rPr>
                <w:rFonts w:hint="eastAsia" w:ascii="Times New Roman" w:hAnsi="Times New Roman" w:eastAsia="仿宋_GB2312" w:cs="仿宋_GB2312"/>
                <w:snapToGrid w:val="0"/>
                <w:color w:val="000000"/>
                <w:kern w:val="2"/>
                <w:sz w:val="20"/>
                <w:szCs w:val="20"/>
                <w:lang w:val="en-US" w:eastAsia="zh-CN" w:bidi="ar"/>
              </w:rPr>
              <w:t>万</w:t>
            </w:r>
          </w:p>
        </w:tc>
        <w:tc>
          <w:tcPr>
            <w:tcW w:w="699" w:type="dxa"/>
            <w:vAlign w:val="center"/>
          </w:tcPr>
          <w:p w14:paraId="713D7803">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2D0DCC4E">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1286" w:type="dxa"/>
          </w:tcPr>
          <w:p w14:paraId="42ADBC70">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3F05C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3FD58E26">
            <w:pPr>
              <w:pStyle w:val="9"/>
            </w:pPr>
          </w:p>
        </w:tc>
        <w:tc>
          <w:tcPr>
            <w:tcW w:w="1169" w:type="dxa"/>
            <w:vMerge w:val="continue"/>
            <w:tcBorders>
              <w:top w:val="nil"/>
              <w:bottom w:val="nil"/>
            </w:tcBorders>
          </w:tcPr>
          <w:p w14:paraId="2ABB277D">
            <w:pPr>
              <w:pStyle w:val="9"/>
            </w:pPr>
          </w:p>
        </w:tc>
        <w:tc>
          <w:tcPr>
            <w:tcW w:w="1109" w:type="dxa"/>
            <w:tcBorders>
              <w:bottom w:val="nil"/>
            </w:tcBorders>
          </w:tcPr>
          <w:p w14:paraId="0BD9EDA5">
            <w:pPr>
              <w:spacing w:before="124" w:line="226" w:lineRule="auto"/>
              <w:ind w:left="241" w:right="266"/>
              <w:rPr>
                <w:rFonts w:ascii="宋体" w:hAnsi="宋体" w:eastAsia="宋体" w:cs="宋体"/>
                <w:sz w:val="20"/>
                <w:szCs w:val="20"/>
              </w:rPr>
            </w:pPr>
            <w:r>
              <w:rPr>
                <w:rFonts w:ascii="宋体" w:hAnsi="宋体" w:eastAsia="宋体" w:cs="宋体"/>
                <w:spacing w:val="-4"/>
                <w:sz w:val="20"/>
                <w:szCs w:val="20"/>
              </w:rPr>
              <w:t>社会效益指标</w:t>
            </w:r>
          </w:p>
        </w:tc>
        <w:tc>
          <w:tcPr>
            <w:tcW w:w="1039" w:type="dxa"/>
            <w:vAlign w:val="center"/>
          </w:tcPr>
          <w:p w14:paraId="0550605B">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本级行政区域居民生活有效改善</w:t>
            </w:r>
          </w:p>
        </w:tc>
        <w:tc>
          <w:tcPr>
            <w:tcW w:w="1288" w:type="dxa"/>
            <w:vAlign w:val="center"/>
          </w:tcPr>
          <w:p w14:paraId="710F4097">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效果明显</w:t>
            </w:r>
          </w:p>
        </w:tc>
        <w:tc>
          <w:tcPr>
            <w:tcW w:w="1129" w:type="dxa"/>
            <w:vAlign w:val="center"/>
          </w:tcPr>
          <w:p w14:paraId="4796C437">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本级行政区域居民生活水平提高</w:t>
            </w:r>
          </w:p>
        </w:tc>
        <w:tc>
          <w:tcPr>
            <w:tcW w:w="699" w:type="dxa"/>
            <w:vAlign w:val="center"/>
          </w:tcPr>
          <w:p w14:paraId="54EB95E0">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30991010">
            <w:pPr>
              <w:keepNext w:val="0"/>
              <w:keepLines w:val="0"/>
              <w:widowControl/>
              <w:suppressLineNumbers w:val="0"/>
              <w:spacing w:before="0" w:beforeAutospacing="0" w:after="0" w:afterAutospacing="0" w:line="240" w:lineRule="exact"/>
              <w:ind w:left="0" w:leftChars="0" w:right="0" w:rightChars="0"/>
              <w:jc w:val="center"/>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1286" w:type="dxa"/>
          </w:tcPr>
          <w:p w14:paraId="44062DD6">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49B7D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4B08171A">
            <w:pPr>
              <w:pStyle w:val="9"/>
            </w:pPr>
          </w:p>
        </w:tc>
        <w:tc>
          <w:tcPr>
            <w:tcW w:w="1169" w:type="dxa"/>
            <w:vMerge w:val="continue"/>
            <w:tcBorders>
              <w:top w:val="nil"/>
              <w:bottom w:val="nil"/>
            </w:tcBorders>
          </w:tcPr>
          <w:p w14:paraId="53DBA150">
            <w:pPr>
              <w:pStyle w:val="9"/>
            </w:pPr>
          </w:p>
        </w:tc>
        <w:tc>
          <w:tcPr>
            <w:tcW w:w="1109" w:type="dxa"/>
            <w:tcBorders>
              <w:bottom w:val="nil"/>
            </w:tcBorders>
          </w:tcPr>
          <w:p w14:paraId="4C98ADFA">
            <w:pPr>
              <w:spacing w:before="145" w:line="212" w:lineRule="auto"/>
              <w:ind w:left="241" w:right="266"/>
              <w:rPr>
                <w:rFonts w:ascii="宋体" w:hAnsi="宋体" w:eastAsia="宋体" w:cs="宋体"/>
                <w:sz w:val="20"/>
                <w:szCs w:val="20"/>
              </w:rPr>
            </w:pPr>
            <w:r>
              <w:rPr>
                <w:rFonts w:ascii="宋体" w:hAnsi="宋体" w:eastAsia="宋体" w:cs="宋体"/>
                <w:spacing w:val="-4"/>
                <w:sz w:val="20"/>
                <w:szCs w:val="20"/>
              </w:rPr>
              <w:t>生态效益指标</w:t>
            </w:r>
          </w:p>
        </w:tc>
        <w:tc>
          <w:tcPr>
            <w:tcW w:w="1039" w:type="dxa"/>
            <w:vAlign w:val="center"/>
          </w:tcPr>
          <w:p w14:paraId="1333583E">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本级行政区域环境有效改善</w:t>
            </w:r>
          </w:p>
        </w:tc>
        <w:tc>
          <w:tcPr>
            <w:tcW w:w="1288" w:type="dxa"/>
            <w:vAlign w:val="center"/>
          </w:tcPr>
          <w:p w14:paraId="500085EC">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效果明显</w:t>
            </w:r>
          </w:p>
        </w:tc>
        <w:tc>
          <w:tcPr>
            <w:tcW w:w="1129" w:type="dxa"/>
            <w:vAlign w:val="center"/>
          </w:tcPr>
          <w:p w14:paraId="7455AC47">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本级行政区域环境明显改善，人居环境建设水平提高</w:t>
            </w:r>
          </w:p>
        </w:tc>
        <w:tc>
          <w:tcPr>
            <w:tcW w:w="699" w:type="dxa"/>
            <w:vAlign w:val="center"/>
          </w:tcPr>
          <w:p w14:paraId="78367B7F">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4E0B791C">
            <w:pPr>
              <w:keepNext w:val="0"/>
              <w:keepLines w:val="0"/>
              <w:widowControl/>
              <w:suppressLineNumbers w:val="0"/>
              <w:spacing w:before="0" w:beforeAutospacing="0" w:after="0" w:afterAutospacing="0" w:line="240" w:lineRule="exact"/>
              <w:ind w:left="0" w:leftChars="0" w:right="0" w:rightChars="0"/>
              <w:jc w:val="center"/>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1286" w:type="dxa"/>
          </w:tcPr>
          <w:p w14:paraId="7305EFF4">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6761F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144" w:type="dxa"/>
            <w:vMerge w:val="continue"/>
            <w:tcBorders>
              <w:top w:val="nil"/>
              <w:bottom w:val="nil"/>
            </w:tcBorders>
            <w:textDirection w:val="tbRlV"/>
          </w:tcPr>
          <w:p w14:paraId="662960A2">
            <w:pPr>
              <w:pStyle w:val="9"/>
            </w:pPr>
          </w:p>
        </w:tc>
        <w:tc>
          <w:tcPr>
            <w:tcW w:w="1169" w:type="dxa"/>
            <w:vMerge w:val="continue"/>
            <w:tcBorders>
              <w:top w:val="nil"/>
              <w:bottom w:val="nil"/>
            </w:tcBorders>
          </w:tcPr>
          <w:p w14:paraId="6D084585">
            <w:pPr>
              <w:pStyle w:val="9"/>
            </w:pPr>
          </w:p>
        </w:tc>
        <w:tc>
          <w:tcPr>
            <w:tcW w:w="1109" w:type="dxa"/>
            <w:tcBorders>
              <w:bottom w:val="nil"/>
            </w:tcBorders>
          </w:tcPr>
          <w:p w14:paraId="2DCFC398">
            <w:pPr>
              <w:spacing w:before="87" w:line="219" w:lineRule="auto"/>
              <w:ind w:left="141"/>
              <w:rPr>
                <w:rFonts w:ascii="宋体" w:hAnsi="宋体" w:eastAsia="宋体" w:cs="宋体"/>
                <w:sz w:val="20"/>
                <w:szCs w:val="20"/>
              </w:rPr>
            </w:pPr>
            <w:r>
              <w:rPr>
                <w:rFonts w:ascii="宋体" w:hAnsi="宋体" w:eastAsia="宋体" w:cs="宋体"/>
                <w:spacing w:val="-2"/>
                <w:sz w:val="20"/>
                <w:szCs w:val="20"/>
              </w:rPr>
              <w:t>可持续影</w:t>
            </w:r>
          </w:p>
          <w:p w14:paraId="516256D9">
            <w:pPr>
              <w:spacing w:before="23" w:line="220" w:lineRule="auto"/>
              <w:ind w:left="241"/>
              <w:rPr>
                <w:rFonts w:ascii="宋体" w:hAnsi="宋体" w:eastAsia="宋体" w:cs="宋体"/>
                <w:sz w:val="20"/>
                <w:szCs w:val="20"/>
              </w:rPr>
            </w:pPr>
            <w:r>
              <w:rPr>
                <w:rFonts w:ascii="宋体" w:hAnsi="宋体" w:eastAsia="宋体" w:cs="宋体"/>
                <w:spacing w:val="2"/>
                <w:sz w:val="20"/>
                <w:szCs w:val="20"/>
              </w:rPr>
              <w:t>响指标</w:t>
            </w:r>
          </w:p>
        </w:tc>
        <w:tc>
          <w:tcPr>
            <w:tcW w:w="1039" w:type="dxa"/>
          </w:tcPr>
          <w:p w14:paraId="6AE4D4D5">
            <w:pPr>
              <w:pStyle w:val="9"/>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持续提高服务职能水平</w:t>
            </w:r>
          </w:p>
        </w:tc>
        <w:tc>
          <w:tcPr>
            <w:tcW w:w="1288" w:type="dxa"/>
          </w:tcPr>
          <w:p w14:paraId="24480EC7">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效果明显</w:t>
            </w:r>
          </w:p>
        </w:tc>
        <w:tc>
          <w:tcPr>
            <w:tcW w:w="1129" w:type="dxa"/>
          </w:tcPr>
          <w:p w14:paraId="1110E5B1">
            <w:pPr>
              <w:pStyle w:val="9"/>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持续提高服务职能水平</w:t>
            </w:r>
          </w:p>
        </w:tc>
        <w:tc>
          <w:tcPr>
            <w:tcW w:w="699" w:type="dxa"/>
          </w:tcPr>
          <w:p w14:paraId="1ACF2760">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449" w:type="dxa"/>
          </w:tcPr>
          <w:p w14:paraId="61473D72">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1286" w:type="dxa"/>
          </w:tcPr>
          <w:p w14:paraId="3AACD8C7">
            <w:pPr>
              <w:pStyle w:val="9"/>
              <w:jc w:val="center"/>
              <w:rPr>
                <w:rFonts w:hint="eastAsia" w:ascii="Times New Roman" w:hAnsi="Times New Roman" w:eastAsia="仿宋_GB2312" w:cs="仿宋_GB2312"/>
                <w:snapToGrid w:val="0"/>
                <w:color w:val="000000"/>
                <w:kern w:val="2"/>
                <w:sz w:val="20"/>
                <w:szCs w:val="20"/>
                <w:lang w:val="en-US" w:eastAsia="zh-CN" w:bidi="ar"/>
              </w:rPr>
            </w:pPr>
          </w:p>
        </w:tc>
      </w:tr>
      <w:tr w14:paraId="40E94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1144" w:type="dxa"/>
            <w:vMerge w:val="continue"/>
            <w:tcBorders>
              <w:top w:val="nil"/>
              <w:bottom w:val="nil"/>
            </w:tcBorders>
            <w:textDirection w:val="tbRlV"/>
          </w:tcPr>
          <w:p w14:paraId="60DBC349">
            <w:pPr>
              <w:pStyle w:val="9"/>
            </w:pPr>
          </w:p>
        </w:tc>
        <w:tc>
          <w:tcPr>
            <w:tcW w:w="1169" w:type="dxa"/>
            <w:tcBorders>
              <w:bottom w:val="nil"/>
            </w:tcBorders>
          </w:tcPr>
          <w:p w14:paraId="73C05C14">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3562AA07">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528A1EDC">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tcBorders>
              <w:bottom w:val="nil"/>
            </w:tcBorders>
          </w:tcPr>
          <w:p w14:paraId="22AA35ED">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7650F135">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14:paraId="05E5754E">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1039" w:type="dxa"/>
            <w:vAlign w:val="center"/>
          </w:tcPr>
          <w:p w14:paraId="7AB86040">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本级行政区域内全体居民满意度</w:t>
            </w:r>
          </w:p>
        </w:tc>
        <w:tc>
          <w:tcPr>
            <w:tcW w:w="1288" w:type="dxa"/>
            <w:vAlign w:val="center"/>
          </w:tcPr>
          <w:p w14:paraId="708F977C">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　</w:t>
            </w:r>
            <w:r>
              <w:rPr>
                <w:rFonts w:hint="default" w:ascii="Times New Roman" w:hAnsi="Times New Roman" w:eastAsia="仿宋_GB2312" w:cs="仿宋_GB2312"/>
                <w:snapToGrid w:val="0"/>
                <w:color w:val="000000"/>
                <w:kern w:val="2"/>
                <w:sz w:val="20"/>
                <w:szCs w:val="20"/>
                <w:lang w:val="en-US" w:eastAsia="zh-CN" w:bidi="ar"/>
              </w:rPr>
              <w:t>90%</w:t>
            </w:r>
          </w:p>
        </w:tc>
        <w:tc>
          <w:tcPr>
            <w:tcW w:w="1129" w:type="dxa"/>
            <w:vAlign w:val="center"/>
          </w:tcPr>
          <w:p w14:paraId="05B707C9">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　</w:t>
            </w:r>
            <w:r>
              <w:rPr>
                <w:rFonts w:hint="default" w:ascii="Times New Roman" w:hAnsi="Times New Roman" w:eastAsia="仿宋_GB2312" w:cs="仿宋_GB2312"/>
                <w:snapToGrid w:val="0"/>
                <w:color w:val="000000"/>
                <w:kern w:val="2"/>
                <w:sz w:val="20"/>
                <w:szCs w:val="20"/>
                <w:lang w:val="en-US" w:eastAsia="zh-CN" w:bidi="ar"/>
              </w:rPr>
              <w:t>95%</w:t>
            </w:r>
          </w:p>
        </w:tc>
        <w:tc>
          <w:tcPr>
            <w:tcW w:w="699" w:type="dxa"/>
            <w:vAlign w:val="center"/>
          </w:tcPr>
          <w:p w14:paraId="304FB9E0">
            <w:pPr>
              <w:keepNext w:val="0"/>
              <w:keepLines w:val="0"/>
              <w:widowControl/>
              <w:suppressLineNumbers w:val="0"/>
              <w:spacing w:before="0" w:beforeAutospacing="0" w:after="0" w:afterAutospacing="0" w:line="240" w:lineRule="exact"/>
              <w:ind w:left="0" w:leftChars="0" w:right="0" w:rightChars="0"/>
              <w:jc w:val="both"/>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　</w:t>
            </w: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740A9075">
            <w:pPr>
              <w:keepNext w:val="0"/>
              <w:keepLines w:val="0"/>
              <w:widowControl/>
              <w:suppressLineNumbers w:val="0"/>
              <w:spacing w:before="0" w:beforeAutospacing="0" w:after="0" w:afterAutospacing="0" w:line="240" w:lineRule="exact"/>
              <w:ind w:left="0" w:leftChars="0" w:right="0" w:rightChars="0"/>
              <w:jc w:val="both"/>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　</w:t>
            </w:r>
            <w:r>
              <w:rPr>
                <w:rFonts w:hint="default" w:ascii="Times New Roman" w:hAnsi="Times New Roman" w:eastAsia="仿宋_GB2312" w:cs="仿宋_GB2312"/>
                <w:snapToGrid w:val="0"/>
                <w:color w:val="000000"/>
                <w:kern w:val="2"/>
                <w:sz w:val="20"/>
                <w:szCs w:val="20"/>
                <w:lang w:val="en-US" w:eastAsia="zh-CN" w:bidi="ar"/>
              </w:rPr>
              <w:t>10</w:t>
            </w:r>
          </w:p>
        </w:tc>
        <w:tc>
          <w:tcPr>
            <w:tcW w:w="1286" w:type="dxa"/>
          </w:tcPr>
          <w:p w14:paraId="0582A6B4">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6FED2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878" w:type="dxa"/>
            <w:gridSpan w:val="6"/>
          </w:tcPr>
          <w:p w14:paraId="3341A3D8">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699" w:type="dxa"/>
          </w:tcPr>
          <w:p w14:paraId="39204901">
            <w:pPr>
              <w:spacing w:before="128" w:line="184" w:lineRule="auto"/>
              <w:ind w:left="196"/>
              <w:rPr>
                <w:rFonts w:ascii="宋体" w:hAnsi="宋体" w:eastAsia="宋体" w:cs="宋体"/>
                <w:sz w:val="20"/>
                <w:szCs w:val="20"/>
              </w:rPr>
            </w:pPr>
            <w:r>
              <w:rPr>
                <w:rFonts w:ascii="宋体" w:hAnsi="宋体" w:eastAsia="宋体" w:cs="宋体"/>
                <w:spacing w:val="-6"/>
                <w:sz w:val="20"/>
                <w:szCs w:val="20"/>
              </w:rPr>
              <w:t>100</w:t>
            </w:r>
          </w:p>
        </w:tc>
        <w:tc>
          <w:tcPr>
            <w:tcW w:w="449" w:type="dxa"/>
          </w:tcPr>
          <w:p w14:paraId="2AC46B93">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ascii="宋体" w:hAnsi="宋体" w:eastAsia="宋体" w:cs="宋体"/>
                <w:snapToGrid w:val="0"/>
                <w:color w:val="000000"/>
                <w:spacing w:val="-6"/>
                <w:sz w:val="20"/>
                <w:szCs w:val="20"/>
                <w:lang w:val="en-US" w:eastAsia="zh-CN" w:bidi="ar-SA"/>
              </w:rPr>
              <w:t>98</w:t>
            </w:r>
          </w:p>
        </w:tc>
        <w:tc>
          <w:tcPr>
            <w:tcW w:w="1286" w:type="dxa"/>
          </w:tcPr>
          <w:p w14:paraId="2453746E">
            <w:pPr>
              <w:pStyle w:val="9"/>
            </w:pPr>
          </w:p>
        </w:tc>
      </w:tr>
    </w:tbl>
    <w:p w14:paraId="6716C7A3">
      <w:pPr>
        <w:pStyle w:val="2"/>
        <w:keepNext w:val="0"/>
        <w:keepLines w:val="0"/>
        <w:pageBreakBefore w:val="0"/>
        <w:widowControl/>
        <w:kinsoku w:val="0"/>
        <w:wordWrap/>
        <w:overflowPunct/>
        <w:topLinePunct w:val="0"/>
        <w:autoSpaceDE w:val="0"/>
        <w:autoSpaceDN w:val="0"/>
        <w:bidi w:val="0"/>
        <w:adjustRightInd w:val="0"/>
        <w:snapToGrid w:val="0"/>
        <w:spacing w:before="12" w:line="286" w:lineRule="auto"/>
        <w:ind w:right="283" w:firstLine="420" w:firstLineChars="200"/>
        <w:textAlignment w:val="baseline"/>
        <w:rPr>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丁乙</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2024年10月15日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15259181837</w:t>
      </w:r>
    </w:p>
    <w:p w14:paraId="281D50FC">
      <w:pPr>
        <w:pStyle w:val="2"/>
        <w:spacing w:before="104" w:line="222" w:lineRule="auto"/>
        <w:rPr>
          <w:spacing w:val="30"/>
          <w:sz w:val="32"/>
          <w:szCs w:val="32"/>
          <w:lang w:eastAsia="zh-CN"/>
        </w:rPr>
        <w:sectPr>
          <w:footerReference r:id="rId5" w:type="default"/>
          <w:pgSz w:w="11900" w:h="16838"/>
          <w:pgMar w:top="1417" w:right="1474" w:bottom="1417" w:left="1474" w:header="0" w:footer="947" w:gutter="0"/>
          <w:pgNumType w:fmt="numberInDash"/>
          <w:cols w:space="0" w:num="1"/>
        </w:sectPr>
      </w:pPr>
    </w:p>
    <w:p w14:paraId="68426CC5">
      <w:pPr>
        <w:pStyle w:val="2"/>
        <w:spacing w:before="104" w:line="222" w:lineRule="auto"/>
        <w:rPr>
          <w:sz w:val="32"/>
          <w:szCs w:val="32"/>
          <w:lang w:eastAsia="zh-CN"/>
        </w:rPr>
      </w:pPr>
      <w:r>
        <w:rPr>
          <w:spacing w:val="30"/>
          <w:sz w:val="32"/>
          <w:szCs w:val="32"/>
          <w:lang w:eastAsia="zh-CN"/>
        </w:rPr>
        <w:t>附件2</w:t>
      </w:r>
    </w:p>
    <w:p w14:paraId="748B8BA3">
      <w:pPr>
        <w:spacing w:before="292" w:line="218" w:lineRule="auto"/>
        <w:jc w:val="center"/>
        <w:rPr>
          <w:rFonts w:ascii="宋体" w:hAnsi="宋体" w:eastAsia="宋体" w:cs="宋体"/>
          <w:sz w:val="44"/>
          <w:szCs w:val="44"/>
          <w:lang w:eastAsia="zh-CN"/>
        </w:rPr>
      </w:pPr>
      <w:r>
        <w:rPr>
          <w:rFonts w:hint="eastAsia" w:ascii="宋体" w:hAnsi="宋体" w:eastAsia="宋体" w:cs="宋体"/>
          <w:b/>
          <w:bCs/>
          <w:spacing w:val="-7"/>
          <w:sz w:val="44"/>
          <w:szCs w:val="44"/>
          <w:lang w:eastAsia="zh-CN"/>
        </w:rPr>
        <w:t>2023年度</w:t>
      </w:r>
      <w:r>
        <w:rPr>
          <w:rFonts w:hint="eastAsia" w:ascii="宋体" w:hAnsi="宋体" w:eastAsia="宋体" w:cs="宋体"/>
          <w:b/>
          <w:bCs/>
          <w:spacing w:val="-7"/>
          <w:sz w:val="44"/>
          <w:szCs w:val="44"/>
          <w:lang w:val="en-US" w:eastAsia="zh-CN"/>
        </w:rPr>
        <w:t>红星街道办事处</w:t>
      </w:r>
      <w:r>
        <w:rPr>
          <w:rFonts w:ascii="宋体" w:hAnsi="宋体" w:eastAsia="宋体" w:cs="宋体"/>
          <w:b/>
          <w:bCs/>
          <w:spacing w:val="-7"/>
          <w:sz w:val="44"/>
          <w:szCs w:val="44"/>
          <w:lang w:eastAsia="zh-CN"/>
        </w:rPr>
        <w:t>项目支出绩效自评报告</w:t>
      </w:r>
    </w:p>
    <w:p w14:paraId="24A8D514">
      <w:pPr>
        <w:spacing w:line="273" w:lineRule="auto"/>
        <w:rPr>
          <w:lang w:eastAsia="zh-CN"/>
        </w:rPr>
      </w:pPr>
    </w:p>
    <w:p w14:paraId="14A8DA07">
      <w:pPr>
        <w:spacing w:before="84" w:line="219" w:lineRule="auto"/>
        <w:ind w:left="3623"/>
        <w:rPr>
          <w:rFonts w:ascii="宋体" w:hAnsi="宋体" w:eastAsia="宋体" w:cs="宋体"/>
          <w:sz w:val="26"/>
          <w:szCs w:val="26"/>
        </w:rPr>
      </w:pPr>
    </w:p>
    <w:p w14:paraId="6B099289">
      <w:pPr>
        <w:widowControl w:val="0"/>
        <w:numPr>
          <w:ilvl w:val="0"/>
          <w:numId w:val="3"/>
        </w:numPr>
        <w:kinsoku/>
        <w:overflowPunct w:val="0"/>
        <w:autoSpaceDE/>
        <w:autoSpaceDN/>
        <w:spacing w:line="360" w:lineRule="auto"/>
        <w:ind w:firstLine="599" w:firstLineChars="200"/>
        <w:outlineLvl w:val="1"/>
        <w:rPr>
          <w:rFonts w:ascii="黑体" w:hAnsi="黑体" w:eastAsia="黑体" w:cs="黑体"/>
          <w:b/>
          <w:bCs/>
          <w:spacing w:val="-11"/>
          <w:sz w:val="32"/>
          <w:szCs w:val="32"/>
        </w:rPr>
      </w:pPr>
      <w:r>
        <w:rPr>
          <w:rFonts w:ascii="黑体" w:hAnsi="黑体" w:eastAsia="黑体" w:cs="黑体"/>
          <w:b/>
          <w:bCs/>
          <w:spacing w:val="-11"/>
          <w:sz w:val="32"/>
          <w:szCs w:val="32"/>
        </w:rPr>
        <w:t>项目基本情况</w:t>
      </w:r>
    </w:p>
    <w:p w14:paraId="20F7F596">
      <w:pPr>
        <w:widowControl w:val="0"/>
        <w:kinsoku/>
        <w:overflowPunct w:val="0"/>
        <w:autoSpaceDE/>
        <w:autoSpaceDN/>
        <w:spacing w:line="360" w:lineRule="auto"/>
        <w:ind w:firstLine="695" w:firstLineChars="200"/>
        <w:outlineLvl w:val="1"/>
        <w:rPr>
          <w:rFonts w:ascii="楷体" w:hAnsi="楷体" w:eastAsia="楷体" w:cs="楷体"/>
          <w:sz w:val="32"/>
          <w:szCs w:val="32"/>
        </w:rPr>
      </w:pPr>
      <w:r>
        <w:rPr>
          <w:rFonts w:ascii="楷体" w:hAnsi="楷体" w:eastAsia="楷体" w:cs="楷体"/>
          <w:b/>
          <w:bCs/>
          <w:spacing w:val="13"/>
          <w:sz w:val="32"/>
          <w:szCs w:val="32"/>
        </w:rPr>
        <w:t>(一)项目概况</w:t>
      </w:r>
    </w:p>
    <w:p w14:paraId="29EC89F3">
      <w:pPr>
        <w:pStyle w:val="2"/>
        <w:widowControl w:val="0"/>
        <w:kinsoku/>
        <w:overflowPunct w:val="0"/>
        <w:autoSpaceDE/>
        <w:autoSpaceDN/>
        <w:spacing w:line="360" w:lineRule="auto"/>
        <w:ind w:firstLine="596" w:firstLineChars="200"/>
        <w:rPr>
          <w:spacing w:val="-11"/>
          <w:sz w:val="32"/>
          <w:szCs w:val="32"/>
        </w:rPr>
      </w:pPr>
      <w:r>
        <w:rPr>
          <w:rFonts w:ascii="宋体" w:hAnsi="宋体" w:eastAsia="宋体" w:cs="宋体"/>
          <w:spacing w:val="-11"/>
          <w:sz w:val="32"/>
          <w:szCs w:val="32"/>
        </w:rPr>
        <w:t>1.</w:t>
      </w:r>
      <w:r>
        <w:rPr>
          <w:spacing w:val="-11"/>
          <w:sz w:val="32"/>
          <w:szCs w:val="32"/>
        </w:rPr>
        <w:t>项目决策背景</w:t>
      </w:r>
    </w:p>
    <w:p w14:paraId="6081ABF0">
      <w:pPr>
        <w:pStyle w:val="2"/>
        <w:keepNext w:val="0"/>
        <w:keepLines w:val="0"/>
        <w:pageBreakBefore w:val="0"/>
        <w:widowControl w:val="0"/>
        <w:kinsoku/>
        <w:wordWrap/>
        <w:overflowPunct w:val="0"/>
        <w:topLinePunct w:val="0"/>
        <w:autoSpaceDE/>
        <w:autoSpaceDN/>
        <w:bidi w:val="0"/>
        <w:adjustRightInd w:val="0"/>
        <w:snapToGrid w:val="0"/>
        <w:spacing w:line="360" w:lineRule="auto"/>
        <w:ind w:firstLine="596" w:firstLineChars="200"/>
        <w:textAlignment w:val="baseline"/>
        <w:rPr>
          <w:rFonts w:hint="eastAsia" w:eastAsia="仿宋"/>
          <w:spacing w:val="-11"/>
          <w:sz w:val="32"/>
          <w:szCs w:val="32"/>
          <w:lang w:eastAsia="zh-CN"/>
        </w:rPr>
      </w:pPr>
      <w:r>
        <w:rPr>
          <w:rFonts w:hint="eastAsia"/>
          <w:spacing w:val="-11"/>
          <w:sz w:val="32"/>
          <w:szCs w:val="32"/>
          <w:lang w:eastAsia="zh-CN"/>
        </w:rPr>
        <w:t>为了保障</w:t>
      </w:r>
      <w:r>
        <w:rPr>
          <w:rFonts w:hint="eastAsia"/>
          <w:spacing w:val="-11"/>
          <w:sz w:val="32"/>
          <w:szCs w:val="32"/>
          <w:lang w:val="en-US" w:eastAsia="zh-CN"/>
        </w:rPr>
        <w:t>社区</w:t>
      </w:r>
      <w:r>
        <w:rPr>
          <w:rFonts w:hint="eastAsia"/>
          <w:spacing w:val="-11"/>
          <w:sz w:val="32"/>
          <w:szCs w:val="32"/>
          <w:lang w:eastAsia="zh-CN"/>
        </w:rPr>
        <w:t>组织正常运转，提升</w:t>
      </w:r>
      <w:r>
        <w:rPr>
          <w:rFonts w:hint="eastAsia"/>
          <w:spacing w:val="-11"/>
          <w:sz w:val="32"/>
          <w:szCs w:val="32"/>
          <w:lang w:val="en-US" w:eastAsia="zh-CN"/>
        </w:rPr>
        <w:t>社区</w:t>
      </w:r>
      <w:r>
        <w:rPr>
          <w:rFonts w:hint="eastAsia"/>
          <w:spacing w:val="-11"/>
          <w:sz w:val="32"/>
          <w:szCs w:val="32"/>
          <w:lang w:eastAsia="zh-CN"/>
        </w:rPr>
        <w:t>基层治理水平，设立</w:t>
      </w:r>
      <w:r>
        <w:rPr>
          <w:rFonts w:hint="eastAsia"/>
          <w:spacing w:val="-11"/>
          <w:sz w:val="32"/>
          <w:szCs w:val="32"/>
          <w:lang w:val="en-US" w:eastAsia="zh-CN"/>
        </w:rPr>
        <w:t>社区</w:t>
      </w:r>
      <w:r>
        <w:rPr>
          <w:rFonts w:hint="eastAsia"/>
          <w:spacing w:val="-11"/>
          <w:sz w:val="32"/>
          <w:szCs w:val="32"/>
          <w:lang w:eastAsia="zh-CN"/>
        </w:rPr>
        <w:t>运转经费项目；为了保障</w:t>
      </w:r>
      <w:r>
        <w:rPr>
          <w:rFonts w:hint="eastAsia"/>
          <w:spacing w:val="-11"/>
          <w:sz w:val="32"/>
          <w:szCs w:val="32"/>
          <w:lang w:val="en-US" w:eastAsia="zh-CN"/>
        </w:rPr>
        <w:t>街道</w:t>
      </w:r>
      <w:r>
        <w:rPr>
          <w:rFonts w:hint="eastAsia"/>
          <w:spacing w:val="-11"/>
          <w:sz w:val="32"/>
          <w:szCs w:val="32"/>
          <w:lang w:eastAsia="zh-CN"/>
        </w:rPr>
        <w:t>财政所日常开支，提升服务水平，设立</w:t>
      </w:r>
      <w:r>
        <w:rPr>
          <w:rFonts w:hint="eastAsia"/>
          <w:spacing w:val="-11"/>
          <w:sz w:val="32"/>
          <w:szCs w:val="32"/>
          <w:lang w:val="en-US" w:eastAsia="zh-CN"/>
        </w:rPr>
        <w:t>社区、</w:t>
      </w:r>
      <w:r>
        <w:rPr>
          <w:rFonts w:hint="eastAsia"/>
          <w:spacing w:val="-11"/>
          <w:sz w:val="32"/>
          <w:szCs w:val="32"/>
          <w:lang w:eastAsia="zh-CN"/>
        </w:rPr>
        <w:t>财政所信息化建设经费项目。</w:t>
      </w:r>
    </w:p>
    <w:p w14:paraId="4968286A">
      <w:pPr>
        <w:pStyle w:val="2"/>
        <w:widowControl w:val="0"/>
        <w:kinsoku/>
        <w:overflowPunct w:val="0"/>
        <w:autoSpaceDE/>
        <w:autoSpaceDN/>
        <w:spacing w:line="360" w:lineRule="auto"/>
        <w:ind w:firstLine="612" w:firstLineChars="200"/>
        <w:rPr>
          <w:spacing w:val="-7"/>
          <w:sz w:val="32"/>
          <w:szCs w:val="32"/>
        </w:rPr>
      </w:pPr>
      <w:r>
        <w:rPr>
          <w:spacing w:val="-7"/>
          <w:sz w:val="32"/>
          <w:szCs w:val="32"/>
        </w:rPr>
        <w:t>2.项目主要内容</w:t>
      </w:r>
    </w:p>
    <w:p w14:paraId="2B310C0B">
      <w:pPr>
        <w:pStyle w:val="2"/>
        <w:widowControl w:val="0"/>
        <w:kinsoku/>
        <w:overflowPunct w:val="0"/>
        <w:autoSpaceDE/>
        <w:autoSpaceDN/>
        <w:spacing w:line="360" w:lineRule="auto"/>
        <w:ind w:firstLine="612" w:firstLineChars="200"/>
        <w:rPr>
          <w:rFonts w:hint="eastAsia"/>
          <w:spacing w:val="-7"/>
          <w:sz w:val="32"/>
          <w:szCs w:val="32"/>
          <w:lang w:eastAsia="zh-CN"/>
        </w:rPr>
      </w:pPr>
      <w:r>
        <w:rPr>
          <w:rFonts w:hint="eastAsia"/>
          <w:spacing w:val="-7"/>
          <w:sz w:val="32"/>
          <w:szCs w:val="32"/>
          <w:lang w:eastAsia="zh-CN"/>
        </w:rPr>
        <w:t>（</w:t>
      </w:r>
      <w:r>
        <w:rPr>
          <w:rFonts w:hint="eastAsia"/>
          <w:spacing w:val="-7"/>
          <w:sz w:val="32"/>
          <w:szCs w:val="32"/>
          <w:lang w:val="en-US" w:eastAsia="zh-CN"/>
        </w:rPr>
        <w:t>1</w:t>
      </w:r>
      <w:r>
        <w:rPr>
          <w:rFonts w:hint="eastAsia"/>
          <w:spacing w:val="-7"/>
          <w:sz w:val="32"/>
          <w:szCs w:val="32"/>
          <w:lang w:eastAsia="zh-CN"/>
        </w:rPr>
        <w:t>）</w:t>
      </w:r>
      <w:r>
        <w:rPr>
          <w:rFonts w:hint="eastAsia"/>
          <w:spacing w:val="-7"/>
          <w:sz w:val="32"/>
          <w:szCs w:val="32"/>
          <w:lang w:val="en-US" w:eastAsia="zh-CN"/>
        </w:rPr>
        <w:t>社区</w:t>
      </w:r>
      <w:r>
        <w:rPr>
          <w:rFonts w:hint="eastAsia"/>
          <w:spacing w:val="-7"/>
          <w:sz w:val="32"/>
          <w:szCs w:val="32"/>
          <w:lang w:eastAsia="zh-CN"/>
        </w:rPr>
        <w:t>运转经费。</w:t>
      </w:r>
    </w:p>
    <w:p w14:paraId="6A113CA0">
      <w:pPr>
        <w:pStyle w:val="2"/>
        <w:widowControl w:val="0"/>
        <w:kinsoku/>
        <w:overflowPunct w:val="0"/>
        <w:autoSpaceDE/>
        <w:autoSpaceDN/>
        <w:spacing w:line="360" w:lineRule="auto"/>
        <w:ind w:firstLine="612" w:firstLineChars="200"/>
        <w:rPr>
          <w:rFonts w:hint="eastAsia" w:eastAsia="仿宋"/>
          <w:spacing w:val="-7"/>
          <w:sz w:val="32"/>
          <w:szCs w:val="32"/>
          <w:lang w:eastAsia="zh-CN"/>
        </w:rPr>
      </w:pPr>
      <w:r>
        <w:rPr>
          <w:rFonts w:hint="eastAsia"/>
          <w:spacing w:val="-7"/>
          <w:sz w:val="32"/>
          <w:szCs w:val="32"/>
          <w:lang w:eastAsia="zh-CN"/>
        </w:rPr>
        <w:t>（</w:t>
      </w:r>
      <w:r>
        <w:rPr>
          <w:rFonts w:hint="eastAsia"/>
          <w:spacing w:val="-7"/>
          <w:sz w:val="32"/>
          <w:szCs w:val="32"/>
          <w:lang w:val="en-US" w:eastAsia="zh-CN"/>
        </w:rPr>
        <w:t>2</w:t>
      </w:r>
      <w:r>
        <w:rPr>
          <w:rFonts w:hint="eastAsia"/>
          <w:spacing w:val="-7"/>
          <w:sz w:val="32"/>
          <w:szCs w:val="32"/>
          <w:lang w:eastAsia="zh-CN"/>
        </w:rPr>
        <w:t>）乡镇</w:t>
      </w:r>
      <w:r>
        <w:rPr>
          <w:rFonts w:hint="eastAsia"/>
          <w:spacing w:val="-7"/>
          <w:sz w:val="32"/>
          <w:szCs w:val="32"/>
          <w:lang w:val="en-US" w:eastAsia="zh-CN"/>
        </w:rPr>
        <w:t>街道</w:t>
      </w:r>
      <w:r>
        <w:rPr>
          <w:rFonts w:hint="eastAsia"/>
          <w:spacing w:val="-7"/>
          <w:sz w:val="32"/>
          <w:szCs w:val="32"/>
          <w:lang w:eastAsia="zh-CN"/>
        </w:rPr>
        <w:t>财政所信息化建设经费。</w:t>
      </w:r>
    </w:p>
    <w:p w14:paraId="2EA1E46A">
      <w:pPr>
        <w:pStyle w:val="2"/>
        <w:widowControl w:val="0"/>
        <w:kinsoku/>
        <w:overflowPunct w:val="0"/>
        <w:autoSpaceDE/>
        <w:autoSpaceDN/>
        <w:spacing w:line="360" w:lineRule="auto"/>
        <w:ind w:firstLine="632" w:firstLineChars="200"/>
        <w:rPr>
          <w:spacing w:val="-2"/>
          <w:sz w:val="32"/>
          <w:szCs w:val="32"/>
        </w:rPr>
      </w:pPr>
      <w:r>
        <w:rPr>
          <w:spacing w:val="-2"/>
          <w:sz w:val="32"/>
          <w:szCs w:val="32"/>
        </w:rPr>
        <w:t>3.项目组织管理机构</w:t>
      </w:r>
    </w:p>
    <w:p w14:paraId="2E8DC5BF">
      <w:pPr>
        <w:pStyle w:val="2"/>
        <w:widowControl w:val="0"/>
        <w:kinsoku/>
        <w:overflowPunct w:val="0"/>
        <w:autoSpaceDE/>
        <w:autoSpaceDN/>
        <w:spacing w:line="360" w:lineRule="auto"/>
        <w:ind w:firstLine="632" w:firstLineChars="200"/>
        <w:rPr>
          <w:spacing w:val="-2"/>
          <w:sz w:val="32"/>
          <w:szCs w:val="32"/>
        </w:rPr>
      </w:pPr>
      <w:r>
        <w:rPr>
          <w:rFonts w:hint="eastAsia"/>
          <w:spacing w:val="-2"/>
          <w:sz w:val="32"/>
          <w:szCs w:val="32"/>
        </w:rPr>
        <w:t>成立项目管理小组，由单位领导担任组长，各相关部门负责人为成员，负责项目的统筹规划、资金分配、监督执行等工作。</w:t>
      </w:r>
    </w:p>
    <w:p w14:paraId="6232C2CC">
      <w:pPr>
        <w:widowControl w:val="0"/>
        <w:kinsoku/>
        <w:overflowPunct w:val="0"/>
        <w:autoSpaceDE/>
        <w:autoSpaceDN/>
        <w:spacing w:line="360" w:lineRule="auto"/>
        <w:ind w:firstLine="667" w:firstLineChars="200"/>
        <w:outlineLvl w:val="0"/>
        <w:rPr>
          <w:rFonts w:ascii="楷体" w:hAnsi="楷体" w:eastAsia="楷体" w:cs="楷体"/>
          <w:sz w:val="32"/>
          <w:szCs w:val="32"/>
          <w:lang w:eastAsia="zh-CN"/>
        </w:rPr>
      </w:pPr>
      <w:r>
        <w:rPr>
          <w:rFonts w:ascii="楷体" w:hAnsi="楷体" w:eastAsia="楷体" w:cs="楷体"/>
          <w:b/>
          <w:bCs/>
          <w:spacing w:val="6"/>
          <w:sz w:val="32"/>
          <w:szCs w:val="32"/>
          <w:lang w:eastAsia="zh-CN"/>
        </w:rPr>
        <w:t>(二)预算资金使用管理情况</w:t>
      </w:r>
    </w:p>
    <w:p w14:paraId="5FAC580C">
      <w:pPr>
        <w:pStyle w:val="2"/>
        <w:widowControl w:val="0"/>
        <w:kinsoku/>
        <w:overflowPunct w:val="0"/>
        <w:autoSpaceDE/>
        <w:autoSpaceDN/>
        <w:spacing w:line="360" w:lineRule="auto"/>
        <w:ind w:firstLine="628" w:firstLineChars="200"/>
        <w:rPr>
          <w:sz w:val="32"/>
          <w:szCs w:val="32"/>
          <w:lang w:eastAsia="zh-CN"/>
        </w:rPr>
      </w:pPr>
      <w:r>
        <w:rPr>
          <w:rFonts w:ascii="宋体" w:hAnsi="宋体" w:eastAsia="宋体" w:cs="宋体"/>
          <w:spacing w:val="-3"/>
          <w:sz w:val="32"/>
          <w:szCs w:val="32"/>
          <w:lang w:eastAsia="zh-CN"/>
        </w:rPr>
        <w:t>1.</w:t>
      </w:r>
      <w:r>
        <w:rPr>
          <w:spacing w:val="-3"/>
          <w:sz w:val="32"/>
          <w:szCs w:val="32"/>
          <w:lang w:eastAsia="zh-CN"/>
        </w:rPr>
        <w:t>预算资金安排及管理情况</w:t>
      </w:r>
    </w:p>
    <w:p w14:paraId="3BFF6666">
      <w:pPr>
        <w:pStyle w:val="2"/>
        <w:widowControl w:val="0"/>
        <w:kinsoku/>
        <w:overflowPunct w:val="0"/>
        <w:autoSpaceDE/>
        <w:autoSpaceDN/>
        <w:spacing w:line="360" w:lineRule="auto"/>
        <w:ind w:firstLine="688" w:firstLineChars="200"/>
        <w:rPr>
          <w:spacing w:val="12"/>
          <w:sz w:val="32"/>
          <w:szCs w:val="32"/>
          <w:lang w:eastAsia="zh-CN"/>
        </w:rPr>
      </w:pPr>
      <w:r>
        <w:rPr>
          <w:spacing w:val="12"/>
          <w:sz w:val="32"/>
          <w:szCs w:val="32"/>
          <w:lang w:eastAsia="zh-CN"/>
        </w:rPr>
        <w:t>(1)资金来源及拨付流程</w:t>
      </w:r>
    </w:p>
    <w:p w14:paraId="433A9198">
      <w:pPr>
        <w:pStyle w:val="2"/>
        <w:widowControl w:val="0"/>
        <w:kinsoku/>
        <w:overflowPunct w:val="0"/>
        <w:autoSpaceDE/>
        <w:autoSpaceDN/>
        <w:spacing w:line="360" w:lineRule="auto"/>
        <w:ind w:firstLine="688" w:firstLineChars="200"/>
        <w:rPr>
          <w:spacing w:val="12"/>
          <w:sz w:val="32"/>
          <w:szCs w:val="32"/>
          <w:lang w:eastAsia="zh-CN"/>
        </w:rPr>
      </w:pPr>
      <w:r>
        <w:rPr>
          <w:rFonts w:hint="eastAsia"/>
          <w:spacing w:val="12"/>
          <w:sz w:val="32"/>
          <w:szCs w:val="32"/>
          <w:lang w:eastAsia="zh-CN"/>
        </w:rPr>
        <w:t>资金全部来源于财政拨款，</w:t>
      </w:r>
      <w:r>
        <w:rPr>
          <w:rFonts w:hint="eastAsia"/>
          <w:spacing w:val="-11"/>
          <w:sz w:val="32"/>
          <w:szCs w:val="32"/>
          <w:lang w:val="en-US" w:eastAsia="zh-CN"/>
        </w:rPr>
        <w:t>社区</w:t>
      </w:r>
      <w:r>
        <w:rPr>
          <w:rFonts w:hint="eastAsia"/>
          <w:spacing w:val="12"/>
          <w:sz w:val="32"/>
          <w:szCs w:val="32"/>
          <w:lang w:eastAsia="zh-CN"/>
        </w:rPr>
        <w:t>运转经费拨付到村级账户，财政所信息化建设经费按开支据实拨付。</w:t>
      </w:r>
    </w:p>
    <w:p w14:paraId="3BF36E09">
      <w:pPr>
        <w:pStyle w:val="2"/>
        <w:widowControl w:val="0"/>
        <w:numPr>
          <w:ilvl w:val="0"/>
          <w:numId w:val="4"/>
        </w:numPr>
        <w:kinsoku/>
        <w:overflowPunct w:val="0"/>
        <w:autoSpaceDE/>
        <w:autoSpaceDN/>
        <w:spacing w:line="360" w:lineRule="auto"/>
        <w:ind w:firstLine="700" w:firstLineChars="200"/>
        <w:rPr>
          <w:spacing w:val="15"/>
          <w:sz w:val="32"/>
          <w:szCs w:val="32"/>
          <w:lang w:eastAsia="zh-CN"/>
        </w:rPr>
      </w:pPr>
      <w:r>
        <w:rPr>
          <w:spacing w:val="15"/>
          <w:sz w:val="32"/>
          <w:szCs w:val="32"/>
          <w:lang w:eastAsia="zh-CN"/>
        </w:rPr>
        <w:t>资金到位情况</w:t>
      </w:r>
    </w:p>
    <w:p w14:paraId="786E46BC">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360" w:lineRule="auto"/>
        <w:ind w:firstLine="700" w:firstLineChars="200"/>
        <w:textAlignment w:val="baseline"/>
        <w:rPr>
          <w:spacing w:val="15"/>
          <w:sz w:val="32"/>
          <w:szCs w:val="32"/>
          <w:lang w:eastAsia="zh-CN"/>
        </w:rPr>
      </w:pPr>
      <w:r>
        <w:rPr>
          <w:rFonts w:hint="eastAsia"/>
          <w:spacing w:val="15"/>
          <w:sz w:val="32"/>
          <w:szCs w:val="32"/>
          <w:lang w:eastAsia="zh-CN"/>
        </w:rPr>
        <w:t>资金指标于年初下达到位。</w:t>
      </w:r>
    </w:p>
    <w:p w14:paraId="201B1459">
      <w:pPr>
        <w:pStyle w:val="2"/>
        <w:widowControl w:val="0"/>
        <w:numPr>
          <w:ilvl w:val="0"/>
          <w:numId w:val="4"/>
        </w:numPr>
        <w:kinsoku/>
        <w:overflowPunct w:val="0"/>
        <w:autoSpaceDE/>
        <w:autoSpaceDN/>
        <w:spacing w:line="360" w:lineRule="auto"/>
        <w:ind w:left="0" w:leftChars="0" w:firstLine="700" w:firstLineChars="200"/>
        <w:rPr>
          <w:spacing w:val="15"/>
          <w:sz w:val="32"/>
          <w:szCs w:val="32"/>
          <w:lang w:eastAsia="zh-CN"/>
        </w:rPr>
      </w:pPr>
      <w:r>
        <w:rPr>
          <w:spacing w:val="15"/>
          <w:sz w:val="32"/>
          <w:szCs w:val="32"/>
          <w:lang w:eastAsia="zh-CN"/>
        </w:rPr>
        <w:t>资金使用情况</w:t>
      </w:r>
    </w:p>
    <w:p w14:paraId="4F466510">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360" w:lineRule="auto"/>
        <w:ind w:firstLine="700" w:firstLineChars="200"/>
        <w:textAlignment w:val="baseline"/>
        <w:rPr>
          <w:spacing w:val="15"/>
          <w:sz w:val="32"/>
          <w:szCs w:val="32"/>
          <w:lang w:eastAsia="zh-CN"/>
        </w:rPr>
      </w:pPr>
      <w:r>
        <w:rPr>
          <w:rFonts w:hint="eastAsia"/>
          <w:spacing w:val="15"/>
          <w:sz w:val="32"/>
          <w:szCs w:val="32"/>
          <w:lang w:eastAsia="zh-CN"/>
        </w:rPr>
        <w:t>各项目资金均按照预算用途使用，无挪用、截留等情况，均已拨付完毕。</w:t>
      </w:r>
    </w:p>
    <w:p w14:paraId="230DC62A">
      <w:pPr>
        <w:pStyle w:val="2"/>
        <w:widowControl w:val="0"/>
        <w:numPr>
          <w:ilvl w:val="0"/>
          <w:numId w:val="4"/>
        </w:numPr>
        <w:kinsoku/>
        <w:overflowPunct w:val="0"/>
        <w:autoSpaceDE/>
        <w:autoSpaceDN/>
        <w:spacing w:line="360" w:lineRule="auto"/>
        <w:ind w:left="0" w:leftChars="0" w:firstLine="676" w:firstLineChars="200"/>
        <w:rPr>
          <w:spacing w:val="9"/>
          <w:sz w:val="32"/>
          <w:szCs w:val="32"/>
          <w:lang w:eastAsia="zh-CN"/>
        </w:rPr>
      </w:pPr>
      <w:r>
        <w:rPr>
          <w:spacing w:val="9"/>
          <w:sz w:val="32"/>
          <w:szCs w:val="32"/>
          <w:lang w:eastAsia="zh-CN"/>
        </w:rPr>
        <w:t>资金管理制度及执行情况</w:t>
      </w:r>
    </w:p>
    <w:p w14:paraId="4AF7F626">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360" w:lineRule="auto"/>
        <w:ind w:firstLine="596" w:firstLineChars="200"/>
        <w:textAlignment w:val="baseline"/>
        <w:rPr>
          <w:spacing w:val="9"/>
          <w:sz w:val="32"/>
          <w:szCs w:val="32"/>
          <w:lang w:eastAsia="zh-CN"/>
        </w:rPr>
      </w:pPr>
      <w:r>
        <w:rPr>
          <w:rFonts w:hint="eastAsia"/>
          <w:spacing w:val="-11"/>
          <w:sz w:val="32"/>
          <w:szCs w:val="32"/>
          <w:lang w:val="en-US" w:eastAsia="zh-CN"/>
        </w:rPr>
        <w:t>社区</w:t>
      </w:r>
      <w:r>
        <w:rPr>
          <w:rFonts w:hint="eastAsia"/>
          <w:spacing w:val="9"/>
          <w:sz w:val="32"/>
          <w:szCs w:val="32"/>
          <w:lang w:eastAsia="zh-CN"/>
        </w:rPr>
        <w:t>运转经费拨付到村账后按村级财务报账制度支付，按要求支付完毕；财政所信息化建设经费开支按单位财务制度支付，按要求支付完毕。</w:t>
      </w:r>
    </w:p>
    <w:p w14:paraId="5FCDD944">
      <w:pPr>
        <w:pStyle w:val="2"/>
        <w:widowControl w:val="0"/>
        <w:kinsoku/>
        <w:overflowPunct w:val="0"/>
        <w:autoSpaceDE/>
        <w:autoSpaceDN/>
        <w:spacing w:line="360" w:lineRule="auto"/>
        <w:ind w:firstLine="628" w:firstLineChars="200"/>
        <w:rPr>
          <w:spacing w:val="-3"/>
          <w:sz w:val="32"/>
          <w:szCs w:val="32"/>
          <w:lang w:eastAsia="zh-CN"/>
        </w:rPr>
      </w:pPr>
      <w:r>
        <w:rPr>
          <w:spacing w:val="-3"/>
          <w:sz w:val="32"/>
          <w:szCs w:val="32"/>
          <w:lang w:eastAsia="zh-CN"/>
        </w:rPr>
        <w:t>2.项目组织实施管理情况</w:t>
      </w:r>
    </w:p>
    <w:p w14:paraId="09C3CBF9">
      <w:pPr>
        <w:pStyle w:val="2"/>
        <w:widowControl w:val="0"/>
        <w:kinsoku/>
        <w:overflowPunct w:val="0"/>
        <w:autoSpaceDE/>
        <w:autoSpaceDN/>
        <w:spacing w:line="360" w:lineRule="auto"/>
        <w:ind w:firstLine="628" w:firstLineChars="200"/>
        <w:rPr>
          <w:spacing w:val="-3"/>
          <w:sz w:val="32"/>
          <w:szCs w:val="32"/>
          <w:lang w:eastAsia="zh-CN"/>
        </w:rPr>
      </w:pPr>
      <w:r>
        <w:rPr>
          <w:rFonts w:hint="eastAsia"/>
          <w:spacing w:val="-3"/>
          <w:sz w:val="32"/>
          <w:szCs w:val="32"/>
          <w:lang w:eastAsia="zh-CN"/>
        </w:rPr>
        <w:t>制定了严格的资金管理制度，规范资金投入和使用情况，管理效果良好。</w:t>
      </w:r>
    </w:p>
    <w:p w14:paraId="71D56534">
      <w:pPr>
        <w:widowControl w:val="0"/>
        <w:kinsoku/>
        <w:overflowPunct w:val="0"/>
        <w:autoSpaceDE/>
        <w:autoSpaceDN/>
        <w:spacing w:line="360" w:lineRule="auto"/>
        <w:ind w:firstLine="675" w:firstLineChars="200"/>
        <w:outlineLvl w:val="0"/>
        <w:rPr>
          <w:rFonts w:ascii="楷体" w:hAnsi="楷体" w:eastAsia="楷体" w:cs="楷体"/>
          <w:sz w:val="32"/>
          <w:szCs w:val="32"/>
          <w:lang w:eastAsia="zh-CN"/>
        </w:rPr>
      </w:pPr>
      <w:r>
        <w:rPr>
          <w:rFonts w:ascii="楷体" w:hAnsi="楷体" w:eastAsia="楷体" w:cs="楷体"/>
          <w:b/>
          <w:bCs/>
          <w:spacing w:val="8"/>
          <w:sz w:val="32"/>
          <w:szCs w:val="32"/>
          <w:lang w:eastAsia="zh-CN"/>
        </w:rPr>
        <w:t>(三)预算绩效目标情况</w:t>
      </w:r>
    </w:p>
    <w:p w14:paraId="3A153612">
      <w:pPr>
        <w:pStyle w:val="2"/>
        <w:widowControl w:val="0"/>
        <w:kinsoku/>
        <w:overflowPunct w:val="0"/>
        <w:autoSpaceDE/>
        <w:autoSpaceDN/>
        <w:spacing w:line="360" w:lineRule="auto"/>
        <w:ind w:firstLine="612" w:firstLineChars="200"/>
        <w:rPr>
          <w:spacing w:val="-7"/>
          <w:sz w:val="32"/>
          <w:szCs w:val="32"/>
          <w:lang w:eastAsia="zh-CN"/>
        </w:rPr>
      </w:pPr>
      <w:r>
        <w:rPr>
          <w:rFonts w:ascii="宋体" w:hAnsi="宋体" w:eastAsia="宋体" w:cs="宋体"/>
          <w:spacing w:val="-7"/>
          <w:sz w:val="32"/>
          <w:szCs w:val="32"/>
          <w:lang w:eastAsia="zh-CN"/>
        </w:rPr>
        <w:t>1.</w:t>
      </w:r>
      <w:r>
        <w:rPr>
          <w:spacing w:val="-7"/>
          <w:sz w:val="32"/>
          <w:szCs w:val="32"/>
          <w:lang w:eastAsia="zh-CN"/>
        </w:rPr>
        <w:t>绩效目标</w:t>
      </w:r>
    </w:p>
    <w:p w14:paraId="384D2F77">
      <w:pPr>
        <w:pStyle w:val="2"/>
        <w:widowControl w:val="0"/>
        <w:kinsoku/>
        <w:overflowPunct w:val="0"/>
        <w:autoSpaceDE/>
        <w:autoSpaceDN/>
        <w:spacing w:line="360" w:lineRule="auto"/>
        <w:ind w:firstLine="596" w:firstLineChars="200"/>
        <w:rPr>
          <w:spacing w:val="-7"/>
          <w:sz w:val="32"/>
          <w:szCs w:val="32"/>
          <w:lang w:eastAsia="zh-CN"/>
        </w:rPr>
      </w:pPr>
      <w:r>
        <w:rPr>
          <w:rFonts w:hint="eastAsia"/>
          <w:spacing w:val="-11"/>
          <w:sz w:val="32"/>
          <w:szCs w:val="32"/>
          <w:lang w:val="en-US" w:eastAsia="zh-CN"/>
        </w:rPr>
        <w:t>社区</w:t>
      </w:r>
      <w:r>
        <w:rPr>
          <w:rFonts w:hint="eastAsia"/>
          <w:spacing w:val="-7"/>
          <w:sz w:val="32"/>
          <w:szCs w:val="32"/>
          <w:lang w:eastAsia="zh-CN"/>
        </w:rPr>
        <w:t>办公及服务群众专项经费绩效目标为保障村级组织正常运转，更好地服务群众；财政所信息化建设经费绩效目标为保障财政所正常运转，提高信息化建设水平。</w:t>
      </w:r>
    </w:p>
    <w:p w14:paraId="5064BEDF">
      <w:pPr>
        <w:pStyle w:val="2"/>
        <w:widowControl w:val="0"/>
        <w:kinsoku/>
        <w:overflowPunct w:val="0"/>
        <w:autoSpaceDE/>
        <w:autoSpaceDN/>
        <w:spacing w:line="360" w:lineRule="auto"/>
        <w:ind w:firstLine="628" w:firstLineChars="200"/>
        <w:rPr>
          <w:spacing w:val="-3"/>
          <w:sz w:val="32"/>
          <w:szCs w:val="32"/>
          <w:lang w:eastAsia="zh-CN"/>
        </w:rPr>
      </w:pPr>
      <w:r>
        <w:rPr>
          <w:spacing w:val="-3"/>
          <w:sz w:val="32"/>
          <w:szCs w:val="32"/>
          <w:lang w:eastAsia="zh-CN"/>
        </w:rPr>
        <w:t>2.绩效指标</w:t>
      </w:r>
    </w:p>
    <w:p w14:paraId="011CEEB3">
      <w:pPr>
        <w:pStyle w:val="2"/>
        <w:widowControl w:val="0"/>
        <w:kinsoku/>
        <w:overflowPunct w:val="0"/>
        <w:autoSpaceDE/>
        <w:autoSpaceDN/>
        <w:spacing w:line="360" w:lineRule="auto"/>
        <w:ind w:firstLine="596" w:firstLineChars="200"/>
        <w:rPr>
          <w:rFonts w:hint="eastAsia"/>
          <w:spacing w:val="-3"/>
          <w:sz w:val="32"/>
          <w:szCs w:val="32"/>
          <w:lang w:val="en-US" w:eastAsia="zh-CN"/>
        </w:rPr>
      </w:pPr>
      <w:r>
        <w:rPr>
          <w:rFonts w:hint="eastAsia"/>
          <w:spacing w:val="-11"/>
          <w:sz w:val="32"/>
          <w:szCs w:val="32"/>
          <w:lang w:val="en-US" w:eastAsia="zh-CN"/>
        </w:rPr>
        <w:t>社区</w:t>
      </w:r>
      <w:r>
        <w:rPr>
          <w:rFonts w:hint="eastAsia"/>
          <w:spacing w:val="-3"/>
          <w:sz w:val="32"/>
          <w:szCs w:val="32"/>
          <w:lang w:eastAsia="zh-CN"/>
        </w:rPr>
        <w:t>运转经费</w:t>
      </w:r>
      <w:r>
        <w:rPr>
          <w:rFonts w:hint="eastAsia"/>
          <w:spacing w:val="-3"/>
          <w:sz w:val="32"/>
          <w:szCs w:val="32"/>
          <w:lang w:val="en-US" w:eastAsia="zh-CN"/>
        </w:rPr>
        <w:t>绩效目标评价设</w:t>
      </w:r>
      <w:r>
        <w:rPr>
          <w:rFonts w:hint="eastAsia"/>
          <w:spacing w:val="-3"/>
          <w:sz w:val="32"/>
          <w:szCs w:val="32"/>
          <w:lang w:eastAsia="zh-CN"/>
        </w:rPr>
        <w:t>成本指标、产出指标、效益指标、满意度指标。成本指标二级指标为经济成本指标，三级指标为不超支，指标值为</w:t>
      </w:r>
      <w:r>
        <w:rPr>
          <w:rFonts w:hint="eastAsia"/>
          <w:spacing w:val="-3"/>
          <w:sz w:val="32"/>
          <w:szCs w:val="32"/>
          <w:lang w:val="en-US" w:eastAsia="zh-CN"/>
        </w:rPr>
        <w:t>169万元，指标值内容为支出不超过169万元；产出指标二级指标为质量指标和时效指标，质量指标三级指标为</w:t>
      </w:r>
      <w:r>
        <w:rPr>
          <w:rFonts w:hint="eastAsia"/>
          <w:spacing w:val="-11"/>
          <w:sz w:val="32"/>
          <w:szCs w:val="32"/>
          <w:lang w:val="en-US" w:eastAsia="zh-CN"/>
        </w:rPr>
        <w:t>社区</w:t>
      </w:r>
      <w:r>
        <w:rPr>
          <w:rFonts w:hint="eastAsia"/>
          <w:spacing w:val="-3"/>
          <w:sz w:val="32"/>
          <w:szCs w:val="32"/>
          <w:lang w:val="en-US" w:eastAsia="zh-CN"/>
        </w:rPr>
        <w:t>运转和服务群众情况，指标值内容为情况良好，时效指标三级指标为日期，指标值内容为在2023年12月31日前完成；效益指标二级指标为社会效益指标，指标值内容为对红星街道办事处社会发展起到促进作用；满意度指标二级指标为服务对象满意度，指标值内容为服务群众满意度高于90%。</w:t>
      </w:r>
    </w:p>
    <w:p w14:paraId="1F974A3A">
      <w:pPr>
        <w:pStyle w:val="2"/>
        <w:widowControl w:val="0"/>
        <w:kinsoku/>
        <w:overflowPunct w:val="0"/>
        <w:autoSpaceDE/>
        <w:autoSpaceDN/>
        <w:spacing w:line="360" w:lineRule="auto"/>
        <w:ind w:firstLine="628" w:firstLineChars="200"/>
        <w:rPr>
          <w:rFonts w:hint="default"/>
          <w:spacing w:val="-3"/>
          <w:sz w:val="32"/>
          <w:szCs w:val="32"/>
          <w:lang w:val="en-US" w:eastAsia="zh-CN"/>
        </w:rPr>
      </w:pPr>
      <w:r>
        <w:rPr>
          <w:rFonts w:hint="eastAsia"/>
          <w:spacing w:val="-3"/>
          <w:sz w:val="32"/>
          <w:szCs w:val="32"/>
          <w:lang w:val="en-US" w:eastAsia="zh-CN"/>
        </w:rPr>
        <w:t>财政所信息化建设经费绩效目标评价设</w:t>
      </w:r>
      <w:r>
        <w:rPr>
          <w:rFonts w:hint="eastAsia"/>
          <w:spacing w:val="-3"/>
          <w:sz w:val="32"/>
          <w:szCs w:val="32"/>
          <w:lang w:eastAsia="zh-CN"/>
        </w:rPr>
        <w:t>成本指标、产出指标、效益指标、满意度指标。成本指标二级指标为经济成本指标，三级指标为不超支，指标值为</w:t>
      </w:r>
      <w:r>
        <w:rPr>
          <w:rFonts w:hint="eastAsia"/>
          <w:spacing w:val="-3"/>
          <w:sz w:val="32"/>
          <w:szCs w:val="32"/>
          <w:lang w:val="en-US" w:eastAsia="zh-CN"/>
        </w:rPr>
        <w:t>1万元，指标值内容为支出不超过1万元；产出指标二级指标为质量指标和时效指标，质量指标三级指标为财政所日常运转和服务水平，指标值内容为运转及水平良好，时效指标三级指标为日期，指标值内容为在2023年12月31日前完成；效益指标二级指标为社会效益指标，指标值内容为对黄岩社会经济起到正向影响；满意度指标二级指标为服务对象满意度，指标值内容为服务对象满意度高于90%。</w:t>
      </w:r>
    </w:p>
    <w:p w14:paraId="777AD235">
      <w:pPr>
        <w:widowControl w:val="0"/>
        <w:kinsoku/>
        <w:overflowPunct w:val="0"/>
        <w:autoSpaceDE/>
        <w:autoSpaceDN/>
        <w:spacing w:line="360" w:lineRule="auto"/>
        <w:ind w:firstLine="611" w:firstLineChars="200"/>
        <w:outlineLvl w:val="0"/>
        <w:rPr>
          <w:rFonts w:ascii="黑体" w:hAnsi="黑体" w:eastAsia="黑体" w:cs="黑体"/>
          <w:sz w:val="32"/>
          <w:szCs w:val="32"/>
          <w:lang w:eastAsia="zh-CN"/>
        </w:rPr>
      </w:pPr>
      <w:r>
        <w:rPr>
          <w:rFonts w:ascii="黑体" w:hAnsi="黑体" w:eastAsia="黑体" w:cs="黑体"/>
          <w:b/>
          <w:bCs/>
          <w:spacing w:val="-8"/>
          <w:sz w:val="32"/>
          <w:szCs w:val="32"/>
          <w:lang w:eastAsia="zh-CN"/>
        </w:rPr>
        <w:t>二、绩效评价工作情况</w:t>
      </w:r>
    </w:p>
    <w:p w14:paraId="3EB0667C">
      <w:pPr>
        <w:widowControl w:val="0"/>
        <w:kinsoku/>
        <w:overflowPunct w:val="0"/>
        <w:autoSpaceDE/>
        <w:autoSpaceDN/>
        <w:spacing w:line="360" w:lineRule="auto"/>
        <w:ind w:firstLine="683" w:firstLineChars="200"/>
        <w:outlineLvl w:val="0"/>
        <w:rPr>
          <w:rFonts w:ascii="楷体" w:hAnsi="楷体" w:eastAsia="楷体" w:cs="楷体"/>
          <w:b/>
          <w:bCs/>
          <w:spacing w:val="10"/>
          <w:sz w:val="32"/>
          <w:szCs w:val="32"/>
          <w:lang w:eastAsia="zh-CN"/>
        </w:rPr>
      </w:pPr>
      <w:r>
        <w:rPr>
          <w:rFonts w:ascii="楷体" w:hAnsi="楷体" w:eastAsia="楷体" w:cs="楷体"/>
          <w:b/>
          <w:bCs/>
          <w:spacing w:val="10"/>
          <w:sz w:val="32"/>
          <w:szCs w:val="32"/>
          <w:lang w:eastAsia="zh-CN"/>
        </w:rPr>
        <w:t>(一)绩效评价目的</w:t>
      </w:r>
    </w:p>
    <w:p w14:paraId="42C6505E">
      <w:pPr>
        <w:widowControl w:val="0"/>
        <w:kinsoku/>
        <w:overflowPunct w:val="0"/>
        <w:autoSpaceDE/>
        <w:autoSpaceDN/>
        <w:spacing w:line="360" w:lineRule="auto"/>
        <w:ind w:firstLine="628" w:firstLineChars="200"/>
        <w:outlineLvl w:val="0"/>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进一步规范财政专项资金管理，强化项目支出绩效理念和责任意识，提高项目资金使用效益。</w:t>
      </w:r>
    </w:p>
    <w:p w14:paraId="6BF435D5">
      <w:pPr>
        <w:widowControl w:val="0"/>
        <w:kinsoku/>
        <w:overflowPunct w:val="0"/>
        <w:autoSpaceDE/>
        <w:autoSpaceDN/>
        <w:spacing w:line="360" w:lineRule="auto"/>
        <w:ind w:firstLine="655" w:firstLineChars="200"/>
        <w:outlineLvl w:val="0"/>
        <w:rPr>
          <w:rFonts w:ascii="楷体" w:hAnsi="楷体" w:eastAsia="楷体" w:cs="楷体"/>
          <w:b/>
          <w:bCs/>
          <w:spacing w:val="3"/>
          <w:sz w:val="32"/>
          <w:szCs w:val="32"/>
          <w:lang w:eastAsia="zh-CN"/>
        </w:rPr>
      </w:pPr>
      <w:r>
        <w:rPr>
          <w:rFonts w:ascii="楷体" w:hAnsi="楷体" w:eastAsia="楷体" w:cs="楷体"/>
          <w:b/>
          <w:bCs/>
          <w:spacing w:val="3"/>
          <w:sz w:val="32"/>
          <w:szCs w:val="32"/>
          <w:lang w:eastAsia="zh-CN"/>
        </w:rPr>
        <w:t>(二)被评价单位、绩效评价范围与时段</w:t>
      </w:r>
    </w:p>
    <w:p w14:paraId="4A92CAD2">
      <w:pPr>
        <w:widowControl w:val="0"/>
        <w:kinsoku/>
        <w:overflowPunct w:val="0"/>
        <w:autoSpaceDE/>
        <w:autoSpaceDN/>
        <w:spacing w:line="360" w:lineRule="auto"/>
        <w:ind w:firstLine="628" w:firstLineChars="200"/>
        <w:outlineLvl w:val="0"/>
        <w:rPr>
          <w:rFonts w:hint="default"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被评价单位为使用项目资金的</w:t>
      </w:r>
      <w:r>
        <w:rPr>
          <w:rFonts w:hint="eastAsia"/>
          <w:spacing w:val="-11"/>
          <w:sz w:val="32"/>
          <w:szCs w:val="32"/>
          <w:lang w:val="en-US" w:eastAsia="zh-CN"/>
        </w:rPr>
        <w:t>社区</w:t>
      </w:r>
      <w:r>
        <w:rPr>
          <w:rFonts w:hint="eastAsia" w:ascii="仿宋" w:hAnsi="仿宋" w:eastAsia="仿宋" w:cs="仿宋"/>
          <w:snapToGrid w:val="0"/>
          <w:color w:val="000000"/>
          <w:spacing w:val="-3"/>
          <w:sz w:val="32"/>
          <w:szCs w:val="32"/>
          <w:lang w:val="en-US" w:eastAsia="zh-CN" w:bidi="ar-SA"/>
        </w:rPr>
        <w:t>组织及财政所；绩效评价的范围为绩效目标涵盖的范围，时段为使用项目资金全过程。</w:t>
      </w:r>
    </w:p>
    <w:p w14:paraId="37B66829">
      <w:pPr>
        <w:widowControl w:val="0"/>
        <w:kinsoku/>
        <w:overflowPunct w:val="0"/>
        <w:autoSpaceDE/>
        <w:autoSpaceDN/>
        <w:spacing w:line="360" w:lineRule="auto"/>
        <w:ind w:firstLine="651" w:firstLineChars="200"/>
        <w:outlineLvl w:val="0"/>
        <w:rPr>
          <w:rFonts w:ascii="楷体" w:hAnsi="楷体" w:eastAsia="楷体" w:cs="楷体"/>
          <w:b/>
          <w:bCs/>
          <w:spacing w:val="2"/>
          <w:sz w:val="32"/>
          <w:szCs w:val="32"/>
          <w:lang w:eastAsia="zh-CN"/>
        </w:rPr>
      </w:pPr>
      <w:r>
        <w:rPr>
          <w:rFonts w:ascii="楷体" w:hAnsi="楷体" w:eastAsia="楷体" w:cs="楷体"/>
          <w:b/>
          <w:bCs/>
          <w:spacing w:val="2"/>
          <w:sz w:val="32"/>
          <w:szCs w:val="32"/>
          <w:lang w:eastAsia="zh-CN"/>
        </w:rPr>
        <w:t>(三)绩效评价原则、评价指标体系、评价方法</w:t>
      </w:r>
    </w:p>
    <w:p w14:paraId="0E15629B">
      <w:pPr>
        <w:keepNext w:val="0"/>
        <w:keepLines w:val="0"/>
        <w:pageBreakBefore w:val="0"/>
        <w:widowControl w:val="0"/>
        <w:kinsoku/>
        <w:wordWrap/>
        <w:overflowPunct w:val="0"/>
        <w:topLinePunct w:val="0"/>
        <w:autoSpaceDE/>
        <w:autoSpaceDN/>
        <w:bidi w:val="0"/>
        <w:adjustRightInd w:val="0"/>
        <w:snapToGrid w:val="0"/>
        <w:spacing w:line="360" w:lineRule="auto"/>
        <w:ind w:firstLine="628" w:firstLineChars="200"/>
        <w:textAlignment w:val="baseline"/>
        <w:outlineLvl w:val="0"/>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绩效评价原则是科学、合理、客观；评价指标体系以湖南省预算支出绩效评价管理办法为指导，以项目业务实际内容为基础，结合项目实施单位职能职责、年度预算绩效目标和专项资金管理办法综合制定评价体系；评价方法则是运用科学、合理、考虑实际情况的绩效评价方法。</w:t>
      </w:r>
    </w:p>
    <w:p w14:paraId="21A4D01C">
      <w:pPr>
        <w:spacing w:line="242" w:lineRule="auto"/>
        <w:ind w:firstLine="619" w:firstLineChars="200"/>
        <w:rPr>
          <w:lang w:eastAsia="zh-CN"/>
        </w:rPr>
      </w:pPr>
      <w:r>
        <w:rPr>
          <w:rFonts w:ascii="黑体" w:hAnsi="黑体" w:eastAsia="黑体" w:cs="黑体"/>
          <w:b/>
          <w:bCs/>
          <w:spacing w:val="-6"/>
          <w:sz w:val="32"/>
          <w:szCs w:val="32"/>
          <w:lang w:eastAsia="zh-CN"/>
        </w:rPr>
        <w:t>三、主要绩效及评价结论</w:t>
      </w:r>
    </w:p>
    <w:p w14:paraId="604B91E6">
      <w:pPr>
        <w:spacing w:line="242" w:lineRule="auto"/>
        <w:rPr>
          <w:lang w:eastAsia="zh-CN"/>
        </w:rPr>
      </w:pPr>
    </w:p>
    <w:p w14:paraId="727BF888">
      <w:pPr>
        <w:keepNext w:val="0"/>
        <w:keepLines w:val="0"/>
        <w:pageBreakBefore w:val="0"/>
        <w:wordWrap/>
        <w:topLinePunct w:val="0"/>
        <w:bidi w:val="0"/>
        <w:adjustRightInd w:val="0"/>
        <w:snapToGrid w:val="0"/>
        <w:spacing w:before="107"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(一)社会效益</w:t>
      </w:r>
    </w:p>
    <w:p w14:paraId="425780B6">
      <w:pPr>
        <w:keepNext w:val="0"/>
        <w:keepLines w:val="0"/>
        <w:pageBreakBefore w:val="0"/>
        <w:widowControl/>
        <w:kinsoku w:val="0"/>
        <w:wordWrap/>
        <w:overflowPunct/>
        <w:topLinePunct w:val="0"/>
        <w:autoSpaceDE w:val="0"/>
        <w:autoSpaceDN w:val="0"/>
        <w:bidi w:val="0"/>
        <w:adjustRightInd w:val="0"/>
        <w:snapToGrid w:val="0"/>
        <w:spacing w:before="107" w:line="360" w:lineRule="auto"/>
        <w:ind w:firstLine="628"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社区运转经费的使用保障了</w:t>
      </w:r>
      <w:r>
        <w:rPr>
          <w:rFonts w:hint="eastAsia"/>
          <w:spacing w:val="-11"/>
          <w:sz w:val="32"/>
          <w:szCs w:val="32"/>
          <w:lang w:val="en-US" w:eastAsia="zh-CN"/>
        </w:rPr>
        <w:t>社区</w:t>
      </w:r>
      <w:r>
        <w:rPr>
          <w:rFonts w:hint="eastAsia" w:ascii="仿宋" w:hAnsi="仿宋" w:eastAsia="仿宋" w:cs="仿宋"/>
          <w:snapToGrid w:val="0"/>
          <w:color w:val="000000"/>
          <w:spacing w:val="-3"/>
          <w:sz w:val="32"/>
          <w:szCs w:val="32"/>
          <w:lang w:val="en-US" w:eastAsia="zh-CN" w:bidi="ar-SA"/>
        </w:rPr>
        <w:t>组织运转，提高服务社区居民水平，对社会发展起到促进作用；财政所信息化建设经费保障财政所日常运作，提高财政所服务乡镇水平，对黄岩社会经济发展发挥正向影响作用。</w:t>
      </w:r>
    </w:p>
    <w:p w14:paraId="515AFAB3">
      <w:pPr>
        <w:keepNext w:val="0"/>
        <w:keepLines w:val="0"/>
        <w:pageBreakBefore w:val="0"/>
        <w:wordWrap/>
        <w:topLinePunct w:val="0"/>
        <w:bidi w:val="0"/>
        <w:adjustRightInd w:val="0"/>
        <w:snapToGrid w:val="0"/>
        <w:spacing w:before="113"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(二)生态效益</w:t>
      </w:r>
    </w:p>
    <w:p w14:paraId="1F7F8D7E">
      <w:pPr>
        <w:keepNext w:val="0"/>
        <w:keepLines w:val="0"/>
        <w:pageBreakBefore w:val="0"/>
        <w:widowControl/>
        <w:kinsoku w:val="0"/>
        <w:wordWrap/>
        <w:overflowPunct/>
        <w:topLinePunct w:val="0"/>
        <w:autoSpaceDE w:val="0"/>
        <w:autoSpaceDN w:val="0"/>
        <w:bidi w:val="0"/>
        <w:adjustRightInd w:val="0"/>
        <w:snapToGrid w:val="0"/>
        <w:spacing w:before="107" w:line="360" w:lineRule="auto"/>
        <w:ind w:firstLine="628"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社区运转经费的使用保障了社区组织运转，提高服务居民水平，包括处理各种污水渠道维修、生态林修剪以及组织小区环境整治等生态环境相关问题，对生态发展起到促进作用；财政所信息化建设经费保障财政所日常信息化建设，提高财政所服务乡镇水平，对黄岩生态发展间接发挥正向作用。</w:t>
      </w:r>
    </w:p>
    <w:p w14:paraId="0D4DD941">
      <w:pPr>
        <w:keepNext w:val="0"/>
        <w:keepLines w:val="0"/>
        <w:pageBreakBefore w:val="0"/>
        <w:wordWrap/>
        <w:topLinePunct w:val="0"/>
        <w:bidi w:val="0"/>
        <w:adjustRightInd w:val="0"/>
        <w:snapToGrid w:val="0"/>
        <w:spacing w:before="113"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(三)可持续影响</w:t>
      </w:r>
    </w:p>
    <w:p w14:paraId="2FB1A1A2">
      <w:pPr>
        <w:keepNext w:val="0"/>
        <w:keepLines w:val="0"/>
        <w:pageBreakBefore w:val="0"/>
        <w:widowControl/>
        <w:kinsoku w:val="0"/>
        <w:wordWrap/>
        <w:overflowPunct/>
        <w:topLinePunct w:val="0"/>
        <w:autoSpaceDE w:val="0"/>
        <w:autoSpaceDN w:val="0"/>
        <w:bidi w:val="0"/>
        <w:adjustRightInd w:val="0"/>
        <w:snapToGrid w:val="0"/>
        <w:spacing w:before="113" w:line="360" w:lineRule="auto"/>
        <w:ind w:firstLine="628"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社区运转经费使得村级组织服务群众可持续；财政所信息化建设经费使服务乡镇影响可持续。</w:t>
      </w:r>
    </w:p>
    <w:p w14:paraId="0FC6341C">
      <w:pPr>
        <w:keepNext w:val="0"/>
        <w:keepLines w:val="0"/>
        <w:pageBreakBefore w:val="0"/>
        <w:wordWrap/>
        <w:topLinePunct w:val="0"/>
        <w:bidi w:val="0"/>
        <w:adjustRightInd w:val="0"/>
        <w:snapToGrid w:val="0"/>
        <w:spacing w:before="117"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(四)满意度情况</w:t>
      </w:r>
    </w:p>
    <w:p w14:paraId="2B6BFC31">
      <w:pPr>
        <w:keepNext w:val="0"/>
        <w:keepLines w:val="0"/>
        <w:pageBreakBefore w:val="0"/>
        <w:widowControl/>
        <w:kinsoku w:val="0"/>
        <w:wordWrap/>
        <w:overflowPunct/>
        <w:topLinePunct w:val="0"/>
        <w:autoSpaceDE w:val="0"/>
        <w:autoSpaceDN w:val="0"/>
        <w:bidi w:val="0"/>
        <w:adjustRightInd w:val="0"/>
        <w:snapToGrid w:val="0"/>
        <w:spacing w:before="117" w:line="360" w:lineRule="auto"/>
        <w:ind w:firstLine="628" w:firstLineChars="200"/>
        <w:textAlignment w:val="baseline"/>
        <w:rPr>
          <w:rFonts w:hint="default"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服务对象满意度均达到90%以上。</w:t>
      </w:r>
    </w:p>
    <w:p w14:paraId="40172888">
      <w:pPr>
        <w:keepNext w:val="0"/>
        <w:keepLines w:val="0"/>
        <w:pageBreakBefore w:val="0"/>
        <w:wordWrap/>
        <w:topLinePunct w:val="0"/>
        <w:bidi w:val="0"/>
        <w:adjustRightInd w:val="0"/>
        <w:snapToGrid w:val="0"/>
        <w:spacing w:before="98"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(五)评价结论</w:t>
      </w:r>
    </w:p>
    <w:p w14:paraId="58FC826F">
      <w:pPr>
        <w:keepNext w:val="0"/>
        <w:keepLines w:val="0"/>
        <w:pageBreakBefore w:val="0"/>
        <w:widowControl/>
        <w:kinsoku w:val="0"/>
        <w:wordWrap/>
        <w:overflowPunct/>
        <w:topLinePunct w:val="0"/>
        <w:autoSpaceDE w:val="0"/>
        <w:autoSpaceDN w:val="0"/>
        <w:bidi w:val="0"/>
        <w:adjustRightInd w:val="0"/>
        <w:snapToGrid w:val="0"/>
        <w:spacing w:before="98" w:line="360" w:lineRule="auto"/>
        <w:ind w:firstLine="628"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项目经费支出总体绩效目标、各项绩效指标完成情况良好，预算执行情况良好，资金使用规范，按质按量完成，实现的产出情况达到预期。</w:t>
      </w:r>
    </w:p>
    <w:p w14:paraId="0036785B">
      <w:pPr>
        <w:keepNext w:val="0"/>
        <w:keepLines w:val="0"/>
        <w:pageBreakBefore w:val="0"/>
        <w:wordWrap/>
        <w:topLinePunct w:val="0"/>
        <w:bidi w:val="0"/>
        <w:adjustRightInd w:val="0"/>
        <w:snapToGrid w:val="0"/>
        <w:spacing w:before="142" w:line="360" w:lineRule="auto"/>
        <w:ind w:left="694"/>
        <w:textAlignment w:val="baseline"/>
        <w:outlineLvl w:val="0"/>
        <w:rPr>
          <w:rFonts w:ascii="黑体" w:hAnsi="黑体" w:eastAsia="黑体" w:cs="黑体"/>
          <w:sz w:val="33"/>
          <w:szCs w:val="33"/>
          <w:lang w:eastAsia="zh-CN"/>
        </w:rPr>
      </w:pPr>
      <w:r>
        <w:rPr>
          <w:rFonts w:ascii="黑体" w:hAnsi="黑体" w:eastAsia="黑体" w:cs="黑体"/>
          <w:b/>
          <w:bCs/>
          <w:spacing w:val="-32"/>
          <w:sz w:val="33"/>
          <w:szCs w:val="33"/>
          <w:lang w:eastAsia="zh-CN"/>
        </w:rPr>
        <w:t>四、绩效评价指标分析</w:t>
      </w:r>
    </w:p>
    <w:p w14:paraId="6AF98E9C">
      <w:pPr>
        <w:keepNext w:val="0"/>
        <w:keepLines w:val="0"/>
        <w:pageBreakBefore w:val="0"/>
        <w:wordWrap/>
        <w:topLinePunct w:val="0"/>
        <w:bidi w:val="0"/>
        <w:adjustRightInd w:val="0"/>
        <w:snapToGrid w:val="0"/>
        <w:spacing w:before="120" w:line="360" w:lineRule="auto"/>
        <w:ind w:left="694"/>
        <w:textAlignment w:val="baseline"/>
        <w:outlineLvl w:val="0"/>
        <w:rPr>
          <w:rFonts w:ascii="楷体" w:hAnsi="楷体" w:eastAsia="楷体" w:cs="楷体"/>
          <w:b/>
          <w:bCs/>
          <w:spacing w:val="-19"/>
          <w:sz w:val="33"/>
          <w:szCs w:val="33"/>
          <w:lang w:eastAsia="zh-CN"/>
        </w:rPr>
      </w:pPr>
      <w:r>
        <w:rPr>
          <w:rFonts w:ascii="楷体" w:hAnsi="楷体" w:eastAsia="楷体" w:cs="楷体"/>
          <w:b/>
          <w:bCs/>
          <w:spacing w:val="-19"/>
          <w:sz w:val="33"/>
          <w:szCs w:val="33"/>
          <w:lang w:eastAsia="zh-CN"/>
        </w:rPr>
        <w:t>(一)项目决策情况</w:t>
      </w:r>
    </w:p>
    <w:p w14:paraId="7F82DC87">
      <w:pPr>
        <w:keepNext w:val="0"/>
        <w:keepLines w:val="0"/>
        <w:pageBreakBefore w:val="0"/>
        <w:widowControl/>
        <w:kinsoku w:val="0"/>
        <w:wordWrap/>
        <w:overflowPunct/>
        <w:topLinePunct w:val="0"/>
        <w:autoSpaceDE w:val="0"/>
        <w:autoSpaceDN w:val="0"/>
        <w:bidi w:val="0"/>
        <w:adjustRightInd w:val="0"/>
        <w:snapToGrid w:val="0"/>
        <w:spacing w:before="120" w:line="360" w:lineRule="auto"/>
        <w:ind w:firstLine="612" w:firstLineChars="200"/>
        <w:textAlignment w:val="baseline"/>
        <w:outlineLvl w:val="0"/>
        <w:rPr>
          <w:rFonts w:ascii="仿宋" w:hAnsi="仿宋" w:eastAsia="仿宋" w:cs="仿宋"/>
          <w:snapToGrid w:val="0"/>
          <w:color w:val="000000"/>
          <w:spacing w:val="-12"/>
          <w:sz w:val="33"/>
          <w:szCs w:val="33"/>
          <w:lang w:val="en-US" w:eastAsia="zh-CN" w:bidi="ar-SA"/>
        </w:rPr>
      </w:pPr>
      <w:r>
        <w:rPr>
          <w:rFonts w:hint="eastAsia" w:ascii="仿宋" w:hAnsi="仿宋" w:eastAsia="仿宋" w:cs="仿宋"/>
          <w:snapToGrid w:val="0"/>
          <w:color w:val="000000"/>
          <w:spacing w:val="-12"/>
          <w:sz w:val="33"/>
          <w:szCs w:val="33"/>
          <w:lang w:val="en-US" w:eastAsia="zh-CN" w:bidi="ar-SA"/>
        </w:rPr>
        <w:t>项目决策依据充分，目标明确，符合单位发展需求和政策要求。</w:t>
      </w:r>
    </w:p>
    <w:p w14:paraId="05C96163">
      <w:pPr>
        <w:keepNext w:val="0"/>
        <w:keepLines w:val="0"/>
        <w:pageBreakBefore w:val="0"/>
        <w:wordWrap/>
        <w:topLinePunct w:val="0"/>
        <w:bidi w:val="0"/>
        <w:adjustRightInd w:val="0"/>
        <w:snapToGrid w:val="0"/>
        <w:spacing w:before="135" w:line="360" w:lineRule="auto"/>
        <w:ind w:left="694"/>
        <w:textAlignment w:val="baseline"/>
        <w:outlineLvl w:val="0"/>
        <w:rPr>
          <w:rFonts w:ascii="楷体" w:hAnsi="楷体" w:eastAsia="楷体" w:cs="楷体"/>
          <w:sz w:val="33"/>
          <w:szCs w:val="33"/>
          <w:lang w:eastAsia="zh-CN"/>
        </w:rPr>
      </w:pPr>
      <w:r>
        <w:rPr>
          <w:rFonts w:ascii="楷体" w:hAnsi="楷体" w:eastAsia="楷体" w:cs="楷体"/>
          <w:b/>
          <w:bCs/>
          <w:spacing w:val="-20"/>
          <w:sz w:val="33"/>
          <w:szCs w:val="33"/>
          <w:lang w:eastAsia="zh-CN"/>
        </w:rPr>
        <w:t>(二)项目过程情况</w:t>
      </w:r>
    </w:p>
    <w:p w14:paraId="01F9BF0A">
      <w:pPr>
        <w:pStyle w:val="2"/>
        <w:keepNext w:val="0"/>
        <w:keepLines w:val="0"/>
        <w:pageBreakBefore w:val="0"/>
        <w:wordWrap/>
        <w:topLinePunct w:val="0"/>
        <w:bidi w:val="0"/>
        <w:adjustRightInd w:val="0"/>
        <w:snapToGrid w:val="0"/>
        <w:spacing w:before="120" w:line="360" w:lineRule="auto"/>
        <w:ind w:left="669" w:right="6174" w:firstLine="19"/>
        <w:textAlignment w:val="baseline"/>
        <w:rPr>
          <w:spacing w:val="-12"/>
          <w:sz w:val="33"/>
          <w:szCs w:val="33"/>
          <w:lang w:eastAsia="zh-CN"/>
        </w:rPr>
      </w:pPr>
      <w:r>
        <w:rPr>
          <w:spacing w:val="-12"/>
          <w:sz w:val="33"/>
          <w:szCs w:val="33"/>
          <w:lang w:eastAsia="zh-CN"/>
        </w:rPr>
        <w:t>1.资金管理</w:t>
      </w:r>
    </w:p>
    <w:p w14:paraId="27BCC861">
      <w:pPr>
        <w:keepNext w:val="0"/>
        <w:keepLines w:val="0"/>
        <w:pageBreakBefore w:val="0"/>
        <w:widowControl w:val="0"/>
        <w:kinsoku/>
        <w:wordWrap/>
        <w:overflowPunct w:val="0"/>
        <w:topLinePunct w:val="0"/>
        <w:autoSpaceDE/>
        <w:autoSpaceDN/>
        <w:bidi w:val="0"/>
        <w:adjustRightInd w:val="0"/>
        <w:snapToGrid w:val="0"/>
        <w:spacing w:line="360" w:lineRule="auto"/>
        <w:ind w:firstLine="688" w:firstLineChars="200"/>
        <w:textAlignment w:val="baseline"/>
        <w:outlineLvl w:val="0"/>
        <w:rPr>
          <w:spacing w:val="-12"/>
          <w:sz w:val="33"/>
          <w:szCs w:val="33"/>
          <w:lang w:eastAsia="zh-CN"/>
        </w:rPr>
      </w:pPr>
      <w:r>
        <w:rPr>
          <w:rFonts w:hint="eastAsia" w:ascii="仿宋" w:hAnsi="仿宋" w:eastAsia="仿宋" w:cs="仿宋"/>
          <w:snapToGrid w:val="0"/>
          <w:color w:val="000000"/>
          <w:spacing w:val="12"/>
          <w:sz w:val="32"/>
          <w:szCs w:val="32"/>
          <w:lang w:val="en-US" w:eastAsia="zh-CN" w:bidi="ar-SA"/>
        </w:rPr>
        <w:t>资金管理制度健全，资金使用合规，财务核算规范。</w:t>
      </w:r>
    </w:p>
    <w:p w14:paraId="010A12A6">
      <w:pPr>
        <w:pStyle w:val="2"/>
        <w:keepNext w:val="0"/>
        <w:keepLines w:val="0"/>
        <w:pageBreakBefore w:val="0"/>
        <w:wordWrap/>
        <w:topLinePunct w:val="0"/>
        <w:bidi w:val="0"/>
        <w:adjustRightInd w:val="0"/>
        <w:snapToGrid w:val="0"/>
        <w:spacing w:before="120" w:line="360" w:lineRule="auto"/>
        <w:ind w:left="669" w:right="6174" w:firstLine="19"/>
        <w:textAlignment w:val="baseline"/>
        <w:rPr>
          <w:spacing w:val="-9"/>
          <w:sz w:val="33"/>
          <w:szCs w:val="33"/>
          <w:lang w:eastAsia="zh-CN"/>
        </w:rPr>
      </w:pPr>
      <w:r>
        <w:rPr>
          <w:rFonts w:ascii="宋体" w:hAnsi="宋体" w:eastAsia="宋体" w:cs="宋体"/>
          <w:spacing w:val="-9"/>
          <w:sz w:val="33"/>
          <w:szCs w:val="33"/>
          <w:lang w:eastAsia="zh-CN"/>
        </w:rPr>
        <w:t>2.</w:t>
      </w:r>
      <w:r>
        <w:rPr>
          <w:spacing w:val="-9"/>
          <w:sz w:val="33"/>
          <w:szCs w:val="33"/>
          <w:lang w:eastAsia="zh-CN"/>
        </w:rPr>
        <w:t>项目实施</w:t>
      </w:r>
    </w:p>
    <w:p w14:paraId="0422B353">
      <w:pPr>
        <w:pStyle w:val="2"/>
        <w:keepNext w:val="0"/>
        <w:keepLines w:val="0"/>
        <w:pageBreakBefore w:val="0"/>
        <w:widowControl/>
        <w:kinsoku w:val="0"/>
        <w:wordWrap/>
        <w:overflowPunct/>
        <w:topLinePunct w:val="0"/>
        <w:autoSpaceDE w:val="0"/>
        <w:autoSpaceDN w:val="0"/>
        <w:bidi w:val="0"/>
        <w:adjustRightInd w:val="0"/>
        <w:snapToGrid w:val="0"/>
        <w:spacing w:before="120" w:line="360" w:lineRule="auto"/>
        <w:ind w:left="0" w:right="0" w:firstLine="624" w:firstLineChars="200"/>
        <w:textAlignment w:val="baseline"/>
        <w:rPr>
          <w:spacing w:val="-9"/>
          <w:sz w:val="33"/>
          <w:szCs w:val="33"/>
          <w:lang w:eastAsia="zh-CN"/>
        </w:rPr>
      </w:pPr>
      <w:r>
        <w:rPr>
          <w:rFonts w:hint="eastAsia"/>
          <w:spacing w:val="-9"/>
          <w:sz w:val="33"/>
          <w:szCs w:val="33"/>
          <w:lang w:eastAsia="zh-CN"/>
        </w:rPr>
        <w:t>严格按各项制度、流程推进项目的实施。</w:t>
      </w:r>
    </w:p>
    <w:p w14:paraId="7225F14A">
      <w:pPr>
        <w:keepNext w:val="0"/>
        <w:keepLines w:val="0"/>
        <w:pageBreakBefore w:val="0"/>
        <w:wordWrap/>
        <w:topLinePunct w:val="0"/>
        <w:bidi w:val="0"/>
        <w:adjustRightInd w:val="0"/>
        <w:snapToGrid w:val="0"/>
        <w:spacing w:before="85" w:line="360" w:lineRule="auto"/>
        <w:ind w:left="694"/>
        <w:textAlignment w:val="baseline"/>
        <w:outlineLvl w:val="0"/>
        <w:rPr>
          <w:rFonts w:ascii="楷体" w:hAnsi="楷体" w:eastAsia="楷体" w:cs="楷体"/>
          <w:sz w:val="33"/>
          <w:szCs w:val="33"/>
          <w:lang w:eastAsia="zh-CN"/>
        </w:rPr>
      </w:pPr>
      <w:r>
        <w:rPr>
          <w:rFonts w:ascii="楷体" w:hAnsi="楷体" w:eastAsia="楷体" w:cs="楷体"/>
          <w:b/>
          <w:bCs/>
          <w:spacing w:val="-17"/>
          <w:sz w:val="33"/>
          <w:szCs w:val="33"/>
          <w:lang w:eastAsia="zh-CN"/>
        </w:rPr>
        <w:t>(三)项目产出情况</w:t>
      </w:r>
    </w:p>
    <w:p w14:paraId="3005DE95">
      <w:pPr>
        <w:pStyle w:val="2"/>
        <w:keepNext w:val="0"/>
        <w:keepLines w:val="0"/>
        <w:pageBreakBefore w:val="0"/>
        <w:wordWrap/>
        <w:topLinePunct w:val="0"/>
        <w:bidi w:val="0"/>
        <w:adjustRightInd w:val="0"/>
        <w:snapToGrid w:val="0"/>
        <w:spacing w:before="129" w:line="360" w:lineRule="auto"/>
        <w:ind w:left="669" w:right="6165" w:firstLine="19"/>
        <w:jc w:val="both"/>
        <w:textAlignment w:val="baseline"/>
        <w:rPr>
          <w:spacing w:val="-11"/>
          <w:sz w:val="33"/>
          <w:szCs w:val="33"/>
          <w:lang w:eastAsia="zh-CN"/>
        </w:rPr>
      </w:pPr>
      <w:r>
        <w:rPr>
          <w:spacing w:val="-11"/>
          <w:sz w:val="33"/>
          <w:szCs w:val="33"/>
          <w:lang w:eastAsia="zh-CN"/>
        </w:rPr>
        <w:t>1.产出数量</w:t>
      </w:r>
    </w:p>
    <w:p w14:paraId="66762953">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1</w:t>
      </w:r>
      <w:r>
        <w:rPr>
          <w:rFonts w:hint="eastAsia"/>
          <w:spacing w:val="-11"/>
          <w:sz w:val="33"/>
          <w:szCs w:val="33"/>
          <w:lang w:eastAsia="zh-CN"/>
        </w:rPr>
        <w:t>）</w:t>
      </w:r>
      <w:r>
        <w:rPr>
          <w:rFonts w:hint="eastAsia"/>
          <w:spacing w:val="-11"/>
          <w:sz w:val="32"/>
          <w:szCs w:val="32"/>
          <w:lang w:val="en-US" w:eastAsia="zh-CN"/>
        </w:rPr>
        <w:t>社区</w:t>
      </w:r>
      <w:r>
        <w:rPr>
          <w:rFonts w:hint="eastAsia"/>
          <w:spacing w:val="-11"/>
          <w:sz w:val="33"/>
          <w:szCs w:val="33"/>
          <w:lang w:eastAsia="zh-CN"/>
        </w:rPr>
        <w:t>运转经费使用受益</w:t>
      </w:r>
      <w:r>
        <w:rPr>
          <w:rFonts w:hint="eastAsia"/>
          <w:spacing w:val="-11"/>
          <w:sz w:val="33"/>
          <w:szCs w:val="33"/>
          <w:lang w:val="en-US" w:eastAsia="zh-CN"/>
        </w:rPr>
        <w:t>社区</w:t>
      </w:r>
      <w:r>
        <w:rPr>
          <w:rFonts w:hint="eastAsia"/>
          <w:spacing w:val="-11"/>
          <w:sz w:val="33"/>
          <w:szCs w:val="33"/>
          <w:lang w:eastAsia="zh-CN"/>
        </w:rPr>
        <w:t>数量为</w:t>
      </w:r>
      <w:r>
        <w:rPr>
          <w:rFonts w:hint="eastAsia"/>
          <w:spacing w:val="-11"/>
          <w:sz w:val="33"/>
          <w:szCs w:val="33"/>
          <w:lang w:val="en-US" w:eastAsia="zh-CN"/>
        </w:rPr>
        <w:t>13，达到预期目标。</w:t>
      </w:r>
    </w:p>
    <w:p w14:paraId="44582F89">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2</w:t>
      </w:r>
      <w:r>
        <w:rPr>
          <w:rFonts w:hint="eastAsia"/>
          <w:spacing w:val="-11"/>
          <w:sz w:val="33"/>
          <w:szCs w:val="33"/>
          <w:lang w:eastAsia="zh-CN"/>
        </w:rPr>
        <w:t>）财政所信息化建设经费使用后收益财政所数量为</w:t>
      </w:r>
      <w:r>
        <w:rPr>
          <w:rFonts w:hint="eastAsia"/>
          <w:spacing w:val="-11"/>
          <w:sz w:val="33"/>
          <w:szCs w:val="33"/>
          <w:lang w:val="en-US" w:eastAsia="zh-CN"/>
        </w:rPr>
        <w:t>1，达到预期目标。</w:t>
      </w:r>
    </w:p>
    <w:p w14:paraId="25BC2E08">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spacing w:val="-11"/>
          <w:sz w:val="33"/>
          <w:szCs w:val="33"/>
          <w:lang w:eastAsia="zh-CN"/>
        </w:rPr>
      </w:pPr>
      <w:r>
        <w:rPr>
          <w:spacing w:val="-11"/>
          <w:sz w:val="33"/>
          <w:szCs w:val="33"/>
          <w:lang w:eastAsia="zh-CN"/>
        </w:rPr>
        <w:t>2.产出质量</w:t>
      </w:r>
    </w:p>
    <w:p w14:paraId="773AC3E1">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1</w:t>
      </w:r>
      <w:r>
        <w:rPr>
          <w:rFonts w:hint="eastAsia"/>
          <w:spacing w:val="-11"/>
          <w:sz w:val="33"/>
          <w:szCs w:val="33"/>
          <w:lang w:eastAsia="zh-CN"/>
        </w:rPr>
        <w:t>）</w:t>
      </w:r>
      <w:r>
        <w:rPr>
          <w:rFonts w:hint="eastAsia"/>
          <w:spacing w:val="-11"/>
          <w:sz w:val="32"/>
          <w:szCs w:val="32"/>
          <w:lang w:val="en-US" w:eastAsia="zh-CN"/>
        </w:rPr>
        <w:t>社区</w:t>
      </w:r>
      <w:r>
        <w:rPr>
          <w:rFonts w:hint="eastAsia"/>
          <w:spacing w:val="-11"/>
          <w:sz w:val="33"/>
          <w:szCs w:val="33"/>
          <w:lang w:eastAsia="zh-CN"/>
        </w:rPr>
        <w:t>运转经费保障</w:t>
      </w:r>
      <w:r>
        <w:rPr>
          <w:rFonts w:hint="eastAsia"/>
          <w:spacing w:val="-11"/>
          <w:sz w:val="33"/>
          <w:szCs w:val="33"/>
          <w:lang w:val="en-US" w:eastAsia="zh-CN"/>
        </w:rPr>
        <w:t>红星街道</w:t>
      </w:r>
      <w:r>
        <w:rPr>
          <w:rFonts w:hint="eastAsia"/>
          <w:spacing w:val="-11"/>
          <w:sz w:val="33"/>
          <w:szCs w:val="33"/>
          <w:lang w:eastAsia="zh-CN"/>
        </w:rPr>
        <w:t>辖区内</w:t>
      </w:r>
      <w:r>
        <w:rPr>
          <w:rFonts w:hint="eastAsia"/>
          <w:spacing w:val="-11"/>
          <w:sz w:val="33"/>
          <w:szCs w:val="33"/>
          <w:lang w:val="en-US" w:eastAsia="zh-CN"/>
        </w:rPr>
        <w:t>13社区</w:t>
      </w:r>
      <w:r>
        <w:rPr>
          <w:rFonts w:hint="eastAsia"/>
          <w:spacing w:val="-11"/>
          <w:sz w:val="33"/>
          <w:szCs w:val="33"/>
          <w:lang w:eastAsia="zh-CN"/>
        </w:rPr>
        <w:t>正常运转，更好地服务群众</w:t>
      </w:r>
      <w:r>
        <w:rPr>
          <w:rFonts w:hint="eastAsia"/>
          <w:spacing w:val="-11"/>
          <w:sz w:val="33"/>
          <w:szCs w:val="33"/>
          <w:lang w:val="en-US" w:eastAsia="zh-CN"/>
        </w:rPr>
        <w:t>，效果明显，达到预期目标。</w:t>
      </w:r>
    </w:p>
    <w:p w14:paraId="784EA249">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spacing w:val="-11"/>
          <w:sz w:val="33"/>
          <w:szCs w:val="33"/>
          <w:lang w:eastAsia="zh-CN"/>
        </w:rPr>
      </w:pPr>
      <w:r>
        <w:rPr>
          <w:rFonts w:hint="eastAsia"/>
          <w:spacing w:val="-11"/>
          <w:sz w:val="33"/>
          <w:szCs w:val="33"/>
          <w:lang w:eastAsia="zh-CN"/>
        </w:rPr>
        <w:t>（</w:t>
      </w:r>
      <w:r>
        <w:rPr>
          <w:rFonts w:hint="eastAsia"/>
          <w:spacing w:val="-11"/>
          <w:sz w:val="33"/>
          <w:szCs w:val="33"/>
          <w:lang w:val="en-US" w:eastAsia="zh-CN"/>
        </w:rPr>
        <w:t>2</w:t>
      </w:r>
      <w:r>
        <w:rPr>
          <w:rFonts w:hint="eastAsia"/>
          <w:spacing w:val="-11"/>
          <w:sz w:val="33"/>
          <w:szCs w:val="33"/>
          <w:lang w:eastAsia="zh-CN"/>
        </w:rPr>
        <w:t>）财政所信息化建设经费保障了黄岩财政所日常信息化建设的各项开支，更好地服务乡镇，信息化建设水平提高效果明显</w:t>
      </w:r>
      <w:r>
        <w:rPr>
          <w:rFonts w:hint="eastAsia"/>
          <w:spacing w:val="-11"/>
          <w:sz w:val="33"/>
          <w:szCs w:val="33"/>
          <w:lang w:val="en-US" w:eastAsia="zh-CN"/>
        </w:rPr>
        <w:t>，达到预期目标。</w:t>
      </w:r>
    </w:p>
    <w:p w14:paraId="56EE4525">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24" w:firstLineChars="200"/>
        <w:jc w:val="both"/>
        <w:textAlignment w:val="baseline"/>
        <w:rPr>
          <w:spacing w:val="-9"/>
          <w:sz w:val="33"/>
          <w:szCs w:val="33"/>
          <w:lang w:eastAsia="zh-CN"/>
        </w:rPr>
      </w:pPr>
      <w:r>
        <w:rPr>
          <w:spacing w:val="-9"/>
          <w:sz w:val="33"/>
          <w:szCs w:val="33"/>
          <w:lang w:eastAsia="zh-CN"/>
        </w:rPr>
        <w:t>3.产出成本</w:t>
      </w:r>
    </w:p>
    <w:p w14:paraId="74258B3C">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1</w:t>
      </w:r>
      <w:r>
        <w:rPr>
          <w:rFonts w:hint="eastAsia"/>
          <w:spacing w:val="-11"/>
          <w:sz w:val="33"/>
          <w:szCs w:val="33"/>
          <w:lang w:eastAsia="zh-CN"/>
        </w:rPr>
        <w:t>）</w:t>
      </w:r>
      <w:r>
        <w:rPr>
          <w:rFonts w:hint="eastAsia"/>
          <w:spacing w:val="-11"/>
          <w:sz w:val="32"/>
          <w:szCs w:val="32"/>
          <w:lang w:val="en-US" w:eastAsia="zh-CN"/>
        </w:rPr>
        <w:t>社区</w:t>
      </w:r>
      <w:r>
        <w:rPr>
          <w:rFonts w:hint="eastAsia"/>
          <w:spacing w:val="-11"/>
          <w:sz w:val="33"/>
          <w:szCs w:val="33"/>
          <w:lang w:eastAsia="zh-CN"/>
        </w:rPr>
        <w:t>运转经费使用成本未超过预算</w:t>
      </w:r>
      <w:r>
        <w:rPr>
          <w:rFonts w:hint="eastAsia"/>
          <w:spacing w:val="-11"/>
          <w:sz w:val="33"/>
          <w:szCs w:val="33"/>
          <w:lang w:val="en-US" w:eastAsia="zh-CN"/>
        </w:rPr>
        <w:t>312万元，达到预期目标。</w:t>
      </w:r>
    </w:p>
    <w:p w14:paraId="47FB1C0E">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spacing w:val="-9"/>
          <w:sz w:val="33"/>
          <w:szCs w:val="33"/>
          <w:lang w:eastAsia="zh-CN"/>
        </w:rPr>
      </w:pPr>
      <w:r>
        <w:rPr>
          <w:rFonts w:hint="eastAsia"/>
          <w:spacing w:val="-11"/>
          <w:sz w:val="33"/>
          <w:szCs w:val="33"/>
          <w:lang w:eastAsia="zh-CN"/>
        </w:rPr>
        <w:t>（</w:t>
      </w:r>
      <w:r>
        <w:rPr>
          <w:rFonts w:hint="eastAsia"/>
          <w:spacing w:val="-11"/>
          <w:sz w:val="33"/>
          <w:szCs w:val="33"/>
          <w:lang w:val="en-US" w:eastAsia="zh-CN"/>
        </w:rPr>
        <w:t>2</w:t>
      </w:r>
      <w:r>
        <w:rPr>
          <w:rFonts w:hint="eastAsia"/>
          <w:spacing w:val="-11"/>
          <w:sz w:val="33"/>
          <w:szCs w:val="33"/>
          <w:lang w:eastAsia="zh-CN"/>
        </w:rPr>
        <w:t>）财政所信息化建设经费使用成本未超过预算</w:t>
      </w:r>
      <w:r>
        <w:rPr>
          <w:rFonts w:hint="eastAsia"/>
          <w:spacing w:val="-11"/>
          <w:sz w:val="33"/>
          <w:szCs w:val="33"/>
          <w:lang w:val="en-US" w:eastAsia="zh-CN"/>
        </w:rPr>
        <w:t>1万元，达到预期目标。</w:t>
      </w:r>
    </w:p>
    <w:p w14:paraId="01AC3433">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24" w:firstLineChars="200"/>
        <w:jc w:val="both"/>
        <w:textAlignment w:val="baseline"/>
        <w:rPr>
          <w:spacing w:val="-9"/>
          <w:sz w:val="33"/>
          <w:szCs w:val="33"/>
          <w:lang w:eastAsia="zh-CN"/>
        </w:rPr>
      </w:pPr>
      <w:r>
        <w:rPr>
          <w:spacing w:val="-9"/>
          <w:sz w:val="33"/>
          <w:szCs w:val="33"/>
          <w:lang w:eastAsia="zh-CN"/>
        </w:rPr>
        <w:t>4.产出时效</w:t>
      </w:r>
    </w:p>
    <w:p w14:paraId="27F000A0">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1</w:t>
      </w:r>
      <w:r>
        <w:rPr>
          <w:rFonts w:hint="eastAsia"/>
          <w:spacing w:val="-11"/>
          <w:sz w:val="33"/>
          <w:szCs w:val="33"/>
          <w:lang w:eastAsia="zh-CN"/>
        </w:rPr>
        <w:t>）</w:t>
      </w:r>
      <w:r>
        <w:rPr>
          <w:rFonts w:hint="eastAsia"/>
          <w:spacing w:val="-11"/>
          <w:sz w:val="32"/>
          <w:szCs w:val="32"/>
          <w:lang w:val="en-US" w:eastAsia="zh-CN"/>
        </w:rPr>
        <w:t>社区</w:t>
      </w:r>
      <w:r>
        <w:rPr>
          <w:rFonts w:hint="eastAsia"/>
          <w:spacing w:val="-11"/>
          <w:sz w:val="33"/>
          <w:szCs w:val="33"/>
          <w:lang w:eastAsia="zh-CN"/>
        </w:rPr>
        <w:t>运转经费使用建设在</w:t>
      </w:r>
      <w:r>
        <w:rPr>
          <w:rFonts w:hint="eastAsia"/>
          <w:spacing w:val="-11"/>
          <w:sz w:val="33"/>
          <w:szCs w:val="33"/>
          <w:lang w:val="en-US" w:eastAsia="zh-CN"/>
        </w:rPr>
        <w:t>2023年12月31日前完成，达到预期目标。</w:t>
      </w:r>
    </w:p>
    <w:p w14:paraId="22BC4C79">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spacing w:val="-9"/>
          <w:sz w:val="33"/>
          <w:szCs w:val="33"/>
          <w:lang w:eastAsia="zh-CN"/>
        </w:rPr>
      </w:pPr>
      <w:r>
        <w:rPr>
          <w:rFonts w:hint="eastAsia"/>
          <w:spacing w:val="-11"/>
          <w:sz w:val="33"/>
          <w:szCs w:val="33"/>
          <w:lang w:eastAsia="zh-CN"/>
        </w:rPr>
        <w:t>（</w:t>
      </w:r>
      <w:r>
        <w:rPr>
          <w:rFonts w:hint="eastAsia"/>
          <w:spacing w:val="-11"/>
          <w:sz w:val="33"/>
          <w:szCs w:val="33"/>
          <w:lang w:val="en-US" w:eastAsia="zh-CN"/>
        </w:rPr>
        <w:t>2</w:t>
      </w:r>
      <w:r>
        <w:rPr>
          <w:rFonts w:hint="eastAsia"/>
          <w:spacing w:val="-11"/>
          <w:sz w:val="33"/>
          <w:szCs w:val="33"/>
          <w:lang w:eastAsia="zh-CN"/>
        </w:rPr>
        <w:t>）财政所信息化建设经费使用建设在</w:t>
      </w:r>
      <w:r>
        <w:rPr>
          <w:rFonts w:hint="eastAsia"/>
          <w:spacing w:val="-11"/>
          <w:sz w:val="33"/>
          <w:szCs w:val="33"/>
          <w:lang w:val="en-US" w:eastAsia="zh-CN"/>
        </w:rPr>
        <w:t>2023年12月31日前完成，达到预期目标。</w:t>
      </w:r>
    </w:p>
    <w:p w14:paraId="59EC0782">
      <w:pPr>
        <w:spacing w:before="33" w:line="227" w:lineRule="auto"/>
        <w:ind w:left="694"/>
        <w:outlineLvl w:val="0"/>
        <w:rPr>
          <w:rFonts w:ascii="楷体" w:hAnsi="楷体" w:eastAsia="楷体" w:cs="楷体"/>
          <w:b/>
          <w:bCs/>
          <w:spacing w:val="-17"/>
          <w:sz w:val="33"/>
          <w:szCs w:val="33"/>
          <w:lang w:eastAsia="zh-CN"/>
        </w:rPr>
      </w:pPr>
      <w:r>
        <w:rPr>
          <w:rFonts w:ascii="楷体" w:hAnsi="楷体" w:eastAsia="楷体" w:cs="楷体"/>
          <w:b/>
          <w:bCs/>
          <w:spacing w:val="-17"/>
          <w:sz w:val="33"/>
          <w:szCs w:val="33"/>
          <w:lang w:eastAsia="zh-CN"/>
        </w:rPr>
        <w:t>(四)项目效益情况</w:t>
      </w:r>
    </w:p>
    <w:p w14:paraId="0C3A92F1">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ascii="楷体" w:hAnsi="楷体" w:eastAsia="楷体" w:cs="楷体"/>
          <w:b/>
          <w:bCs/>
          <w:spacing w:val="-17"/>
          <w:sz w:val="33"/>
          <w:szCs w:val="33"/>
          <w:lang w:eastAsia="zh-CN"/>
        </w:rPr>
      </w:pPr>
      <w:r>
        <w:rPr>
          <w:rFonts w:hint="eastAsia" w:ascii="仿宋" w:hAnsi="仿宋" w:eastAsia="仿宋" w:cs="仿宋"/>
          <w:snapToGrid w:val="0"/>
          <w:color w:val="000000"/>
          <w:spacing w:val="-11"/>
          <w:sz w:val="33"/>
          <w:szCs w:val="33"/>
          <w:lang w:val="en-US" w:eastAsia="zh-CN" w:bidi="ar-SA"/>
        </w:rPr>
        <w:t>项目建设对社会、经济、生态等各方面都起到促进作用，服务群众及对象满意度均在90%以上，产出效益均达到预期目标。</w:t>
      </w:r>
    </w:p>
    <w:p w14:paraId="57C55EA2">
      <w:pPr>
        <w:spacing w:before="134" w:line="222" w:lineRule="auto"/>
        <w:ind w:left="674"/>
        <w:outlineLvl w:val="0"/>
        <w:rPr>
          <w:rFonts w:ascii="黑体" w:hAnsi="黑体" w:eastAsia="黑体" w:cs="黑体"/>
          <w:sz w:val="33"/>
          <w:szCs w:val="33"/>
          <w:lang w:eastAsia="zh-CN"/>
        </w:rPr>
      </w:pPr>
      <w:r>
        <w:rPr>
          <w:rFonts w:ascii="黑体" w:hAnsi="黑体" w:eastAsia="黑体" w:cs="黑体"/>
          <w:b/>
          <w:bCs/>
          <w:spacing w:val="-18"/>
          <w:sz w:val="33"/>
          <w:szCs w:val="33"/>
          <w:lang w:eastAsia="zh-CN"/>
        </w:rPr>
        <w:t>五、项目主要经验、存在的问题及建议</w:t>
      </w:r>
    </w:p>
    <w:p w14:paraId="5CBEDE39">
      <w:pPr>
        <w:spacing w:before="106" w:line="228" w:lineRule="auto"/>
        <w:ind w:left="854"/>
        <w:outlineLvl w:val="0"/>
        <w:rPr>
          <w:rFonts w:ascii="楷体" w:hAnsi="楷体" w:eastAsia="楷体" w:cs="楷体"/>
          <w:b/>
          <w:bCs/>
          <w:spacing w:val="-2"/>
          <w:sz w:val="33"/>
          <w:szCs w:val="33"/>
          <w:lang w:eastAsia="zh-CN"/>
        </w:rPr>
      </w:pPr>
      <w:r>
        <w:rPr>
          <w:rFonts w:ascii="楷体" w:hAnsi="楷体" w:eastAsia="楷体" w:cs="楷体"/>
          <w:b/>
          <w:bCs/>
          <w:spacing w:val="-2"/>
          <w:sz w:val="33"/>
          <w:szCs w:val="33"/>
          <w:lang w:eastAsia="zh-CN"/>
        </w:rPr>
        <w:t>(一)项目主要经验及做法</w:t>
      </w:r>
    </w:p>
    <w:p w14:paraId="227080C2">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r>
        <w:rPr>
          <w:rFonts w:hint="eastAsia" w:ascii="仿宋" w:hAnsi="仿宋" w:eastAsia="仿宋" w:cs="仿宋"/>
          <w:snapToGrid w:val="0"/>
          <w:color w:val="000000"/>
          <w:spacing w:val="-11"/>
          <w:sz w:val="33"/>
          <w:szCs w:val="33"/>
          <w:lang w:val="en-US" w:eastAsia="zh-CN" w:bidi="ar-SA"/>
        </w:rPr>
        <w:t>1.构建全过程预算绩效管理制度，将绩效理念和方法融入预算编制、执行、监督全过程，形成事前、事中、事后绩效管理闭环系统。‌</w:t>
      </w:r>
    </w:p>
    <w:p w14:paraId="6835FA92">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p>
    <w:p w14:paraId="5B2E780F">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r>
        <w:rPr>
          <w:rFonts w:hint="eastAsia" w:ascii="仿宋" w:hAnsi="仿宋" w:eastAsia="仿宋" w:cs="仿宋"/>
          <w:snapToGrid w:val="0"/>
          <w:color w:val="000000"/>
          <w:spacing w:val="-11"/>
          <w:sz w:val="33"/>
          <w:szCs w:val="33"/>
          <w:lang w:val="en-US" w:eastAsia="zh-CN" w:bidi="ar-SA"/>
        </w:rPr>
        <w:t>2.成立预算绩效管理工作领导小组，明确预算绩效管理工作规程，确保预算绩效管理工作有人管、有人抓。</w:t>
      </w:r>
    </w:p>
    <w:p w14:paraId="54B6D97E">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r>
        <w:rPr>
          <w:rFonts w:hint="eastAsia" w:ascii="仿宋" w:hAnsi="仿宋" w:eastAsia="仿宋" w:cs="仿宋"/>
          <w:snapToGrid w:val="0"/>
          <w:color w:val="000000"/>
          <w:spacing w:val="-11"/>
          <w:sz w:val="33"/>
          <w:szCs w:val="33"/>
          <w:lang w:val="en-US" w:eastAsia="zh-CN" w:bidi="ar-SA"/>
        </w:rPr>
        <w:t>3.避免设计过于复杂的绩效体系，简化考评流程，确保按时完成考核工作，避免给员工带来不必要的负担。‌</w:t>
      </w:r>
    </w:p>
    <w:p w14:paraId="7043CAC4">
      <w:pPr>
        <w:spacing w:before="100" w:line="227" w:lineRule="auto"/>
        <w:ind w:left="824"/>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(二)存在的问题</w:t>
      </w:r>
    </w:p>
    <w:p w14:paraId="27149A6B">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r>
        <w:rPr>
          <w:rFonts w:hint="eastAsia" w:ascii="仿宋" w:hAnsi="仿宋" w:eastAsia="仿宋" w:cs="仿宋"/>
          <w:snapToGrid w:val="0"/>
          <w:color w:val="000000"/>
          <w:spacing w:val="-11"/>
          <w:sz w:val="33"/>
          <w:szCs w:val="33"/>
          <w:lang w:val="en-US" w:eastAsia="zh-CN" w:bidi="ar-SA"/>
        </w:rPr>
        <w:t>1.‌资源分配不合理‌，人力资源不匹配，可能导致岗位人手不足或过剩，影响项目进度和质量‌。</w:t>
      </w:r>
    </w:p>
    <w:p w14:paraId="3C8FDE8D">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ascii="楷体" w:hAnsi="楷体" w:eastAsia="楷体" w:cs="楷体"/>
          <w:b/>
          <w:bCs/>
          <w:spacing w:val="6"/>
          <w:sz w:val="33"/>
          <w:szCs w:val="33"/>
          <w:lang w:eastAsia="zh-CN"/>
        </w:rPr>
      </w:pPr>
      <w:r>
        <w:rPr>
          <w:rFonts w:hint="eastAsia" w:ascii="仿宋" w:hAnsi="仿宋" w:eastAsia="仿宋" w:cs="仿宋"/>
          <w:snapToGrid w:val="0"/>
          <w:color w:val="000000"/>
          <w:spacing w:val="-11"/>
          <w:sz w:val="33"/>
          <w:szCs w:val="33"/>
          <w:lang w:val="en-US" w:eastAsia="zh-CN" w:bidi="ar-SA"/>
        </w:rPr>
        <w:t>2.‌绩效评估标准不够贴近实际。</w:t>
      </w:r>
    </w:p>
    <w:p w14:paraId="354EA6B5">
      <w:pPr>
        <w:spacing w:before="122" w:line="225" w:lineRule="auto"/>
        <w:ind w:left="854"/>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(三)有关建议</w:t>
      </w:r>
    </w:p>
    <w:p w14:paraId="62C3E60D">
      <w:pPr>
        <w:keepNext w:val="0"/>
        <w:keepLines w:val="0"/>
        <w:pageBreakBefore w:val="0"/>
        <w:widowControl/>
        <w:kinsoku w:val="0"/>
        <w:wordWrap/>
        <w:overflowPunct/>
        <w:topLinePunct w:val="0"/>
        <w:autoSpaceDE w:val="0"/>
        <w:autoSpaceDN w:val="0"/>
        <w:bidi w:val="0"/>
        <w:adjustRightInd w:val="0"/>
        <w:snapToGrid w:val="0"/>
        <w:spacing w:before="122" w:line="360" w:lineRule="auto"/>
        <w:ind w:left="856"/>
        <w:textAlignment w:val="baseline"/>
        <w:outlineLvl w:val="0"/>
        <w:rPr>
          <w:rFonts w:ascii="仿宋" w:hAnsi="仿宋" w:eastAsia="仿宋" w:cs="仿宋"/>
          <w:snapToGrid w:val="0"/>
          <w:color w:val="000000"/>
          <w:spacing w:val="-9"/>
          <w:sz w:val="33"/>
          <w:szCs w:val="33"/>
          <w:lang w:val="en-US" w:eastAsia="zh-CN" w:bidi="ar-SA"/>
        </w:rPr>
      </w:pPr>
      <w:r>
        <w:rPr>
          <w:rFonts w:hint="eastAsia" w:ascii="仿宋" w:hAnsi="仿宋" w:eastAsia="仿宋" w:cs="仿宋"/>
          <w:snapToGrid w:val="0"/>
          <w:color w:val="000000"/>
          <w:spacing w:val="-9"/>
          <w:sz w:val="33"/>
          <w:szCs w:val="33"/>
          <w:lang w:val="en-US" w:eastAsia="zh-CN" w:bidi="ar-SA"/>
        </w:rPr>
        <w:t>无。</w:t>
      </w:r>
    </w:p>
    <w:p w14:paraId="4A4E2D75">
      <w:pPr>
        <w:pStyle w:val="2"/>
        <w:spacing w:before="115" w:line="222" w:lineRule="auto"/>
        <w:ind w:left="39"/>
        <w:rPr>
          <w:sz w:val="33"/>
          <w:szCs w:val="33"/>
          <w:lang w:eastAsia="zh-CN"/>
        </w:rPr>
      </w:pPr>
      <w:r>
        <w:rPr>
          <w:spacing w:val="-18"/>
          <w:sz w:val="33"/>
          <w:szCs w:val="33"/>
          <w:lang w:eastAsia="zh-CN"/>
        </w:rPr>
        <w:t>附件：</w:t>
      </w:r>
    </w:p>
    <w:p w14:paraId="62AB5735">
      <w:pPr>
        <w:pStyle w:val="2"/>
        <w:spacing w:before="115" w:line="222" w:lineRule="auto"/>
        <w:ind w:left="39"/>
        <w:rPr>
          <w:spacing w:val="-18"/>
          <w:sz w:val="33"/>
          <w:szCs w:val="33"/>
          <w:lang w:eastAsia="zh-CN"/>
        </w:rPr>
      </w:pPr>
      <w:r>
        <w:rPr>
          <w:spacing w:val="-18"/>
          <w:sz w:val="33"/>
          <w:szCs w:val="33"/>
          <w:lang w:eastAsia="zh-CN"/>
        </w:rPr>
        <w:t>项目支出绩效自评表(一个项目支出一张表)</w:t>
      </w:r>
    </w:p>
    <w:p w14:paraId="002AAFD1">
      <w:pPr>
        <w:spacing w:before="75" w:line="219" w:lineRule="auto"/>
        <w:rPr>
          <w:rFonts w:ascii="宋体" w:hAnsi="宋体" w:eastAsia="宋体" w:cs="宋体"/>
          <w:spacing w:val="-10"/>
          <w:sz w:val="23"/>
          <w:szCs w:val="23"/>
          <w:lang w:eastAsia="zh-CN"/>
        </w:rPr>
      </w:pPr>
    </w:p>
    <w:p w14:paraId="368B1CAD">
      <w:pPr>
        <w:spacing w:before="75" w:line="219" w:lineRule="auto"/>
        <w:rPr>
          <w:rFonts w:ascii="宋体" w:hAnsi="宋体" w:eastAsia="宋体" w:cs="宋体"/>
          <w:spacing w:val="-10"/>
          <w:sz w:val="23"/>
          <w:szCs w:val="23"/>
          <w:lang w:eastAsia="zh-CN"/>
        </w:rPr>
      </w:pPr>
    </w:p>
    <w:p w14:paraId="0CDFA757">
      <w:pPr>
        <w:spacing w:before="75" w:line="219" w:lineRule="auto"/>
        <w:rPr>
          <w:rFonts w:ascii="宋体" w:hAnsi="宋体" w:eastAsia="宋体" w:cs="宋体"/>
          <w:spacing w:val="-10"/>
          <w:sz w:val="23"/>
          <w:szCs w:val="23"/>
          <w:lang w:eastAsia="zh-CN"/>
        </w:rPr>
      </w:pPr>
    </w:p>
    <w:p w14:paraId="44D0327C">
      <w:pPr>
        <w:spacing w:before="75" w:line="219" w:lineRule="auto"/>
        <w:rPr>
          <w:rFonts w:ascii="宋体" w:hAnsi="宋体" w:eastAsia="宋体" w:cs="宋体"/>
          <w:spacing w:val="-10"/>
          <w:sz w:val="23"/>
          <w:szCs w:val="23"/>
          <w:lang w:eastAsia="zh-CN"/>
        </w:rPr>
        <w:sectPr>
          <w:pgSz w:w="11900" w:h="16838"/>
          <w:pgMar w:top="1417" w:right="1474" w:bottom="1417" w:left="1474" w:header="0" w:footer="947" w:gutter="0"/>
          <w:pgNumType w:fmt="numberInDash"/>
          <w:cols w:space="0" w:num="1"/>
        </w:sectPr>
      </w:pPr>
    </w:p>
    <w:p w14:paraId="0A998C51">
      <w:pPr>
        <w:spacing w:before="75" w:line="219" w:lineRule="auto"/>
        <w:rPr>
          <w:rFonts w:ascii="宋体" w:hAnsi="宋体" w:eastAsia="宋体" w:cs="宋体"/>
          <w:spacing w:val="-10"/>
          <w:sz w:val="23"/>
          <w:szCs w:val="23"/>
          <w:lang w:eastAsia="zh-CN"/>
        </w:rPr>
      </w:pPr>
      <w:bookmarkStart w:id="0" w:name="_GoBack"/>
      <w:bookmarkEnd w:id="0"/>
    </w:p>
    <w:p w14:paraId="68DD3527">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384D6C35">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5B34D50F">
      <w:pPr>
        <w:spacing w:line="62" w:lineRule="exact"/>
        <w:rPr>
          <w:lang w:eastAsia="zh-CN"/>
        </w:rPr>
      </w:pPr>
    </w:p>
    <w:tbl>
      <w:tblPr>
        <w:tblStyle w:val="8"/>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1A44D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tcPr>
          <w:p w14:paraId="512B985B">
            <w:pPr>
              <w:spacing w:before="34"/>
              <w:ind w:left="224" w:right="218"/>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tcPr>
          <w:p w14:paraId="43513C1A">
            <w:pPr>
              <w:pStyle w:val="9"/>
              <w:keepNext w:val="0"/>
              <w:keepLines w:val="0"/>
              <w:pageBreakBefore w:val="0"/>
              <w:widowControl/>
              <w:kinsoku w:val="0"/>
              <w:wordWrap/>
              <w:overflowPunct/>
              <w:topLinePunct w:val="0"/>
              <w:autoSpaceDE w:val="0"/>
              <w:autoSpaceDN w:val="0"/>
              <w:bidi w:val="0"/>
              <w:adjustRightInd w:val="0"/>
              <w:snapToGrid w:val="0"/>
              <w:spacing w:before="120"/>
              <w:textAlignment w:val="baseline"/>
              <w:rPr>
                <w:rFonts w:hint="eastAsia" w:eastAsia="宋体"/>
                <w:lang w:eastAsia="zh-CN"/>
              </w:rPr>
            </w:pPr>
            <w:r>
              <w:rPr>
                <w:rFonts w:hint="eastAsia" w:eastAsia="宋体"/>
                <w:lang w:val="en-US" w:eastAsia="zh-CN"/>
              </w:rPr>
              <w:t>社区</w:t>
            </w:r>
            <w:r>
              <w:rPr>
                <w:rFonts w:hint="eastAsia" w:eastAsia="宋体"/>
                <w:lang w:eastAsia="zh-CN"/>
              </w:rPr>
              <w:t>运转经费</w:t>
            </w:r>
          </w:p>
        </w:tc>
      </w:tr>
      <w:tr w14:paraId="611108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49A858E9">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0FE5E460">
            <w:pPr>
              <w:pStyle w:val="9"/>
              <w:rPr>
                <w:rFonts w:hint="default" w:eastAsia="宋体"/>
                <w:lang w:val="en-US" w:eastAsia="zh-CN"/>
              </w:rPr>
            </w:pPr>
            <w:r>
              <w:rPr>
                <w:rFonts w:hint="eastAsia" w:eastAsia="宋体"/>
                <w:lang w:val="en-US" w:eastAsia="zh-CN"/>
              </w:rPr>
              <w:t>红星街道办事处</w:t>
            </w:r>
          </w:p>
        </w:tc>
        <w:tc>
          <w:tcPr>
            <w:tcW w:w="1138" w:type="dxa"/>
          </w:tcPr>
          <w:p w14:paraId="7EF6DC51">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59BAA823">
            <w:pPr>
              <w:pStyle w:val="9"/>
              <w:rPr>
                <w:rFonts w:hint="default" w:eastAsia="宋体"/>
                <w:lang w:val="en-US" w:eastAsia="zh-CN"/>
              </w:rPr>
            </w:pPr>
            <w:r>
              <w:rPr>
                <w:rFonts w:hint="eastAsia" w:eastAsia="宋体"/>
                <w:lang w:val="en-US" w:eastAsia="zh-CN"/>
              </w:rPr>
              <w:t>红星街道13个社区</w:t>
            </w:r>
          </w:p>
        </w:tc>
      </w:tr>
      <w:tr w14:paraId="5C9C2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75AFCB80">
            <w:pPr>
              <w:pStyle w:val="9"/>
              <w:spacing w:line="325" w:lineRule="auto"/>
            </w:pPr>
          </w:p>
          <w:p w14:paraId="1933FD07">
            <w:pPr>
              <w:pStyle w:val="9"/>
              <w:spacing w:line="325" w:lineRule="auto"/>
            </w:pPr>
          </w:p>
          <w:p w14:paraId="33798EB4">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139C1B53">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15A85ED2">
            <w:pPr>
              <w:pStyle w:val="9"/>
            </w:pPr>
          </w:p>
        </w:tc>
        <w:tc>
          <w:tcPr>
            <w:tcW w:w="1129" w:type="dxa"/>
          </w:tcPr>
          <w:p w14:paraId="07654762">
            <w:pPr>
              <w:spacing w:before="59" w:line="226" w:lineRule="auto"/>
              <w:ind w:left="253" w:right="27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524BC82C">
            <w:pPr>
              <w:spacing w:before="68" w:line="222" w:lineRule="auto"/>
              <w:ind w:left="293" w:right="314" w:firstLine="99"/>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6663BED8">
            <w:pPr>
              <w:spacing w:before="68" w:line="222" w:lineRule="auto"/>
              <w:ind w:left="264" w:right="270" w:firstLine="100"/>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4930BD54">
            <w:pPr>
              <w:spacing w:before="179"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636EFC23">
            <w:pPr>
              <w:spacing w:before="179"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63002E6E">
            <w:pPr>
              <w:spacing w:before="179" w:line="219" w:lineRule="auto"/>
              <w:ind w:left="499"/>
              <w:rPr>
                <w:rFonts w:ascii="宋体" w:hAnsi="宋体" w:eastAsia="宋体" w:cs="宋体"/>
                <w:sz w:val="20"/>
                <w:szCs w:val="20"/>
              </w:rPr>
            </w:pPr>
            <w:r>
              <w:rPr>
                <w:rFonts w:ascii="宋体" w:hAnsi="宋体" w:eastAsia="宋体" w:cs="宋体"/>
                <w:spacing w:val="-3"/>
                <w:sz w:val="20"/>
                <w:szCs w:val="20"/>
              </w:rPr>
              <w:t>得分</w:t>
            </w:r>
          </w:p>
        </w:tc>
      </w:tr>
      <w:tr w14:paraId="5B7F9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29ED7F12">
            <w:pPr>
              <w:pStyle w:val="9"/>
            </w:pPr>
          </w:p>
        </w:tc>
        <w:tc>
          <w:tcPr>
            <w:tcW w:w="2148" w:type="dxa"/>
            <w:gridSpan w:val="2"/>
          </w:tcPr>
          <w:p w14:paraId="7E36FA49">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tcPr>
          <w:p w14:paraId="253D857C">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169</w:t>
            </w:r>
          </w:p>
        </w:tc>
        <w:tc>
          <w:tcPr>
            <w:tcW w:w="1209" w:type="dxa"/>
          </w:tcPr>
          <w:p w14:paraId="1160909C">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169</w:t>
            </w:r>
          </w:p>
        </w:tc>
        <w:tc>
          <w:tcPr>
            <w:tcW w:w="1138" w:type="dxa"/>
          </w:tcPr>
          <w:p w14:paraId="655514F1">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169</w:t>
            </w:r>
          </w:p>
        </w:tc>
        <w:tc>
          <w:tcPr>
            <w:tcW w:w="809" w:type="dxa"/>
          </w:tcPr>
          <w:p w14:paraId="2D576F67">
            <w:pPr>
              <w:keepNext w:val="0"/>
              <w:keepLines w:val="0"/>
              <w:pageBreakBefore w:val="0"/>
              <w:widowControl/>
              <w:kinsoku w:val="0"/>
              <w:wordWrap/>
              <w:overflowPunct/>
              <w:topLinePunct w:val="0"/>
              <w:autoSpaceDE w:val="0"/>
              <w:autoSpaceDN w:val="0"/>
              <w:bidi w:val="0"/>
              <w:adjustRightInd w:val="0"/>
              <w:snapToGrid w:val="0"/>
              <w:spacing w:before="120" w:line="185" w:lineRule="auto"/>
              <w:ind w:left="295"/>
              <w:jc w:val="both"/>
              <w:textAlignment w:val="baseline"/>
              <w:rPr>
                <w:rFonts w:ascii="宋体" w:hAnsi="宋体" w:eastAsia="宋体" w:cs="宋体"/>
                <w:sz w:val="20"/>
                <w:szCs w:val="20"/>
              </w:rPr>
            </w:pPr>
            <w:r>
              <w:rPr>
                <w:rFonts w:hint="eastAsia" w:ascii="Arial" w:hAnsi="Arial" w:eastAsia="宋体" w:cs="Arial"/>
                <w:snapToGrid w:val="0"/>
                <w:color w:val="000000"/>
                <w:sz w:val="21"/>
                <w:szCs w:val="21"/>
                <w:lang w:val="en-US" w:eastAsia="zh-CN" w:bidi="ar-SA"/>
              </w:rPr>
              <w:t>10</w:t>
            </w:r>
          </w:p>
        </w:tc>
        <w:tc>
          <w:tcPr>
            <w:tcW w:w="869" w:type="dxa"/>
          </w:tcPr>
          <w:p w14:paraId="375C2AAF">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100%</w:t>
            </w:r>
          </w:p>
        </w:tc>
        <w:tc>
          <w:tcPr>
            <w:tcW w:w="1413" w:type="dxa"/>
            <w:shd w:val="clear" w:color="auto" w:fill="auto"/>
            <w:vAlign w:val="center"/>
          </w:tcPr>
          <w:p w14:paraId="349DF54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Arial" w:hAnsi="Arial" w:eastAsia="宋体" w:cs="Arial"/>
                <w:snapToGrid w:val="0"/>
                <w:color w:val="000000"/>
                <w:sz w:val="21"/>
                <w:szCs w:val="21"/>
                <w:lang w:val="en-US" w:eastAsia="zh-CN" w:bidi="ar-SA"/>
              </w:rPr>
              <w:t>10</w:t>
            </w:r>
          </w:p>
        </w:tc>
      </w:tr>
      <w:tr w14:paraId="0FDDA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3C098399">
            <w:pPr>
              <w:pStyle w:val="9"/>
            </w:pPr>
          </w:p>
        </w:tc>
        <w:tc>
          <w:tcPr>
            <w:tcW w:w="2148" w:type="dxa"/>
            <w:gridSpan w:val="2"/>
          </w:tcPr>
          <w:p w14:paraId="316B1D48">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tcPr>
          <w:p w14:paraId="099A3CC1">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169</w:t>
            </w:r>
          </w:p>
        </w:tc>
        <w:tc>
          <w:tcPr>
            <w:tcW w:w="1209" w:type="dxa"/>
          </w:tcPr>
          <w:p w14:paraId="1618A7BF">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1138" w:type="dxa"/>
          </w:tcPr>
          <w:p w14:paraId="44BA298A">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809" w:type="dxa"/>
          </w:tcPr>
          <w:p w14:paraId="5794D62B">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869" w:type="dxa"/>
          </w:tcPr>
          <w:p w14:paraId="523B1A76">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1413" w:type="dxa"/>
          </w:tcPr>
          <w:p w14:paraId="3BB25EDF">
            <w:pPr>
              <w:pStyle w:val="9"/>
            </w:pPr>
          </w:p>
        </w:tc>
      </w:tr>
      <w:tr w14:paraId="37E32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2F5319C4">
            <w:pPr>
              <w:pStyle w:val="9"/>
            </w:pPr>
          </w:p>
        </w:tc>
        <w:tc>
          <w:tcPr>
            <w:tcW w:w="2148" w:type="dxa"/>
            <w:gridSpan w:val="2"/>
          </w:tcPr>
          <w:p w14:paraId="5F434A6D">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tcPr>
          <w:p w14:paraId="4D193ECE">
            <w:pPr>
              <w:pStyle w:val="9"/>
            </w:pPr>
          </w:p>
        </w:tc>
        <w:tc>
          <w:tcPr>
            <w:tcW w:w="1209" w:type="dxa"/>
          </w:tcPr>
          <w:p w14:paraId="39A9624A">
            <w:pPr>
              <w:pStyle w:val="9"/>
            </w:pPr>
          </w:p>
        </w:tc>
        <w:tc>
          <w:tcPr>
            <w:tcW w:w="1138" w:type="dxa"/>
          </w:tcPr>
          <w:p w14:paraId="51AF954C">
            <w:pPr>
              <w:pStyle w:val="9"/>
            </w:pPr>
          </w:p>
        </w:tc>
        <w:tc>
          <w:tcPr>
            <w:tcW w:w="809" w:type="dxa"/>
          </w:tcPr>
          <w:p w14:paraId="408D153D">
            <w:pPr>
              <w:pStyle w:val="9"/>
            </w:pPr>
          </w:p>
        </w:tc>
        <w:tc>
          <w:tcPr>
            <w:tcW w:w="869" w:type="dxa"/>
          </w:tcPr>
          <w:p w14:paraId="6AA8C8D2">
            <w:pPr>
              <w:pStyle w:val="9"/>
            </w:pPr>
          </w:p>
        </w:tc>
        <w:tc>
          <w:tcPr>
            <w:tcW w:w="1413" w:type="dxa"/>
          </w:tcPr>
          <w:p w14:paraId="739F4159">
            <w:pPr>
              <w:pStyle w:val="9"/>
            </w:pPr>
          </w:p>
        </w:tc>
      </w:tr>
      <w:tr w14:paraId="71A52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233FEAF4">
            <w:pPr>
              <w:pStyle w:val="9"/>
            </w:pPr>
          </w:p>
        </w:tc>
        <w:tc>
          <w:tcPr>
            <w:tcW w:w="2148" w:type="dxa"/>
            <w:gridSpan w:val="2"/>
          </w:tcPr>
          <w:p w14:paraId="123AD20F">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tcPr>
          <w:p w14:paraId="5969EF2A">
            <w:pPr>
              <w:pStyle w:val="9"/>
            </w:pPr>
          </w:p>
        </w:tc>
        <w:tc>
          <w:tcPr>
            <w:tcW w:w="1209" w:type="dxa"/>
          </w:tcPr>
          <w:p w14:paraId="0AB2F033">
            <w:pPr>
              <w:pStyle w:val="9"/>
            </w:pPr>
          </w:p>
        </w:tc>
        <w:tc>
          <w:tcPr>
            <w:tcW w:w="1138" w:type="dxa"/>
          </w:tcPr>
          <w:p w14:paraId="73BFB696">
            <w:pPr>
              <w:pStyle w:val="9"/>
            </w:pPr>
          </w:p>
        </w:tc>
        <w:tc>
          <w:tcPr>
            <w:tcW w:w="809" w:type="dxa"/>
          </w:tcPr>
          <w:p w14:paraId="08A1664D">
            <w:pPr>
              <w:pStyle w:val="9"/>
            </w:pPr>
          </w:p>
        </w:tc>
        <w:tc>
          <w:tcPr>
            <w:tcW w:w="869" w:type="dxa"/>
          </w:tcPr>
          <w:p w14:paraId="7C8C7F07">
            <w:pPr>
              <w:pStyle w:val="9"/>
            </w:pPr>
          </w:p>
        </w:tc>
        <w:tc>
          <w:tcPr>
            <w:tcW w:w="1413" w:type="dxa"/>
          </w:tcPr>
          <w:p w14:paraId="5CAD1CED">
            <w:pPr>
              <w:pStyle w:val="9"/>
            </w:pPr>
          </w:p>
        </w:tc>
      </w:tr>
      <w:tr w14:paraId="47C00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6FE81F13">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tcPr>
          <w:p w14:paraId="220F5CE0">
            <w:pPr>
              <w:spacing w:before="41" w:line="211" w:lineRule="auto"/>
              <w:ind w:left="1840"/>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tcPr>
          <w:p w14:paraId="6DDF9228">
            <w:pPr>
              <w:spacing w:before="41" w:line="211" w:lineRule="auto"/>
              <w:ind w:left="1514"/>
              <w:rPr>
                <w:rFonts w:ascii="宋体" w:hAnsi="宋体" w:eastAsia="宋体" w:cs="宋体"/>
                <w:sz w:val="20"/>
                <w:szCs w:val="20"/>
              </w:rPr>
            </w:pPr>
            <w:r>
              <w:rPr>
                <w:rFonts w:ascii="宋体" w:hAnsi="宋体" w:eastAsia="宋体" w:cs="宋体"/>
                <w:spacing w:val="1"/>
                <w:sz w:val="20"/>
                <w:szCs w:val="20"/>
              </w:rPr>
              <w:t>实际完成情况</w:t>
            </w:r>
          </w:p>
        </w:tc>
      </w:tr>
      <w:tr w14:paraId="0C7FB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17F91E02">
            <w:pPr>
              <w:pStyle w:val="9"/>
            </w:pPr>
          </w:p>
        </w:tc>
        <w:tc>
          <w:tcPr>
            <w:tcW w:w="4486" w:type="dxa"/>
            <w:gridSpan w:val="4"/>
          </w:tcPr>
          <w:p w14:paraId="0F29EE7A">
            <w:pPr>
              <w:pStyle w:val="9"/>
              <w:rPr>
                <w:rFonts w:hint="eastAsia" w:eastAsia="宋体"/>
                <w:lang w:eastAsia="zh-CN"/>
              </w:rPr>
            </w:pPr>
            <w:r>
              <w:rPr>
                <w:rFonts w:hint="eastAsia" w:eastAsia="宋体"/>
                <w:lang w:val="en-US" w:eastAsia="zh-CN"/>
              </w:rPr>
              <w:t>社区</w:t>
            </w:r>
            <w:r>
              <w:rPr>
                <w:rFonts w:hint="eastAsia" w:eastAsia="宋体"/>
                <w:lang w:eastAsia="zh-CN"/>
              </w:rPr>
              <w:t>组织正常运转，有效服务</w:t>
            </w:r>
            <w:r>
              <w:rPr>
                <w:rFonts w:hint="eastAsia" w:eastAsia="宋体"/>
                <w:lang w:val="en-US" w:eastAsia="zh-CN"/>
              </w:rPr>
              <w:t>居民</w:t>
            </w:r>
            <w:r>
              <w:rPr>
                <w:rFonts w:hint="eastAsia" w:eastAsia="宋体"/>
                <w:lang w:eastAsia="zh-CN"/>
              </w:rPr>
              <w:t>群众</w:t>
            </w:r>
          </w:p>
        </w:tc>
        <w:tc>
          <w:tcPr>
            <w:tcW w:w="4229" w:type="dxa"/>
            <w:gridSpan w:val="4"/>
          </w:tcPr>
          <w:p w14:paraId="7F6F45A9">
            <w:pPr>
              <w:pStyle w:val="9"/>
              <w:rPr>
                <w:rFonts w:hint="eastAsia" w:eastAsia="宋体"/>
                <w:lang w:eastAsia="zh-CN"/>
              </w:rPr>
            </w:pPr>
            <w:r>
              <w:rPr>
                <w:rFonts w:hint="eastAsia" w:eastAsia="宋体"/>
                <w:lang w:val="en-US" w:eastAsia="zh-CN"/>
              </w:rPr>
              <w:t>社区</w:t>
            </w:r>
            <w:r>
              <w:rPr>
                <w:rFonts w:hint="eastAsia" w:eastAsia="宋体"/>
                <w:lang w:eastAsia="zh-CN"/>
              </w:rPr>
              <w:t>组织正常运转，服务</w:t>
            </w:r>
            <w:r>
              <w:rPr>
                <w:rFonts w:hint="eastAsia" w:eastAsia="宋体"/>
                <w:lang w:val="en-US" w:eastAsia="zh-CN"/>
              </w:rPr>
              <w:t>居民</w:t>
            </w:r>
            <w:r>
              <w:rPr>
                <w:rFonts w:hint="eastAsia" w:eastAsia="宋体"/>
                <w:lang w:eastAsia="zh-CN"/>
              </w:rPr>
              <w:t>群众情况良好</w:t>
            </w:r>
          </w:p>
        </w:tc>
      </w:tr>
      <w:tr w14:paraId="498EFC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014D3DB0">
            <w:pPr>
              <w:pStyle w:val="9"/>
              <w:spacing w:line="357" w:lineRule="auto"/>
            </w:pPr>
          </w:p>
          <w:p w14:paraId="5BCE011E">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5F33E28E">
            <w:pPr>
              <w:pStyle w:val="9"/>
              <w:spacing w:line="255" w:lineRule="auto"/>
            </w:pPr>
          </w:p>
          <w:p w14:paraId="68A5C9F4">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068ECB17">
            <w:pPr>
              <w:pStyle w:val="9"/>
              <w:spacing w:line="255" w:lineRule="auto"/>
            </w:pPr>
          </w:p>
          <w:p w14:paraId="0E38C7AE">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29679B1A">
            <w:pPr>
              <w:pStyle w:val="9"/>
              <w:spacing w:line="255" w:lineRule="auto"/>
            </w:pPr>
          </w:p>
          <w:p w14:paraId="1BD4B018">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2CE57CDC">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62DF394C">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33C4ECAB">
            <w:pPr>
              <w:pStyle w:val="9"/>
              <w:spacing w:line="254" w:lineRule="auto"/>
            </w:pPr>
          </w:p>
          <w:p w14:paraId="55D5BA74">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35BB8337">
            <w:pPr>
              <w:pStyle w:val="9"/>
              <w:spacing w:line="254" w:lineRule="auto"/>
            </w:pPr>
          </w:p>
          <w:p w14:paraId="73BBB950">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10CDF4E8">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1F59EB4E">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040F9319">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121F9D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064" w:type="dxa"/>
            <w:vMerge w:val="continue"/>
            <w:tcBorders>
              <w:top w:val="nil"/>
              <w:bottom w:val="nil"/>
            </w:tcBorders>
            <w:textDirection w:val="tbRlV"/>
          </w:tcPr>
          <w:p w14:paraId="16AED8B0">
            <w:pPr>
              <w:pStyle w:val="9"/>
              <w:rPr>
                <w:lang w:eastAsia="zh-CN"/>
              </w:rPr>
            </w:pPr>
          </w:p>
        </w:tc>
        <w:tc>
          <w:tcPr>
            <w:tcW w:w="1069" w:type="dxa"/>
            <w:vMerge w:val="restart"/>
            <w:tcBorders>
              <w:bottom w:val="nil"/>
            </w:tcBorders>
          </w:tcPr>
          <w:p w14:paraId="4861CFE7">
            <w:pPr>
              <w:pStyle w:val="9"/>
              <w:spacing w:line="275" w:lineRule="auto"/>
              <w:rPr>
                <w:lang w:eastAsia="zh-CN"/>
              </w:rPr>
            </w:pPr>
          </w:p>
          <w:p w14:paraId="75C49D77">
            <w:pPr>
              <w:pStyle w:val="9"/>
              <w:spacing w:line="275" w:lineRule="auto"/>
              <w:rPr>
                <w:lang w:eastAsia="zh-CN"/>
              </w:rPr>
            </w:pPr>
          </w:p>
          <w:p w14:paraId="63C49701">
            <w:pPr>
              <w:pStyle w:val="9"/>
              <w:spacing w:line="275" w:lineRule="auto"/>
              <w:rPr>
                <w:lang w:eastAsia="zh-CN"/>
              </w:rPr>
            </w:pPr>
          </w:p>
          <w:p w14:paraId="01808E55">
            <w:pPr>
              <w:pStyle w:val="9"/>
              <w:spacing w:line="275" w:lineRule="auto"/>
              <w:rPr>
                <w:lang w:eastAsia="zh-CN"/>
              </w:rPr>
            </w:pPr>
          </w:p>
          <w:p w14:paraId="0EEF4FBF">
            <w:pPr>
              <w:spacing w:before="65" w:line="219" w:lineRule="auto"/>
              <w:ind w:left="120"/>
              <w:rPr>
                <w:rFonts w:ascii="宋体" w:hAnsi="宋体" w:eastAsia="宋体" w:cs="宋体"/>
                <w:sz w:val="20"/>
                <w:szCs w:val="20"/>
              </w:rPr>
            </w:pPr>
            <w:r>
              <w:rPr>
                <w:rFonts w:ascii="宋体" w:hAnsi="宋体" w:eastAsia="宋体" w:cs="宋体"/>
                <w:spacing w:val="-2"/>
                <w:sz w:val="20"/>
                <w:szCs w:val="20"/>
              </w:rPr>
              <w:t>产出指标</w:t>
            </w:r>
          </w:p>
          <w:p w14:paraId="11F4EDAF">
            <w:pPr>
              <w:spacing w:before="63" w:line="220" w:lineRule="auto"/>
              <w:ind w:left="220"/>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tcPr>
          <w:p w14:paraId="14BDD66B">
            <w:pPr>
              <w:spacing w:before="252" w:line="219" w:lineRule="auto"/>
              <w:ind w:left="131"/>
              <w:rPr>
                <w:rFonts w:ascii="宋体" w:hAnsi="宋体" w:eastAsia="宋体" w:cs="宋体"/>
                <w:sz w:val="20"/>
                <w:szCs w:val="20"/>
              </w:rPr>
            </w:pPr>
            <w:r>
              <w:rPr>
                <w:rFonts w:ascii="宋体" w:hAnsi="宋体" w:eastAsia="宋体" w:cs="宋体"/>
                <w:spacing w:val="-2"/>
                <w:sz w:val="20"/>
                <w:szCs w:val="20"/>
              </w:rPr>
              <w:t>数量指标</w:t>
            </w:r>
          </w:p>
        </w:tc>
        <w:tc>
          <w:tcPr>
            <w:tcW w:w="1129" w:type="dxa"/>
            <w:shd w:val="clear" w:color="auto" w:fill="auto"/>
            <w:vAlign w:val="center"/>
          </w:tcPr>
          <w:p w14:paraId="424AE351">
            <w:pPr>
              <w:keepNext w:val="0"/>
              <w:keepLines w:val="0"/>
              <w:pageBreakBefore w:val="0"/>
              <w:widowControl/>
              <w:suppressLineNumbers w:val="0"/>
              <w:kinsoku w:val="0"/>
              <w:wordWrap/>
              <w:overflowPunct/>
              <w:topLinePunct w:val="0"/>
              <w:autoSpaceDE w:val="0"/>
              <w:autoSpaceDN w:val="0"/>
              <w:bidi w:val="0"/>
              <w:adjustRightInd w:val="0"/>
              <w:snapToGrid w:val="0"/>
              <w:spacing w:before="6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受益社区数量</w:t>
            </w:r>
          </w:p>
        </w:tc>
        <w:tc>
          <w:tcPr>
            <w:tcW w:w="1209" w:type="dxa"/>
            <w:shd w:val="clear" w:color="auto" w:fill="auto"/>
            <w:vAlign w:val="center"/>
          </w:tcPr>
          <w:p w14:paraId="43EB006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13</w:t>
            </w:r>
          </w:p>
        </w:tc>
        <w:tc>
          <w:tcPr>
            <w:tcW w:w="1138" w:type="dxa"/>
            <w:shd w:val="clear" w:color="auto" w:fill="auto"/>
            <w:vAlign w:val="center"/>
          </w:tcPr>
          <w:p w14:paraId="23B43F6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13</w:t>
            </w:r>
          </w:p>
        </w:tc>
        <w:tc>
          <w:tcPr>
            <w:tcW w:w="809" w:type="dxa"/>
            <w:shd w:val="clear" w:color="auto" w:fill="auto"/>
            <w:vAlign w:val="center"/>
          </w:tcPr>
          <w:p w14:paraId="50615C2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20</w:t>
            </w:r>
          </w:p>
        </w:tc>
        <w:tc>
          <w:tcPr>
            <w:tcW w:w="869" w:type="dxa"/>
            <w:shd w:val="clear" w:color="auto" w:fill="auto"/>
            <w:vAlign w:val="center"/>
          </w:tcPr>
          <w:p w14:paraId="11B1D63A">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20</w:t>
            </w:r>
          </w:p>
        </w:tc>
        <w:tc>
          <w:tcPr>
            <w:tcW w:w="1413" w:type="dxa"/>
          </w:tcPr>
          <w:p w14:paraId="0CDDAA38">
            <w:pPr>
              <w:keepNext w:val="0"/>
              <w:keepLines w:val="0"/>
              <w:pageBreakBefore w:val="0"/>
              <w:widowControl/>
              <w:kinsoku w:val="0"/>
              <w:wordWrap/>
              <w:overflowPunct/>
              <w:topLinePunct w:val="0"/>
              <w:autoSpaceDE w:val="0"/>
              <w:autoSpaceDN w:val="0"/>
              <w:bidi w:val="0"/>
              <w:adjustRightInd w:val="0"/>
              <w:snapToGrid w:val="0"/>
              <w:spacing w:before="80" w:line="58" w:lineRule="exact"/>
              <w:ind w:left="113"/>
              <w:jc w:val="center"/>
              <w:rPr>
                <w:rFonts w:ascii="宋体" w:hAnsi="宋体" w:eastAsia="宋体" w:cs="宋体"/>
                <w:spacing w:val="-3"/>
                <w:position w:val="1"/>
                <w:sz w:val="14"/>
                <w:szCs w:val="14"/>
              </w:rPr>
            </w:pPr>
          </w:p>
        </w:tc>
      </w:tr>
      <w:tr w14:paraId="18109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064" w:type="dxa"/>
            <w:vMerge w:val="continue"/>
            <w:tcBorders>
              <w:top w:val="nil"/>
              <w:bottom w:val="nil"/>
            </w:tcBorders>
            <w:textDirection w:val="tbRlV"/>
          </w:tcPr>
          <w:p w14:paraId="675D3EEE">
            <w:pPr>
              <w:pStyle w:val="9"/>
            </w:pPr>
          </w:p>
        </w:tc>
        <w:tc>
          <w:tcPr>
            <w:tcW w:w="1069" w:type="dxa"/>
            <w:vMerge w:val="continue"/>
            <w:tcBorders>
              <w:top w:val="nil"/>
              <w:bottom w:val="nil"/>
            </w:tcBorders>
          </w:tcPr>
          <w:p w14:paraId="6171487F">
            <w:pPr>
              <w:pStyle w:val="9"/>
            </w:pPr>
          </w:p>
        </w:tc>
        <w:tc>
          <w:tcPr>
            <w:tcW w:w="1079" w:type="dxa"/>
            <w:tcBorders>
              <w:bottom w:val="nil"/>
            </w:tcBorders>
          </w:tcPr>
          <w:p w14:paraId="073E8E31">
            <w:pPr>
              <w:spacing w:before="252" w:line="220" w:lineRule="auto"/>
              <w:ind w:left="131"/>
              <w:rPr>
                <w:rFonts w:ascii="宋体" w:hAnsi="宋体" w:eastAsia="宋体" w:cs="宋体"/>
                <w:sz w:val="20"/>
                <w:szCs w:val="20"/>
              </w:rPr>
            </w:pPr>
            <w:r>
              <w:rPr>
                <w:rFonts w:ascii="宋体" w:hAnsi="宋体" w:eastAsia="宋体" w:cs="宋体"/>
                <w:spacing w:val="-2"/>
                <w:sz w:val="20"/>
                <w:szCs w:val="20"/>
              </w:rPr>
              <w:t>质量指标</w:t>
            </w:r>
          </w:p>
        </w:tc>
        <w:tc>
          <w:tcPr>
            <w:tcW w:w="1129" w:type="dxa"/>
            <w:shd w:val="clear" w:color="auto" w:fill="auto"/>
            <w:vAlign w:val="center"/>
          </w:tcPr>
          <w:p w14:paraId="056A4076">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工作完成质量</w:t>
            </w:r>
          </w:p>
        </w:tc>
        <w:tc>
          <w:tcPr>
            <w:tcW w:w="1209" w:type="dxa"/>
            <w:shd w:val="clear" w:color="auto" w:fill="auto"/>
            <w:vAlign w:val="center"/>
          </w:tcPr>
          <w:p w14:paraId="526CD870">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良好</w:t>
            </w:r>
          </w:p>
        </w:tc>
        <w:tc>
          <w:tcPr>
            <w:tcW w:w="1138" w:type="dxa"/>
            <w:vAlign w:val="center"/>
          </w:tcPr>
          <w:p w14:paraId="5E9CC413">
            <w:pPr>
              <w:keepNext w:val="0"/>
              <w:keepLines w:val="0"/>
              <w:widowControl/>
              <w:suppressLineNumbers w:val="0"/>
              <w:jc w:val="center"/>
              <w:textAlignment w:val="center"/>
            </w:pPr>
            <w:r>
              <w:rPr>
                <w:rFonts w:hint="eastAsia" w:ascii="宋体" w:hAnsi="宋体" w:eastAsia="宋体" w:cs="宋体"/>
                <w:i w:val="0"/>
                <w:iCs w:val="0"/>
                <w:snapToGrid w:val="0"/>
                <w:color w:val="000000"/>
                <w:kern w:val="0"/>
                <w:sz w:val="20"/>
                <w:szCs w:val="20"/>
                <w:u w:val="none"/>
                <w:lang w:val="en-US" w:eastAsia="zh-CN" w:bidi="ar"/>
              </w:rPr>
              <w:t>良好</w:t>
            </w:r>
          </w:p>
        </w:tc>
        <w:tc>
          <w:tcPr>
            <w:tcW w:w="809" w:type="dxa"/>
            <w:vAlign w:val="center"/>
          </w:tcPr>
          <w:p w14:paraId="7BFEC444">
            <w:pPr>
              <w:keepNext w:val="0"/>
              <w:keepLines w:val="0"/>
              <w:widowControl/>
              <w:suppressLineNumbers w:val="0"/>
              <w:jc w:val="center"/>
              <w:textAlignment w:val="center"/>
              <w:rPr>
                <w:rFonts w:hint="default" w:eastAsia="宋体"/>
                <w:lang w:val="en-US" w:eastAsia="zh-CN"/>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1D582BF0">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8</w:t>
            </w:r>
          </w:p>
        </w:tc>
        <w:tc>
          <w:tcPr>
            <w:tcW w:w="1413" w:type="dxa"/>
          </w:tcPr>
          <w:p w14:paraId="314EED3D">
            <w:pPr>
              <w:pStyle w:val="9"/>
              <w:keepNext w:val="0"/>
              <w:keepLines w:val="0"/>
              <w:pageBreakBefore w:val="0"/>
              <w:widowControl/>
              <w:kinsoku w:val="0"/>
              <w:wordWrap/>
              <w:overflowPunct/>
              <w:topLinePunct w:val="0"/>
              <w:autoSpaceDE w:val="0"/>
              <w:autoSpaceDN w:val="0"/>
              <w:bidi w:val="0"/>
              <w:adjustRightInd w:val="0"/>
              <w:snapToGrid w:val="0"/>
              <w:spacing w:before="80"/>
              <w:jc w:val="center"/>
              <w:rPr>
                <w:rFonts w:hint="eastAsia" w:eastAsia="宋体"/>
                <w:lang w:eastAsia="zh-CN"/>
              </w:rPr>
            </w:pPr>
            <w:r>
              <w:rPr>
                <w:rFonts w:hint="eastAsia" w:eastAsia="宋体"/>
                <w:lang w:eastAsia="zh-CN"/>
              </w:rPr>
              <w:t>偏差原因：工作质量有提升空间；措施：提升工作质量</w:t>
            </w:r>
          </w:p>
        </w:tc>
      </w:tr>
      <w:tr w14:paraId="2F391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0FCA657E">
            <w:pPr>
              <w:pStyle w:val="9"/>
            </w:pPr>
          </w:p>
        </w:tc>
        <w:tc>
          <w:tcPr>
            <w:tcW w:w="1069" w:type="dxa"/>
            <w:vMerge w:val="continue"/>
            <w:tcBorders>
              <w:top w:val="nil"/>
              <w:bottom w:val="nil"/>
            </w:tcBorders>
          </w:tcPr>
          <w:p w14:paraId="1FD8EA37">
            <w:pPr>
              <w:pStyle w:val="9"/>
            </w:pPr>
          </w:p>
        </w:tc>
        <w:tc>
          <w:tcPr>
            <w:tcW w:w="1079" w:type="dxa"/>
            <w:tcBorders>
              <w:bottom w:val="nil"/>
            </w:tcBorders>
          </w:tcPr>
          <w:p w14:paraId="313A75EA">
            <w:pPr>
              <w:spacing w:before="243" w:line="220" w:lineRule="auto"/>
              <w:ind w:left="131"/>
              <w:rPr>
                <w:rFonts w:ascii="宋体" w:hAnsi="宋体" w:eastAsia="宋体" w:cs="宋体"/>
                <w:sz w:val="20"/>
                <w:szCs w:val="20"/>
              </w:rPr>
            </w:pPr>
            <w:r>
              <w:rPr>
                <w:rFonts w:ascii="宋体" w:hAnsi="宋体" w:eastAsia="宋体" w:cs="宋体"/>
                <w:spacing w:val="1"/>
                <w:sz w:val="20"/>
                <w:szCs w:val="20"/>
              </w:rPr>
              <w:t>时效指标</w:t>
            </w:r>
          </w:p>
        </w:tc>
        <w:tc>
          <w:tcPr>
            <w:tcW w:w="1129" w:type="dxa"/>
            <w:shd w:val="clear" w:color="auto" w:fill="auto"/>
            <w:vAlign w:val="center"/>
          </w:tcPr>
          <w:p w14:paraId="165657FC">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完成及时性</w:t>
            </w:r>
          </w:p>
        </w:tc>
        <w:tc>
          <w:tcPr>
            <w:tcW w:w="1209" w:type="dxa"/>
            <w:shd w:val="clear" w:color="auto" w:fill="auto"/>
            <w:vAlign w:val="center"/>
          </w:tcPr>
          <w:p w14:paraId="0A900EB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2023年12月31日</w:t>
            </w:r>
          </w:p>
        </w:tc>
        <w:tc>
          <w:tcPr>
            <w:tcW w:w="1138" w:type="dxa"/>
            <w:shd w:val="clear" w:color="auto" w:fill="auto"/>
            <w:vAlign w:val="center"/>
          </w:tcPr>
          <w:p w14:paraId="76E6542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项目完成时效性达标</w:t>
            </w:r>
          </w:p>
        </w:tc>
        <w:tc>
          <w:tcPr>
            <w:tcW w:w="809" w:type="dxa"/>
            <w:shd w:val="clear" w:color="auto" w:fill="auto"/>
            <w:vAlign w:val="center"/>
          </w:tcPr>
          <w:p w14:paraId="5148E34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4AE12F2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4A59AB0">
            <w:pPr>
              <w:pStyle w:val="9"/>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2E977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064" w:type="dxa"/>
            <w:vMerge w:val="continue"/>
            <w:tcBorders>
              <w:top w:val="nil"/>
              <w:bottom w:val="nil"/>
            </w:tcBorders>
            <w:textDirection w:val="tbRlV"/>
          </w:tcPr>
          <w:p w14:paraId="50FC234F">
            <w:pPr>
              <w:pStyle w:val="9"/>
            </w:pPr>
          </w:p>
        </w:tc>
        <w:tc>
          <w:tcPr>
            <w:tcW w:w="1069" w:type="dxa"/>
            <w:vMerge w:val="continue"/>
            <w:tcBorders>
              <w:top w:val="nil"/>
              <w:bottom w:val="nil"/>
            </w:tcBorders>
          </w:tcPr>
          <w:p w14:paraId="2D790745">
            <w:pPr>
              <w:pStyle w:val="9"/>
            </w:pPr>
          </w:p>
        </w:tc>
        <w:tc>
          <w:tcPr>
            <w:tcW w:w="1079" w:type="dxa"/>
            <w:tcBorders>
              <w:bottom w:val="nil"/>
            </w:tcBorders>
          </w:tcPr>
          <w:p w14:paraId="7E121BB4">
            <w:pPr>
              <w:spacing w:before="251" w:line="219" w:lineRule="auto"/>
              <w:ind w:left="131"/>
              <w:rPr>
                <w:rFonts w:ascii="宋体" w:hAnsi="宋体" w:eastAsia="宋体" w:cs="宋体"/>
                <w:sz w:val="20"/>
                <w:szCs w:val="20"/>
              </w:rPr>
            </w:pPr>
            <w:r>
              <w:rPr>
                <w:rFonts w:ascii="宋体" w:hAnsi="宋体" w:eastAsia="宋体" w:cs="宋体"/>
                <w:spacing w:val="-2"/>
                <w:sz w:val="20"/>
                <w:szCs w:val="20"/>
              </w:rPr>
              <w:t>成本指标</w:t>
            </w:r>
          </w:p>
        </w:tc>
        <w:tc>
          <w:tcPr>
            <w:tcW w:w="1129" w:type="dxa"/>
            <w:shd w:val="clear" w:color="auto" w:fill="auto"/>
            <w:vAlign w:val="center"/>
          </w:tcPr>
          <w:p w14:paraId="304E329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项目成本</w:t>
            </w:r>
          </w:p>
        </w:tc>
        <w:tc>
          <w:tcPr>
            <w:tcW w:w="1209" w:type="dxa"/>
            <w:shd w:val="clear" w:color="auto" w:fill="auto"/>
            <w:vAlign w:val="center"/>
          </w:tcPr>
          <w:p w14:paraId="4D2631B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169</w:t>
            </w:r>
          </w:p>
        </w:tc>
        <w:tc>
          <w:tcPr>
            <w:tcW w:w="1138" w:type="dxa"/>
            <w:shd w:val="clear" w:color="auto" w:fill="auto"/>
            <w:vAlign w:val="center"/>
          </w:tcPr>
          <w:p w14:paraId="6E5B401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考核项目成本控制良好</w:t>
            </w:r>
          </w:p>
        </w:tc>
        <w:tc>
          <w:tcPr>
            <w:tcW w:w="809" w:type="dxa"/>
            <w:shd w:val="clear" w:color="auto" w:fill="auto"/>
            <w:vAlign w:val="center"/>
          </w:tcPr>
          <w:p w14:paraId="7595272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44734489">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321FC370">
            <w:pPr>
              <w:pStyle w:val="9"/>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7B6DA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064" w:type="dxa"/>
            <w:vMerge w:val="continue"/>
            <w:tcBorders>
              <w:top w:val="nil"/>
              <w:bottom w:val="nil"/>
            </w:tcBorders>
            <w:textDirection w:val="tbRlV"/>
          </w:tcPr>
          <w:p w14:paraId="0C4A0F48">
            <w:pPr>
              <w:pStyle w:val="9"/>
            </w:pPr>
          </w:p>
        </w:tc>
        <w:tc>
          <w:tcPr>
            <w:tcW w:w="1069" w:type="dxa"/>
            <w:vMerge w:val="restart"/>
            <w:tcBorders>
              <w:bottom w:val="nil"/>
            </w:tcBorders>
          </w:tcPr>
          <w:p w14:paraId="4C87196B">
            <w:pPr>
              <w:pStyle w:val="9"/>
              <w:spacing w:line="270" w:lineRule="auto"/>
            </w:pPr>
          </w:p>
          <w:p w14:paraId="4F67BE19">
            <w:pPr>
              <w:pStyle w:val="9"/>
              <w:spacing w:line="271" w:lineRule="auto"/>
            </w:pPr>
          </w:p>
          <w:p w14:paraId="0343A9AD">
            <w:pPr>
              <w:pStyle w:val="9"/>
              <w:spacing w:line="271" w:lineRule="auto"/>
            </w:pPr>
          </w:p>
          <w:p w14:paraId="7880BA5A">
            <w:pPr>
              <w:pStyle w:val="9"/>
              <w:spacing w:line="271" w:lineRule="auto"/>
            </w:pPr>
          </w:p>
          <w:p w14:paraId="79BA4E34">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6C1C4477">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tcBorders>
              <w:bottom w:val="nil"/>
            </w:tcBorders>
          </w:tcPr>
          <w:p w14:paraId="04DA1A59">
            <w:pPr>
              <w:spacing w:before="134" w:line="230" w:lineRule="auto"/>
              <w:ind w:left="231" w:right="246"/>
              <w:rPr>
                <w:rFonts w:ascii="宋体" w:hAnsi="宋体" w:eastAsia="宋体" w:cs="宋体"/>
                <w:sz w:val="20"/>
                <w:szCs w:val="20"/>
              </w:rPr>
            </w:pPr>
            <w:r>
              <w:rPr>
                <w:rFonts w:ascii="宋体" w:hAnsi="宋体" w:eastAsia="宋体" w:cs="宋体"/>
                <w:spacing w:val="-4"/>
                <w:sz w:val="20"/>
                <w:szCs w:val="20"/>
              </w:rPr>
              <w:t>经济效益指标</w:t>
            </w:r>
          </w:p>
        </w:tc>
        <w:tc>
          <w:tcPr>
            <w:tcW w:w="1129" w:type="dxa"/>
            <w:shd w:val="clear" w:color="auto" w:fill="auto"/>
            <w:vAlign w:val="center"/>
          </w:tcPr>
          <w:p w14:paraId="274C06A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sz w:val="20"/>
                <w:szCs w:val="20"/>
                <w:u w:val="none"/>
                <w:lang w:val="en-US" w:eastAsia="zh-CN" w:bidi="ar-SA"/>
              </w:rPr>
              <w:t>促进社区内经济发展</w:t>
            </w:r>
          </w:p>
        </w:tc>
        <w:tc>
          <w:tcPr>
            <w:tcW w:w="1209" w:type="dxa"/>
            <w:shd w:val="clear" w:color="auto" w:fill="auto"/>
            <w:vAlign w:val="center"/>
          </w:tcPr>
          <w:p w14:paraId="103AF487">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1138" w:type="dxa"/>
            <w:shd w:val="clear" w:color="auto" w:fill="auto"/>
            <w:vAlign w:val="center"/>
          </w:tcPr>
          <w:p w14:paraId="49286DF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809" w:type="dxa"/>
            <w:shd w:val="clear" w:color="auto" w:fill="auto"/>
            <w:vAlign w:val="center"/>
          </w:tcPr>
          <w:p w14:paraId="0853CA1C">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296FA65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2560E76">
            <w:pPr>
              <w:pStyle w:val="9"/>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1024B7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4D1C1401">
            <w:pPr>
              <w:pStyle w:val="9"/>
            </w:pPr>
          </w:p>
        </w:tc>
        <w:tc>
          <w:tcPr>
            <w:tcW w:w="1069" w:type="dxa"/>
            <w:vMerge w:val="continue"/>
            <w:tcBorders>
              <w:top w:val="nil"/>
              <w:bottom w:val="nil"/>
            </w:tcBorders>
          </w:tcPr>
          <w:p w14:paraId="15A2FC0D">
            <w:pPr>
              <w:pStyle w:val="9"/>
            </w:pPr>
          </w:p>
        </w:tc>
        <w:tc>
          <w:tcPr>
            <w:tcW w:w="1079" w:type="dxa"/>
            <w:tcBorders>
              <w:bottom w:val="nil"/>
            </w:tcBorders>
          </w:tcPr>
          <w:p w14:paraId="310918D6">
            <w:pPr>
              <w:spacing w:before="132" w:line="231" w:lineRule="auto"/>
              <w:ind w:left="231" w:right="246"/>
              <w:rPr>
                <w:rFonts w:ascii="宋体" w:hAnsi="宋体" w:eastAsia="宋体" w:cs="宋体"/>
                <w:sz w:val="20"/>
                <w:szCs w:val="20"/>
              </w:rPr>
            </w:pPr>
            <w:r>
              <w:rPr>
                <w:rFonts w:ascii="宋体" w:hAnsi="宋体" w:eastAsia="宋体" w:cs="宋体"/>
                <w:spacing w:val="-4"/>
                <w:sz w:val="20"/>
                <w:szCs w:val="20"/>
              </w:rPr>
              <w:t>社会效益指标</w:t>
            </w:r>
          </w:p>
        </w:tc>
        <w:tc>
          <w:tcPr>
            <w:tcW w:w="1129" w:type="dxa"/>
            <w:shd w:val="clear" w:color="auto" w:fill="auto"/>
            <w:vAlign w:val="center"/>
          </w:tcPr>
          <w:p w14:paraId="4C9EECF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保障各社区基本运转</w:t>
            </w:r>
          </w:p>
        </w:tc>
        <w:tc>
          <w:tcPr>
            <w:tcW w:w="1209" w:type="dxa"/>
            <w:shd w:val="clear" w:color="auto" w:fill="auto"/>
            <w:vAlign w:val="center"/>
          </w:tcPr>
          <w:p w14:paraId="5427664D">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基本保障</w:t>
            </w:r>
          </w:p>
        </w:tc>
        <w:tc>
          <w:tcPr>
            <w:tcW w:w="1138" w:type="dxa"/>
            <w:shd w:val="clear" w:color="auto" w:fill="auto"/>
            <w:vAlign w:val="center"/>
          </w:tcPr>
          <w:p w14:paraId="3994F87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保障各社区基本业务正常运转</w:t>
            </w:r>
          </w:p>
        </w:tc>
        <w:tc>
          <w:tcPr>
            <w:tcW w:w="809" w:type="dxa"/>
            <w:shd w:val="clear" w:color="auto" w:fill="auto"/>
            <w:vAlign w:val="center"/>
          </w:tcPr>
          <w:p w14:paraId="137428C9">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0A89FEC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17C53442">
            <w:pPr>
              <w:pStyle w:val="9"/>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082170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064" w:type="dxa"/>
            <w:vMerge w:val="continue"/>
            <w:tcBorders>
              <w:top w:val="nil"/>
              <w:bottom w:val="nil"/>
            </w:tcBorders>
            <w:textDirection w:val="tbRlV"/>
          </w:tcPr>
          <w:p w14:paraId="6351EFDF">
            <w:pPr>
              <w:pStyle w:val="9"/>
            </w:pPr>
          </w:p>
        </w:tc>
        <w:tc>
          <w:tcPr>
            <w:tcW w:w="1069" w:type="dxa"/>
            <w:vMerge w:val="continue"/>
            <w:tcBorders>
              <w:top w:val="nil"/>
              <w:bottom w:val="nil"/>
            </w:tcBorders>
          </w:tcPr>
          <w:p w14:paraId="4F971435">
            <w:pPr>
              <w:pStyle w:val="9"/>
            </w:pPr>
          </w:p>
        </w:tc>
        <w:tc>
          <w:tcPr>
            <w:tcW w:w="1079" w:type="dxa"/>
            <w:tcBorders>
              <w:bottom w:val="nil"/>
            </w:tcBorders>
          </w:tcPr>
          <w:p w14:paraId="624D8DEC">
            <w:pPr>
              <w:spacing w:before="115" w:line="225" w:lineRule="auto"/>
              <w:ind w:left="231" w:right="246"/>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color="auto" w:fill="auto"/>
            <w:vAlign w:val="center"/>
          </w:tcPr>
          <w:p w14:paraId="6B8F18A8">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居民生活环境整治</w:t>
            </w:r>
          </w:p>
        </w:tc>
        <w:tc>
          <w:tcPr>
            <w:tcW w:w="1209" w:type="dxa"/>
            <w:shd w:val="clear" w:color="auto" w:fill="auto"/>
            <w:vAlign w:val="center"/>
          </w:tcPr>
          <w:p w14:paraId="19A25B76">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1138" w:type="dxa"/>
            <w:shd w:val="clear" w:color="auto" w:fill="auto"/>
            <w:vAlign w:val="center"/>
          </w:tcPr>
          <w:p w14:paraId="49EA835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居民生活环境得到提升</w:t>
            </w:r>
          </w:p>
        </w:tc>
        <w:tc>
          <w:tcPr>
            <w:tcW w:w="809" w:type="dxa"/>
            <w:shd w:val="clear" w:color="auto" w:fill="auto"/>
            <w:vAlign w:val="center"/>
          </w:tcPr>
          <w:p w14:paraId="4D5863C3">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07243F3F">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28C48F65">
            <w:pPr>
              <w:pStyle w:val="9"/>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2D799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5F87B54B">
            <w:pPr>
              <w:pStyle w:val="9"/>
            </w:pPr>
          </w:p>
        </w:tc>
        <w:tc>
          <w:tcPr>
            <w:tcW w:w="1069" w:type="dxa"/>
            <w:vMerge w:val="continue"/>
            <w:tcBorders>
              <w:top w:val="nil"/>
              <w:bottom w:val="nil"/>
            </w:tcBorders>
          </w:tcPr>
          <w:p w14:paraId="756E6896">
            <w:pPr>
              <w:pStyle w:val="9"/>
            </w:pPr>
          </w:p>
        </w:tc>
        <w:tc>
          <w:tcPr>
            <w:tcW w:w="1079" w:type="dxa"/>
            <w:tcBorders>
              <w:bottom w:val="nil"/>
            </w:tcBorders>
          </w:tcPr>
          <w:p w14:paraId="4E6648D8">
            <w:pPr>
              <w:spacing w:before="106" w:line="219" w:lineRule="auto"/>
              <w:ind w:left="131"/>
              <w:rPr>
                <w:rFonts w:ascii="宋体" w:hAnsi="宋体" w:eastAsia="宋体" w:cs="宋体"/>
                <w:sz w:val="20"/>
                <w:szCs w:val="20"/>
              </w:rPr>
            </w:pPr>
            <w:r>
              <w:rPr>
                <w:rFonts w:ascii="宋体" w:hAnsi="宋体" w:eastAsia="宋体" w:cs="宋体"/>
                <w:spacing w:val="-2"/>
                <w:sz w:val="20"/>
                <w:szCs w:val="20"/>
              </w:rPr>
              <w:t>可持续影</w:t>
            </w:r>
          </w:p>
          <w:p w14:paraId="2403FC57">
            <w:pPr>
              <w:spacing w:before="63" w:line="220" w:lineRule="auto"/>
              <w:ind w:left="231"/>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color="auto" w:fill="auto"/>
            <w:vAlign w:val="center"/>
          </w:tcPr>
          <w:p w14:paraId="1BAC1F6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资金使用后对社区的影响</w:t>
            </w:r>
          </w:p>
        </w:tc>
        <w:tc>
          <w:tcPr>
            <w:tcW w:w="1209" w:type="dxa"/>
            <w:shd w:val="clear" w:color="auto" w:fill="auto"/>
            <w:vAlign w:val="center"/>
          </w:tcPr>
          <w:p w14:paraId="0396630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积极影响且可持续</w:t>
            </w:r>
          </w:p>
        </w:tc>
        <w:tc>
          <w:tcPr>
            <w:tcW w:w="1138" w:type="dxa"/>
            <w:shd w:val="clear" w:color="auto" w:fill="auto"/>
            <w:vAlign w:val="center"/>
          </w:tcPr>
          <w:p w14:paraId="6B1954E1">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en-US" w:bidi="ar"/>
              </w:rPr>
            </w:pPr>
            <w:r>
              <w:rPr>
                <w:rFonts w:hint="eastAsia" w:ascii="宋体" w:hAnsi="宋体" w:eastAsia="宋体" w:cs="宋体"/>
                <w:i w:val="0"/>
                <w:iCs w:val="0"/>
                <w:snapToGrid w:val="0"/>
                <w:color w:val="000000"/>
                <w:kern w:val="0"/>
                <w:sz w:val="20"/>
                <w:szCs w:val="20"/>
                <w:u w:val="none"/>
                <w:lang w:val="en-US" w:eastAsia="zh-CN" w:bidi="ar"/>
              </w:rPr>
              <w:t>积极影响可持续</w:t>
            </w:r>
          </w:p>
        </w:tc>
        <w:tc>
          <w:tcPr>
            <w:tcW w:w="809" w:type="dxa"/>
            <w:shd w:val="clear" w:color="auto" w:fill="auto"/>
            <w:vAlign w:val="center"/>
          </w:tcPr>
          <w:p w14:paraId="4981FAD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B5144B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BD49685">
            <w:pPr>
              <w:pStyle w:val="9"/>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5A5B7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8" w:hRule="atLeast"/>
        </w:trPr>
        <w:tc>
          <w:tcPr>
            <w:tcW w:w="1064" w:type="dxa"/>
            <w:vMerge w:val="continue"/>
            <w:tcBorders>
              <w:top w:val="nil"/>
              <w:bottom w:val="nil"/>
            </w:tcBorders>
            <w:textDirection w:val="tbRlV"/>
          </w:tcPr>
          <w:p w14:paraId="068E50E7">
            <w:pPr>
              <w:pStyle w:val="9"/>
            </w:pPr>
          </w:p>
        </w:tc>
        <w:tc>
          <w:tcPr>
            <w:tcW w:w="1069" w:type="dxa"/>
            <w:tcBorders>
              <w:bottom w:val="nil"/>
            </w:tcBorders>
          </w:tcPr>
          <w:p w14:paraId="717AD173">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4D4B0918">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53031A88">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tcPr>
          <w:p w14:paraId="67C7775A">
            <w:pPr>
              <w:spacing w:before="46" w:line="219" w:lineRule="auto"/>
              <w:ind w:left="131"/>
              <w:rPr>
                <w:rFonts w:ascii="宋体" w:hAnsi="宋体" w:eastAsia="宋体" w:cs="宋体"/>
                <w:sz w:val="20"/>
                <w:szCs w:val="20"/>
              </w:rPr>
            </w:pPr>
            <w:r>
              <w:rPr>
                <w:rFonts w:ascii="宋体" w:hAnsi="宋体" w:eastAsia="宋体" w:cs="宋体"/>
                <w:spacing w:val="-2"/>
                <w:sz w:val="20"/>
                <w:szCs w:val="20"/>
              </w:rPr>
              <w:t>服务对象</w:t>
            </w:r>
          </w:p>
          <w:p w14:paraId="19EAC559">
            <w:pPr>
              <w:spacing w:before="62" w:line="219" w:lineRule="auto"/>
              <w:ind w:left="131"/>
              <w:rPr>
                <w:rFonts w:ascii="宋体" w:hAnsi="宋体" w:eastAsia="宋体" w:cs="宋体"/>
                <w:sz w:val="20"/>
                <w:szCs w:val="20"/>
              </w:rPr>
            </w:pPr>
            <w:r>
              <w:rPr>
                <w:rFonts w:ascii="宋体" w:hAnsi="宋体" w:eastAsia="宋体" w:cs="宋体"/>
                <w:spacing w:val="3"/>
                <w:sz w:val="20"/>
                <w:szCs w:val="20"/>
              </w:rPr>
              <w:t>满意度指</w:t>
            </w:r>
          </w:p>
          <w:p w14:paraId="0E731FF9">
            <w:pPr>
              <w:spacing w:before="53" w:line="176" w:lineRule="auto"/>
              <w:ind w:left="431"/>
              <w:rPr>
                <w:rFonts w:ascii="宋体" w:hAnsi="宋体" w:eastAsia="宋体" w:cs="宋体"/>
                <w:sz w:val="20"/>
                <w:szCs w:val="20"/>
              </w:rPr>
            </w:pPr>
            <w:r>
              <w:rPr>
                <w:rFonts w:ascii="宋体" w:hAnsi="宋体" w:eastAsia="宋体" w:cs="宋体"/>
                <w:sz w:val="20"/>
                <w:szCs w:val="20"/>
              </w:rPr>
              <w:t>标</w:t>
            </w:r>
          </w:p>
        </w:tc>
        <w:tc>
          <w:tcPr>
            <w:tcW w:w="1129" w:type="dxa"/>
            <w:shd w:val="clear" w:color="auto" w:fill="auto"/>
            <w:vAlign w:val="center"/>
          </w:tcPr>
          <w:p w14:paraId="6EED887D">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服务对象满意度</w:t>
            </w:r>
          </w:p>
        </w:tc>
        <w:tc>
          <w:tcPr>
            <w:tcW w:w="1209" w:type="dxa"/>
            <w:shd w:val="clear" w:color="auto" w:fill="auto"/>
            <w:vAlign w:val="center"/>
          </w:tcPr>
          <w:p w14:paraId="1E14271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90%</w:t>
            </w:r>
          </w:p>
        </w:tc>
        <w:tc>
          <w:tcPr>
            <w:tcW w:w="1138" w:type="dxa"/>
            <w:shd w:val="clear" w:color="auto" w:fill="auto"/>
            <w:vAlign w:val="center"/>
          </w:tcPr>
          <w:p w14:paraId="553DAE27">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服务对象满意度达到90%以上</w:t>
            </w:r>
          </w:p>
        </w:tc>
        <w:tc>
          <w:tcPr>
            <w:tcW w:w="809" w:type="dxa"/>
            <w:shd w:val="clear" w:color="auto" w:fill="auto"/>
            <w:vAlign w:val="center"/>
          </w:tcPr>
          <w:p w14:paraId="4DAE993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42CED709">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45AC343">
            <w:pPr>
              <w:pStyle w:val="9"/>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32F4A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2090FE56">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48C53D65">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shd w:val="clear" w:color="auto" w:fill="auto"/>
            <w:vAlign w:val="center"/>
          </w:tcPr>
          <w:p w14:paraId="2C573B80">
            <w:pPr>
              <w:keepNext w:val="0"/>
              <w:keepLines w:val="0"/>
              <w:pageBreakBefore w:val="0"/>
              <w:widowControl/>
              <w:suppressLineNumbers w:val="0"/>
              <w:kinsoku w:val="0"/>
              <w:wordWrap/>
              <w:overflowPunct/>
              <w:topLinePunct w:val="0"/>
              <w:autoSpaceDE w:val="0"/>
              <w:autoSpaceDN w:val="0"/>
              <w:bidi w:val="0"/>
              <w:adjustRightInd w:val="0"/>
              <w:snapToGrid w:val="0"/>
              <w:spacing w:before="8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98</w:t>
            </w:r>
          </w:p>
        </w:tc>
        <w:tc>
          <w:tcPr>
            <w:tcW w:w="1413" w:type="dxa"/>
          </w:tcPr>
          <w:p w14:paraId="3254CF9D">
            <w:pPr>
              <w:pStyle w:val="9"/>
            </w:pPr>
          </w:p>
        </w:tc>
      </w:tr>
    </w:tbl>
    <w:p w14:paraId="6213DCA3">
      <w:pPr>
        <w:pStyle w:val="2"/>
        <w:spacing w:before="12" w:line="285" w:lineRule="auto"/>
        <w:ind w:right="285" w:firstLine="420" w:firstLineChars="200"/>
        <w:rPr>
          <w:rFonts w:ascii="宋体" w:hAnsi="宋体" w:eastAsia="宋体" w:cs="宋体"/>
          <w:sz w:val="21"/>
          <w:szCs w:val="21"/>
        </w:rPr>
      </w:pPr>
    </w:p>
    <w:p w14:paraId="1A8DCE04">
      <w:pPr>
        <w:pStyle w:val="2"/>
        <w:spacing w:before="12" w:line="285" w:lineRule="auto"/>
        <w:ind w:right="285" w:firstLine="420" w:firstLineChars="200"/>
        <w:rPr>
          <w:rFonts w:hint="default" w:ascii="宋体" w:hAnsi="宋体" w:eastAsia="宋体" w:cs="宋体"/>
          <w:sz w:val="21"/>
          <w:szCs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米雅琴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2024年10月16日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17775166093</w:t>
      </w:r>
    </w:p>
    <w:p w14:paraId="6C832B97">
      <w:pPr>
        <w:spacing w:before="75" w:line="219" w:lineRule="auto"/>
        <w:rPr>
          <w:rFonts w:ascii="宋体" w:hAnsi="宋体" w:eastAsia="宋体" w:cs="宋体"/>
          <w:spacing w:val="-10"/>
          <w:sz w:val="23"/>
          <w:szCs w:val="23"/>
          <w:lang w:eastAsia="zh-CN"/>
        </w:rPr>
      </w:pPr>
    </w:p>
    <w:p w14:paraId="691EBD81">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28D1D092">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13C9C5B0">
      <w:pPr>
        <w:spacing w:line="62" w:lineRule="exact"/>
        <w:rPr>
          <w:lang w:eastAsia="zh-CN"/>
        </w:rPr>
      </w:pPr>
    </w:p>
    <w:tbl>
      <w:tblPr>
        <w:tblStyle w:val="8"/>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38"/>
        <w:gridCol w:w="1170"/>
        <w:gridCol w:w="1209"/>
        <w:gridCol w:w="1138"/>
        <w:gridCol w:w="809"/>
        <w:gridCol w:w="869"/>
        <w:gridCol w:w="1413"/>
      </w:tblGrid>
      <w:tr w14:paraId="675AA9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tcPr>
          <w:p w14:paraId="1627132D">
            <w:pPr>
              <w:spacing w:before="34"/>
              <w:ind w:left="224" w:right="218"/>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tcPr>
          <w:p w14:paraId="510EFEC9">
            <w:pPr>
              <w:pStyle w:val="9"/>
              <w:keepNext w:val="0"/>
              <w:keepLines w:val="0"/>
              <w:pageBreakBefore w:val="0"/>
              <w:widowControl/>
              <w:kinsoku w:val="0"/>
              <w:wordWrap/>
              <w:overflowPunct/>
              <w:topLinePunct w:val="0"/>
              <w:autoSpaceDE w:val="0"/>
              <w:autoSpaceDN w:val="0"/>
              <w:bidi w:val="0"/>
              <w:adjustRightInd w:val="0"/>
              <w:snapToGrid w:val="0"/>
              <w:spacing w:before="120"/>
              <w:textAlignment w:val="baseline"/>
              <w:rPr>
                <w:rFonts w:hint="eastAsia" w:eastAsia="宋体"/>
                <w:lang w:eastAsia="zh-CN"/>
              </w:rPr>
            </w:pPr>
            <w:r>
              <w:rPr>
                <w:rFonts w:hint="eastAsia" w:eastAsia="宋体"/>
                <w:lang w:eastAsia="zh-CN"/>
              </w:rPr>
              <w:t>财政所信息化建设经费</w:t>
            </w:r>
          </w:p>
        </w:tc>
      </w:tr>
      <w:tr w14:paraId="5C631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1B06C7BD">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4B596BE6">
            <w:pPr>
              <w:pStyle w:val="9"/>
              <w:rPr>
                <w:rFonts w:hint="default" w:eastAsia="宋体"/>
                <w:lang w:val="en-US" w:eastAsia="zh-CN"/>
              </w:rPr>
            </w:pPr>
            <w:r>
              <w:rPr>
                <w:rFonts w:hint="eastAsia" w:eastAsia="宋体"/>
                <w:lang w:eastAsia="zh-CN"/>
              </w:rPr>
              <w:t>区财政局、</w:t>
            </w:r>
            <w:r>
              <w:rPr>
                <w:rFonts w:hint="eastAsia" w:eastAsia="宋体"/>
                <w:lang w:val="en-US" w:eastAsia="zh-CN"/>
              </w:rPr>
              <w:t>红星街道办事处</w:t>
            </w:r>
          </w:p>
        </w:tc>
        <w:tc>
          <w:tcPr>
            <w:tcW w:w="1138" w:type="dxa"/>
          </w:tcPr>
          <w:p w14:paraId="2D5E91DC">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55707D4A">
            <w:pPr>
              <w:pStyle w:val="9"/>
              <w:rPr>
                <w:rFonts w:hint="eastAsia" w:eastAsia="宋体"/>
                <w:lang w:eastAsia="zh-CN"/>
              </w:rPr>
            </w:pPr>
            <w:r>
              <w:rPr>
                <w:rFonts w:hint="eastAsia" w:eastAsia="宋体"/>
                <w:lang w:val="en-US" w:eastAsia="zh-CN"/>
              </w:rPr>
              <w:t>红星</w:t>
            </w:r>
            <w:r>
              <w:rPr>
                <w:rFonts w:hint="eastAsia" w:eastAsia="宋体"/>
                <w:lang w:eastAsia="zh-CN"/>
              </w:rPr>
              <w:t>财政所</w:t>
            </w:r>
          </w:p>
        </w:tc>
      </w:tr>
      <w:tr w14:paraId="0C04C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61DCE0A0">
            <w:pPr>
              <w:pStyle w:val="9"/>
              <w:spacing w:line="325" w:lineRule="auto"/>
            </w:pPr>
          </w:p>
          <w:p w14:paraId="75C795C6">
            <w:pPr>
              <w:pStyle w:val="9"/>
              <w:spacing w:line="325" w:lineRule="auto"/>
            </w:pPr>
          </w:p>
          <w:p w14:paraId="1C45A82E">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1B28514C">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07" w:type="dxa"/>
            <w:gridSpan w:val="2"/>
          </w:tcPr>
          <w:p w14:paraId="28969815">
            <w:pPr>
              <w:pStyle w:val="9"/>
            </w:pPr>
          </w:p>
        </w:tc>
        <w:tc>
          <w:tcPr>
            <w:tcW w:w="1170" w:type="dxa"/>
          </w:tcPr>
          <w:p w14:paraId="60DB1A76">
            <w:pPr>
              <w:spacing w:before="59" w:line="226" w:lineRule="auto"/>
              <w:ind w:left="253" w:right="27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34C8EA8D">
            <w:pPr>
              <w:spacing w:before="68" w:line="222" w:lineRule="auto"/>
              <w:ind w:left="293" w:right="314" w:firstLine="99"/>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237CFC0B">
            <w:pPr>
              <w:spacing w:before="68" w:line="222" w:lineRule="auto"/>
              <w:ind w:left="264" w:right="270" w:firstLine="100"/>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1B254EC6">
            <w:pPr>
              <w:spacing w:before="179"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6C45805C">
            <w:pPr>
              <w:spacing w:before="179"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463A357A">
            <w:pPr>
              <w:spacing w:before="179" w:line="219" w:lineRule="auto"/>
              <w:ind w:left="499"/>
              <w:rPr>
                <w:rFonts w:ascii="宋体" w:hAnsi="宋体" w:eastAsia="宋体" w:cs="宋体"/>
                <w:sz w:val="20"/>
                <w:szCs w:val="20"/>
              </w:rPr>
            </w:pPr>
            <w:r>
              <w:rPr>
                <w:rFonts w:ascii="宋体" w:hAnsi="宋体" w:eastAsia="宋体" w:cs="宋体"/>
                <w:spacing w:val="-3"/>
                <w:sz w:val="20"/>
                <w:szCs w:val="20"/>
              </w:rPr>
              <w:t>得分</w:t>
            </w:r>
          </w:p>
        </w:tc>
      </w:tr>
      <w:tr w14:paraId="7BC2F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1064" w:type="dxa"/>
            <w:vMerge w:val="continue"/>
            <w:tcBorders>
              <w:top w:val="nil"/>
              <w:bottom w:val="nil"/>
            </w:tcBorders>
          </w:tcPr>
          <w:p w14:paraId="355F768E">
            <w:pPr>
              <w:pStyle w:val="9"/>
            </w:pPr>
          </w:p>
        </w:tc>
        <w:tc>
          <w:tcPr>
            <w:tcW w:w="2107" w:type="dxa"/>
            <w:gridSpan w:val="2"/>
          </w:tcPr>
          <w:p w14:paraId="44B54F07">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70" w:type="dxa"/>
          </w:tcPr>
          <w:p w14:paraId="7C36D6F8">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w:t>
            </w:r>
          </w:p>
        </w:tc>
        <w:tc>
          <w:tcPr>
            <w:tcW w:w="1209" w:type="dxa"/>
          </w:tcPr>
          <w:p w14:paraId="4F0B4D4F">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w:t>
            </w:r>
          </w:p>
        </w:tc>
        <w:tc>
          <w:tcPr>
            <w:tcW w:w="1138" w:type="dxa"/>
          </w:tcPr>
          <w:p w14:paraId="7EC9FABF">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w:t>
            </w:r>
          </w:p>
        </w:tc>
        <w:tc>
          <w:tcPr>
            <w:tcW w:w="809" w:type="dxa"/>
          </w:tcPr>
          <w:p w14:paraId="66730A41">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eastAsia" w:eastAsia="宋体"/>
                <w:lang w:val="en-US" w:eastAsia="zh-CN"/>
              </w:rPr>
            </w:pPr>
            <w:r>
              <w:rPr>
                <w:rFonts w:hint="eastAsia" w:eastAsia="宋体"/>
                <w:lang w:val="en-US" w:eastAsia="zh-CN"/>
              </w:rPr>
              <w:t>10</w:t>
            </w:r>
          </w:p>
        </w:tc>
        <w:tc>
          <w:tcPr>
            <w:tcW w:w="869" w:type="dxa"/>
          </w:tcPr>
          <w:p w14:paraId="3410660D">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100%</w:t>
            </w:r>
          </w:p>
        </w:tc>
        <w:tc>
          <w:tcPr>
            <w:tcW w:w="1413" w:type="dxa"/>
          </w:tcPr>
          <w:p w14:paraId="656CFDF4">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w:t>
            </w:r>
          </w:p>
        </w:tc>
      </w:tr>
      <w:tr w14:paraId="07436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54385751">
            <w:pPr>
              <w:pStyle w:val="9"/>
            </w:pPr>
          </w:p>
        </w:tc>
        <w:tc>
          <w:tcPr>
            <w:tcW w:w="2107" w:type="dxa"/>
            <w:gridSpan w:val="2"/>
          </w:tcPr>
          <w:p w14:paraId="7BC22A56">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70" w:type="dxa"/>
          </w:tcPr>
          <w:p w14:paraId="14BE2AE6">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w:t>
            </w:r>
          </w:p>
        </w:tc>
        <w:tc>
          <w:tcPr>
            <w:tcW w:w="1209" w:type="dxa"/>
          </w:tcPr>
          <w:p w14:paraId="2E108C46">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1138" w:type="dxa"/>
          </w:tcPr>
          <w:p w14:paraId="2DE31F6B">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809" w:type="dxa"/>
          </w:tcPr>
          <w:p w14:paraId="6EEE685D">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869" w:type="dxa"/>
          </w:tcPr>
          <w:p w14:paraId="1C025DC0">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1413" w:type="dxa"/>
          </w:tcPr>
          <w:p w14:paraId="14C9BA75">
            <w:pPr>
              <w:pStyle w:val="9"/>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r>
      <w:tr w14:paraId="6DBECF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186D541A">
            <w:pPr>
              <w:pStyle w:val="9"/>
            </w:pPr>
          </w:p>
        </w:tc>
        <w:tc>
          <w:tcPr>
            <w:tcW w:w="2107" w:type="dxa"/>
            <w:gridSpan w:val="2"/>
          </w:tcPr>
          <w:p w14:paraId="300AD05C">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70" w:type="dxa"/>
          </w:tcPr>
          <w:p w14:paraId="52E90CFF">
            <w:pPr>
              <w:pStyle w:val="9"/>
            </w:pPr>
          </w:p>
        </w:tc>
        <w:tc>
          <w:tcPr>
            <w:tcW w:w="1209" w:type="dxa"/>
          </w:tcPr>
          <w:p w14:paraId="3EE36A2D">
            <w:pPr>
              <w:pStyle w:val="9"/>
            </w:pPr>
          </w:p>
        </w:tc>
        <w:tc>
          <w:tcPr>
            <w:tcW w:w="1138" w:type="dxa"/>
          </w:tcPr>
          <w:p w14:paraId="2A4494F6">
            <w:pPr>
              <w:pStyle w:val="9"/>
            </w:pPr>
          </w:p>
        </w:tc>
        <w:tc>
          <w:tcPr>
            <w:tcW w:w="809" w:type="dxa"/>
          </w:tcPr>
          <w:p w14:paraId="26A37A10">
            <w:pPr>
              <w:pStyle w:val="9"/>
            </w:pPr>
          </w:p>
        </w:tc>
        <w:tc>
          <w:tcPr>
            <w:tcW w:w="869" w:type="dxa"/>
          </w:tcPr>
          <w:p w14:paraId="76EF1E25">
            <w:pPr>
              <w:pStyle w:val="9"/>
            </w:pPr>
          </w:p>
        </w:tc>
        <w:tc>
          <w:tcPr>
            <w:tcW w:w="1413" w:type="dxa"/>
          </w:tcPr>
          <w:p w14:paraId="29228D69">
            <w:pPr>
              <w:pStyle w:val="9"/>
            </w:pPr>
          </w:p>
        </w:tc>
      </w:tr>
      <w:tr w14:paraId="19127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36ADC4FD">
            <w:pPr>
              <w:pStyle w:val="9"/>
            </w:pPr>
          </w:p>
        </w:tc>
        <w:tc>
          <w:tcPr>
            <w:tcW w:w="2107" w:type="dxa"/>
            <w:gridSpan w:val="2"/>
          </w:tcPr>
          <w:p w14:paraId="08506E4B">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70" w:type="dxa"/>
          </w:tcPr>
          <w:p w14:paraId="15A5E065">
            <w:pPr>
              <w:pStyle w:val="9"/>
            </w:pPr>
          </w:p>
        </w:tc>
        <w:tc>
          <w:tcPr>
            <w:tcW w:w="1209" w:type="dxa"/>
          </w:tcPr>
          <w:p w14:paraId="563404EB">
            <w:pPr>
              <w:pStyle w:val="9"/>
            </w:pPr>
          </w:p>
        </w:tc>
        <w:tc>
          <w:tcPr>
            <w:tcW w:w="1138" w:type="dxa"/>
          </w:tcPr>
          <w:p w14:paraId="6A350A69">
            <w:pPr>
              <w:pStyle w:val="9"/>
            </w:pPr>
          </w:p>
        </w:tc>
        <w:tc>
          <w:tcPr>
            <w:tcW w:w="809" w:type="dxa"/>
          </w:tcPr>
          <w:p w14:paraId="66D2E22F">
            <w:pPr>
              <w:pStyle w:val="9"/>
            </w:pPr>
          </w:p>
        </w:tc>
        <w:tc>
          <w:tcPr>
            <w:tcW w:w="869" w:type="dxa"/>
          </w:tcPr>
          <w:p w14:paraId="6C1D844C">
            <w:pPr>
              <w:pStyle w:val="9"/>
            </w:pPr>
          </w:p>
        </w:tc>
        <w:tc>
          <w:tcPr>
            <w:tcW w:w="1413" w:type="dxa"/>
          </w:tcPr>
          <w:p w14:paraId="28FCF884">
            <w:pPr>
              <w:pStyle w:val="9"/>
            </w:pPr>
          </w:p>
        </w:tc>
      </w:tr>
      <w:tr w14:paraId="6FF29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0CA0AE76">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tcPr>
          <w:p w14:paraId="5655B835">
            <w:pPr>
              <w:spacing w:before="41" w:line="211" w:lineRule="auto"/>
              <w:ind w:left="1840"/>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tcPr>
          <w:p w14:paraId="3F4E8664">
            <w:pPr>
              <w:spacing w:before="41" w:line="211" w:lineRule="auto"/>
              <w:ind w:left="1514"/>
              <w:rPr>
                <w:rFonts w:ascii="宋体" w:hAnsi="宋体" w:eastAsia="宋体" w:cs="宋体"/>
                <w:sz w:val="20"/>
                <w:szCs w:val="20"/>
              </w:rPr>
            </w:pPr>
            <w:r>
              <w:rPr>
                <w:rFonts w:ascii="宋体" w:hAnsi="宋体" w:eastAsia="宋体" w:cs="宋体"/>
                <w:spacing w:val="1"/>
                <w:sz w:val="20"/>
                <w:szCs w:val="20"/>
              </w:rPr>
              <w:t>实际完成情况</w:t>
            </w:r>
          </w:p>
        </w:tc>
      </w:tr>
      <w:tr w14:paraId="236A8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4E78B1E4">
            <w:pPr>
              <w:pStyle w:val="9"/>
            </w:pPr>
          </w:p>
        </w:tc>
        <w:tc>
          <w:tcPr>
            <w:tcW w:w="4486" w:type="dxa"/>
            <w:gridSpan w:val="4"/>
          </w:tcPr>
          <w:p w14:paraId="7197F44F">
            <w:pPr>
              <w:pStyle w:val="9"/>
              <w:rPr>
                <w:rFonts w:hint="eastAsia" w:eastAsia="宋体"/>
                <w:lang w:eastAsia="zh-CN"/>
              </w:rPr>
            </w:pPr>
            <w:r>
              <w:rPr>
                <w:rFonts w:hint="eastAsia" w:eastAsia="宋体"/>
                <w:lang w:eastAsia="zh-CN"/>
              </w:rPr>
              <w:t>财政所信息化建设水平提高</w:t>
            </w:r>
          </w:p>
        </w:tc>
        <w:tc>
          <w:tcPr>
            <w:tcW w:w="4229" w:type="dxa"/>
            <w:gridSpan w:val="4"/>
          </w:tcPr>
          <w:p w14:paraId="1465A572">
            <w:pPr>
              <w:pStyle w:val="9"/>
            </w:pPr>
            <w:r>
              <w:rPr>
                <w:rFonts w:hint="eastAsia" w:eastAsia="宋体"/>
                <w:lang w:eastAsia="zh-CN"/>
              </w:rPr>
              <w:t>财政所信息化建设效果明显</w:t>
            </w:r>
          </w:p>
        </w:tc>
      </w:tr>
      <w:tr w14:paraId="06D2D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26A52367">
            <w:pPr>
              <w:pStyle w:val="9"/>
              <w:spacing w:line="357" w:lineRule="auto"/>
            </w:pPr>
          </w:p>
          <w:p w14:paraId="694D3A96">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6B5230E5">
            <w:pPr>
              <w:pStyle w:val="9"/>
              <w:spacing w:line="255" w:lineRule="auto"/>
            </w:pPr>
          </w:p>
          <w:p w14:paraId="7D4ABC76">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38" w:type="dxa"/>
          </w:tcPr>
          <w:p w14:paraId="3C334018">
            <w:pPr>
              <w:pStyle w:val="9"/>
              <w:spacing w:line="255" w:lineRule="auto"/>
            </w:pPr>
          </w:p>
          <w:p w14:paraId="587596EA">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70" w:type="dxa"/>
          </w:tcPr>
          <w:p w14:paraId="0E6301A2">
            <w:pPr>
              <w:pStyle w:val="9"/>
              <w:spacing w:line="255" w:lineRule="auto"/>
            </w:pPr>
          </w:p>
          <w:p w14:paraId="02126E9E">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2C20DBB2">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757FC353">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089C786E">
            <w:pPr>
              <w:pStyle w:val="9"/>
              <w:spacing w:line="254" w:lineRule="auto"/>
            </w:pPr>
          </w:p>
          <w:p w14:paraId="4CCC72E5">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47294CDF">
            <w:pPr>
              <w:pStyle w:val="9"/>
              <w:spacing w:line="254" w:lineRule="auto"/>
            </w:pPr>
          </w:p>
          <w:p w14:paraId="243574C3">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6D8A9F7C">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799DBC9E">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7BB1CDC3">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4E33AD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064" w:type="dxa"/>
            <w:vMerge w:val="continue"/>
            <w:tcBorders>
              <w:top w:val="nil"/>
              <w:bottom w:val="nil"/>
            </w:tcBorders>
            <w:textDirection w:val="tbRlV"/>
          </w:tcPr>
          <w:p w14:paraId="06A2E746">
            <w:pPr>
              <w:pStyle w:val="9"/>
              <w:rPr>
                <w:lang w:eastAsia="zh-CN"/>
              </w:rPr>
            </w:pPr>
          </w:p>
        </w:tc>
        <w:tc>
          <w:tcPr>
            <w:tcW w:w="1069" w:type="dxa"/>
            <w:vMerge w:val="restart"/>
            <w:tcBorders>
              <w:bottom w:val="nil"/>
            </w:tcBorders>
          </w:tcPr>
          <w:p w14:paraId="0D295884">
            <w:pPr>
              <w:pStyle w:val="9"/>
              <w:spacing w:line="275" w:lineRule="auto"/>
              <w:rPr>
                <w:lang w:eastAsia="zh-CN"/>
              </w:rPr>
            </w:pPr>
          </w:p>
          <w:p w14:paraId="0A1EB805">
            <w:pPr>
              <w:pStyle w:val="9"/>
              <w:spacing w:line="275" w:lineRule="auto"/>
              <w:rPr>
                <w:lang w:eastAsia="zh-CN"/>
              </w:rPr>
            </w:pPr>
          </w:p>
          <w:p w14:paraId="043403EC">
            <w:pPr>
              <w:pStyle w:val="9"/>
              <w:spacing w:line="275" w:lineRule="auto"/>
              <w:rPr>
                <w:lang w:eastAsia="zh-CN"/>
              </w:rPr>
            </w:pPr>
          </w:p>
          <w:p w14:paraId="69C2A7EB">
            <w:pPr>
              <w:pStyle w:val="9"/>
              <w:spacing w:line="275" w:lineRule="auto"/>
              <w:rPr>
                <w:lang w:eastAsia="zh-CN"/>
              </w:rPr>
            </w:pPr>
          </w:p>
          <w:p w14:paraId="39B7AA0A">
            <w:pPr>
              <w:spacing w:before="65" w:line="219" w:lineRule="auto"/>
              <w:ind w:left="120"/>
              <w:rPr>
                <w:rFonts w:ascii="宋体" w:hAnsi="宋体" w:eastAsia="宋体" w:cs="宋体"/>
                <w:sz w:val="20"/>
                <w:szCs w:val="20"/>
              </w:rPr>
            </w:pPr>
            <w:r>
              <w:rPr>
                <w:rFonts w:ascii="宋体" w:hAnsi="宋体" w:eastAsia="宋体" w:cs="宋体"/>
                <w:spacing w:val="-2"/>
                <w:sz w:val="20"/>
                <w:szCs w:val="20"/>
              </w:rPr>
              <w:t>产出指标</w:t>
            </w:r>
          </w:p>
          <w:p w14:paraId="6BB463BC">
            <w:pPr>
              <w:spacing w:before="63" w:line="220" w:lineRule="auto"/>
              <w:ind w:left="220"/>
              <w:rPr>
                <w:rFonts w:ascii="宋体" w:hAnsi="宋体" w:eastAsia="宋体" w:cs="宋体"/>
                <w:sz w:val="20"/>
                <w:szCs w:val="20"/>
              </w:rPr>
            </w:pPr>
            <w:r>
              <w:rPr>
                <w:rFonts w:ascii="宋体" w:hAnsi="宋体" w:eastAsia="宋体" w:cs="宋体"/>
                <w:spacing w:val="8"/>
                <w:sz w:val="20"/>
                <w:szCs w:val="20"/>
              </w:rPr>
              <w:t>(50分)</w:t>
            </w:r>
          </w:p>
        </w:tc>
        <w:tc>
          <w:tcPr>
            <w:tcW w:w="1038" w:type="dxa"/>
            <w:tcBorders>
              <w:bottom w:val="nil"/>
            </w:tcBorders>
          </w:tcPr>
          <w:p w14:paraId="1EF92C34">
            <w:pPr>
              <w:spacing w:before="252" w:line="219" w:lineRule="auto"/>
              <w:ind w:left="131"/>
              <w:rPr>
                <w:rFonts w:ascii="宋体" w:hAnsi="宋体" w:eastAsia="宋体" w:cs="宋体"/>
                <w:sz w:val="20"/>
                <w:szCs w:val="20"/>
              </w:rPr>
            </w:pPr>
            <w:r>
              <w:rPr>
                <w:rFonts w:ascii="宋体" w:hAnsi="宋体" w:eastAsia="宋体" w:cs="宋体"/>
                <w:spacing w:val="-2"/>
                <w:sz w:val="20"/>
                <w:szCs w:val="20"/>
              </w:rPr>
              <w:t>数量指标</w:t>
            </w:r>
          </w:p>
        </w:tc>
        <w:tc>
          <w:tcPr>
            <w:tcW w:w="1170" w:type="dxa"/>
            <w:shd w:val="clear" w:color="auto" w:fill="auto"/>
            <w:vAlign w:val="center"/>
          </w:tcPr>
          <w:p w14:paraId="5B1F2CC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信息化建设经费支付率</w:t>
            </w:r>
          </w:p>
        </w:tc>
        <w:tc>
          <w:tcPr>
            <w:tcW w:w="1209" w:type="dxa"/>
            <w:shd w:val="clear" w:color="auto" w:fill="auto"/>
            <w:vAlign w:val="center"/>
          </w:tcPr>
          <w:p w14:paraId="43CB2047">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1138" w:type="dxa"/>
            <w:shd w:val="clear" w:color="auto" w:fill="auto"/>
            <w:vAlign w:val="center"/>
          </w:tcPr>
          <w:p w14:paraId="0F033EBB">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809" w:type="dxa"/>
            <w:shd w:val="clear" w:color="auto" w:fill="auto"/>
            <w:vAlign w:val="center"/>
          </w:tcPr>
          <w:p w14:paraId="6C86AA20">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4135F86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304E8956">
            <w:pPr>
              <w:pStyle w:val="9"/>
              <w:jc w:val="center"/>
            </w:pPr>
          </w:p>
        </w:tc>
      </w:tr>
      <w:tr w14:paraId="57CCD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064" w:type="dxa"/>
            <w:vMerge w:val="continue"/>
            <w:tcBorders>
              <w:top w:val="nil"/>
              <w:bottom w:val="nil"/>
            </w:tcBorders>
            <w:textDirection w:val="tbRlV"/>
          </w:tcPr>
          <w:p w14:paraId="42DB6E08">
            <w:pPr>
              <w:pStyle w:val="9"/>
            </w:pPr>
          </w:p>
        </w:tc>
        <w:tc>
          <w:tcPr>
            <w:tcW w:w="1069" w:type="dxa"/>
            <w:vMerge w:val="continue"/>
            <w:tcBorders>
              <w:top w:val="nil"/>
              <w:bottom w:val="nil"/>
            </w:tcBorders>
          </w:tcPr>
          <w:p w14:paraId="4F305A73">
            <w:pPr>
              <w:pStyle w:val="9"/>
            </w:pPr>
          </w:p>
        </w:tc>
        <w:tc>
          <w:tcPr>
            <w:tcW w:w="1038" w:type="dxa"/>
            <w:tcBorders>
              <w:bottom w:val="nil"/>
            </w:tcBorders>
          </w:tcPr>
          <w:p w14:paraId="18689757">
            <w:pPr>
              <w:spacing w:before="252" w:line="220" w:lineRule="auto"/>
              <w:ind w:left="131"/>
              <w:rPr>
                <w:rFonts w:ascii="宋体" w:hAnsi="宋体" w:eastAsia="宋体" w:cs="宋体"/>
                <w:sz w:val="20"/>
                <w:szCs w:val="20"/>
              </w:rPr>
            </w:pPr>
            <w:r>
              <w:rPr>
                <w:rFonts w:ascii="宋体" w:hAnsi="宋体" w:eastAsia="宋体" w:cs="宋体"/>
                <w:spacing w:val="-2"/>
                <w:sz w:val="20"/>
                <w:szCs w:val="20"/>
              </w:rPr>
              <w:t>质量指标</w:t>
            </w:r>
          </w:p>
        </w:tc>
        <w:tc>
          <w:tcPr>
            <w:tcW w:w="1170" w:type="dxa"/>
            <w:shd w:val="clear" w:color="auto" w:fill="auto"/>
            <w:vAlign w:val="center"/>
          </w:tcPr>
          <w:p w14:paraId="21F12B2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项目绩效目标达成率</w:t>
            </w:r>
          </w:p>
        </w:tc>
        <w:tc>
          <w:tcPr>
            <w:tcW w:w="1209" w:type="dxa"/>
            <w:shd w:val="clear" w:color="auto" w:fill="auto"/>
            <w:vAlign w:val="center"/>
          </w:tcPr>
          <w:p w14:paraId="0E60ABE5">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1138" w:type="dxa"/>
            <w:shd w:val="clear" w:color="auto" w:fill="auto"/>
            <w:vAlign w:val="center"/>
          </w:tcPr>
          <w:p w14:paraId="084B64A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809" w:type="dxa"/>
            <w:shd w:val="clear" w:color="auto" w:fill="auto"/>
            <w:vAlign w:val="center"/>
          </w:tcPr>
          <w:p w14:paraId="0EB0234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3C06B898">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sz w:val="20"/>
                <w:szCs w:val="20"/>
                <w:u w:val="none"/>
                <w:lang w:val="en-US" w:eastAsia="zh-CN" w:bidi="ar-SA"/>
              </w:rPr>
              <w:t>10</w:t>
            </w:r>
          </w:p>
        </w:tc>
        <w:tc>
          <w:tcPr>
            <w:tcW w:w="1413" w:type="dxa"/>
          </w:tcPr>
          <w:p w14:paraId="502D9B2D">
            <w:pPr>
              <w:pStyle w:val="9"/>
              <w:jc w:val="center"/>
            </w:pPr>
          </w:p>
        </w:tc>
      </w:tr>
      <w:tr w14:paraId="4F9F4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5CA84E1F">
            <w:pPr>
              <w:pStyle w:val="9"/>
            </w:pPr>
          </w:p>
        </w:tc>
        <w:tc>
          <w:tcPr>
            <w:tcW w:w="1069" w:type="dxa"/>
            <w:vMerge w:val="continue"/>
            <w:tcBorders>
              <w:top w:val="nil"/>
              <w:bottom w:val="nil"/>
            </w:tcBorders>
          </w:tcPr>
          <w:p w14:paraId="716531A4">
            <w:pPr>
              <w:pStyle w:val="9"/>
            </w:pPr>
          </w:p>
        </w:tc>
        <w:tc>
          <w:tcPr>
            <w:tcW w:w="1038" w:type="dxa"/>
            <w:tcBorders>
              <w:bottom w:val="nil"/>
            </w:tcBorders>
          </w:tcPr>
          <w:p w14:paraId="7665EFC8">
            <w:pPr>
              <w:spacing w:before="243" w:line="220" w:lineRule="auto"/>
              <w:ind w:left="131"/>
              <w:rPr>
                <w:rFonts w:ascii="宋体" w:hAnsi="宋体" w:eastAsia="宋体" w:cs="宋体"/>
                <w:sz w:val="20"/>
                <w:szCs w:val="20"/>
              </w:rPr>
            </w:pPr>
            <w:r>
              <w:rPr>
                <w:rFonts w:ascii="宋体" w:hAnsi="宋体" w:eastAsia="宋体" w:cs="宋体"/>
                <w:spacing w:val="1"/>
                <w:sz w:val="20"/>
                <w:szCs w:val="20"/>
              </w:rPr>
              <w:t>时效指标</w:t>
            </w:r>
          </w:p>
        </w:tc>
        <w:tc>
          <w:tcPr>
            <w:tcW w:w="1170" w:type="dxa"/>
            <w:shd w:val="clear" w:color="auto" w:fill="auto"/>
            <w:vAlign w:val="center"/>
          </w:tcPr>
          <w:p w14:paraId="180490D7">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完成及时性</w:t>
            </w:r>
          </w:p>
        </w:tc>
        <w:tc>
          <w:tcPr>
            <w:tcW w:w="1209" w:type="dxa"/>
            <w:shd w:val="clear" w:color="auto" w:fill="auto"/>
            <w:vAlign w:val="center"/>
          </w:tcPr>
          <w:p w14:paraId="30A7AC9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2023年12月31日</w:t>
            </w:r>
          </w:p>
        </w:tc>
        <w:tc>
          <w:tcPr>
            <w:tcW w:w="1138" w:type="dxa"/>
            <w:shd w:val="clear" w:color="auto" w:fill="auto"/>
            <w:vAlign w:val="center"/>
          </w:tcPr>
          <w:p w14:paraId="67EC86D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2023您12月31日前完成</w:t>
            </w:r>
          </w:p>
        </w:tc>
        <w:tc>
          <w:tcPr>
            <w:tcW w:w="809" w:type="dxa"/>
            <w:shd w:val="clear" w:color="auto" w:fill="auto"/>
            <w:vAlign w:val="center"/>
          </w:tcPr>
          <w:p w14:paraId="6D8D0B67">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AE1E16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12A58488">
            <w:pPr>
              <w:pStyle w:val="9"/>
              <w:jc w:val="center"/>
            </w:pPr>
          </w:p>
        </w:tc>
      </w:tr>
      <w:tr w14:paraId="47F99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064" w:type="dxa"/>
            <w:vMerge w:val="continue"/>
            <w:tcBorders>
              <w:top w:val="nil"/>
              <w:bottom w:val="nil"/>
            </w:tcBorders>
            <w:textDirection w:val="tbRlV"/>
          </w:tcPr>
          <w:p w14:paraId="351190E9">
            <w:pPr>
              <w:pStyle w:val="9"/>
            </w:pPr>
          </w:p>
        </w:tc>
        <w:tc>
          <w:tcPr>
            <w:tcW w:w="1069" w:type="dxa"/>
            <w:vMerge w:val="continue"/>
            <w:tcBorders>
              <w:top w:val="nil"/>
              <w:bottom w:val="nil"/>
            </w:tcBorders>
          </w:tcPr>
          <w:p w14:paraId="4F4F6733">
            <w:pPr>
              <w:pStyle w:val="9"/>
            </w:pPr>
          </w:p>
        </w:tc>
        <w:tc>
          <w:tcPr>
            <w:tcW w:w="1038" w:type="dxa"/>
            <w:tcBorders>
              <w:bottom w:val="nil"/>
            </w:tcBorders>
          </w:tcPr>
          <w:p w14:paraId="16B060AB">
            <w:pPr>
              <w:spacing w:before="251" w:line="219" w:lineRule="auto"/>
              <w:ind w:left="131"/>
              <w:rPr>
                <w:rFonts w:ascii="宋体" w:hAnsi="宋体" w:eastAsia="宋体" w:cs="宋体"/>
                <w:sz w:val="20"/>
                <w:szCs w:val="20"/>
              </w:rPr>
            </w:pPr>
            <w:r>
              <w:rPr>
                <w:rFonts w:ascii="宋体" w:hAnsi="宋体" w:eastAsia="宋体" w:cs="宋体"/>
                <w:spacing w:val="-2"/>
                <w:sz w:val="20"/>
                <w:szCs w:val="20"/>
              </w:rPr>
              <w:t>成本指标</w:t>
            </w:r>
          </w:p>
        </w:tc>
        <w:tc>
          <w:tcPr>
            <w:tcW w:w="1170" w:type="dxa"/>
            <w:shd w:val="clear" w:color="auto" w:fill="auto"/>
            <w:vAlign w:val="center"/>
          </w:tcPr>
          <w:p w14:paraId="2DF4B3E6">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项目成本</w:t>
            </w:r>
          </w:p>
        </w:tc>
        <w:tc>
          <w:tcPr>
            <w:tcW w:w="1209" w:type="dxa"/>
            <w:shd w:val="clear" w:color="auto" w:fill="auto"/>
            <w:vAlign w:val="center"/>
          </w:tcPr>
          <w:p w14:paraId="1DA67B7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1万元</w:t>
            </w:r>
          </w:p>
        </w:tc>
        <w:tc>
          <w:tcPr>
            <w:tcW w:w="1138" w:type="dxa"/>
            <w:shd w:val="clear" w:color="auto" w:fill="auto"/>
            <w:vAlign w:val="center"/>
          </w:tcPr>
          <w:p w14:paraId="42FDF6E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不超过1万元</w:t>
            </w:r>
          </w:p>
        </w:tc>
        <w:tc>
          <w:tcPr>
            <w:tcW w:w="809" w:type="dxa"/>
            <w:shd w:val="clear" w:color="auto" w:fill="auto"/>
            <w:vAlign w:val="center"/>
          </w:tcPr>
          <w:p w14:paraId="05D9C58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0B1EE09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0F321726">
            <w:pPr>
              <w:pStyle w:val="9"/>
              <w:jc w:val="center"/>
            </w:pPr>
          </w:p>
        </w:tc>
      </w:tr>
      <w:tr w14:paraId="249A1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064" w:type="dxa"/>
            <w:vMerge w:val="continue"/>
            <w:tcBorders>
              <w:top w:val="nil"/>
              <w:bottom w:val="nil"/>
            </w:tcBorders>
            <w:textDirection w:val="tbRlV"/>
          </w:tcPr>
          <w:p w14:paraId="5F84F0A6">
            <w:pPr>
              <w:pStyle w:val="9"/>
            </w:pPr>
          </w:p>
        </w:tc>
        <w:tc>
          <w:tcPr>
            <w:tcW w:w="1069" w:type="dxa"/>
            <w:vMerge w:val="restart"/>
            <w:tcBorders>
              <w:bottom w:val="nil"/>
            </w:tcBorders>
          </w:tcPr>
          <w:p w14:paraId="110D3F3E">
            <w:pPr>
              <w:pStyle w:val="9"/>
              <w:spacing w:line="270" w:lineRule="auto"/>
            </w:pPr>
          </w:p>
          <w:p w14:paraId="20B7D803">
            <w:pPr>
              <w:pStyle w:val="9"/>
              <w:spacing w:line="271" w:lineRule="auto"/>
            </w:pPr>
          </w:p>
          <w:p w14:paraId="71BEDA1E">
            <w:pPr>
              <w:pStyle w:val="9"/>
              <w:spacing w:line="271" w:lineRule="auto"/>
            </w:pPr>
          </w:p>
          <w:p w14:paraId="5E052645">
            <w:pPr>
              <w:pStyle w:val="9"/>
              <w:spacing w:line="271" w:lineRule="auto"/>
            </w:pPr>
          </w:p>
          <w:p w14:paraId="3FB3C154">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6E57CBCA">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38" w:type="dxa"/>
            <w:tcBorders>
              <w:bottom w:val="nil"/>
            </w:tcBorders>
          </w:tcPr>
          <w:p w14:paraId="583D2CCF">
            <w:pPr>
              <w:spacing w:before="134" w:line="230" w:lineRule="auto"/>
              <w:ind w:left="231" w:right="246"/>
              <w:rPr>
                <w:rFonts w:ascii="宋体" w:hAnsi="宋体" w:eastAsia="宋体" w:cs="宋体"/>
                <w:sz w:val="20"/>
                <w:szCs w:val="20"/>
              </w:rPr>
            </w:pPr>
            <w:r>
              <w:rPr>
                <w:rFonts w:ascii="宋体" w:hAnsi="宋体" w:eastAsia="宋体" w:cs="宋体"/>
                <w:spacing w:val="-4"/>
                <w:sz w:val="20"/>
                <w:szCs w:val="20"/>
              </w:rPr>
              <w:t>经济效益指标</w:t>
            </w:r>
          </w:p>
        </w:tc>
        <w:tc>
          <w:tcPr>
            <w:tcW w:w="1170" w:type="dxa"/>
            <w:shd w:val="clear" w:color="auto" w:fill="auto"/>
            <w:vAlign w:val="center"/>
          </w:tcPr>
          <w:p w14:paraId="7AD969D0">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对经济发展影响</w:t>
            </w:r>
          </w:p>
        </w:tc>
        <w:tc>
          <w:tcPr>
            <w:tcW w:w="1209" w:type="dxa"/>
            <w:shd w:val="clear" w:color="auto" w:fill="auto"/>
            <w:vAlign w:val="center"/>
          </w:tcPr>
          <w:p w14:paraId="3C19EDA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正向影响</w:t>
            </w:r>
          </w:p>
        </w:tc>
        <w:tc>
          <w:tcPr>
            <w:tcW w:w="1138" w:type="dxa"/>
            <w:shd w:val="clear" w:color="auto" w:fill="auto"/>
            <w:vAlign w:val="center"/>
          </w:tcPr>
          <w:p w14:paraId="694535DF">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间接产生正向影响</w:t>
            </w:r>
          </w:p>
        </w:tc>
        <w:tc>
          <w:tcPr>
            <w:tcW w:w="809" w:type="dxa"/>
            <w:shd w:val="clear" w:color="auto" w:fill="auto"/>
            <w:vAlign w:val="center"/>
          </w:tcPr>
          <w:p w14:paraId="50ECD56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07CAF6B">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70182A70">
            <w:pPr>
              <w:pStyle w:val="9"/>
              <w:jc w:val="center"/>
            </w:pPr>
          </w:p>
        </w:tc>
      </w:tr>
      <w:tr w14:paraId="09393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0EC6E73D">
            <w:pPr>
              <w:pStyle w:val="9"/>
            </w:pPr>
          </w:p>
        </w:tc>
        <w:tc>
          <w:tcPr>
            <w:tcW w:w="1069" w:type="dxa"/>
            <w:vMerge w:val="continue"/>
            <w:tcBorders>
              <w:top w:val="nil"/>
              <w:bottom w:val="nil"/>
            </w:tcBorders>
          </w:tcPr>
          <w:p w14:paraId="73DB0F24">
            <w:pPr>
              <w:pStyle w:val="9"/>
            </w:pPr>
          </w:p>
        </w:tc>
        <w:tc>
          <w:tcPr>
            <w:tcW w:w="1038" w:type="dxa"/>
            <w:tcBorders>
              <w:bottom w:val="nil"/>
            </w:tcBorders>
          </w:tcPr>
          <w:p w14:paraId="1149CC35">
            <w:pPr>
              <w:spacing w:before="132" w:line="231" w:lineRule="auto"/>
              <w:ind w:left="231" w:right="246"/>
              <w:rPr>
                <w:rFonts w:ascii="宋体" w:hAnsi="宋体" w:eastAsia="宋体" w:cs="宋体"/>
                <w:sz w:val="20"/>
                <w:szCs w:val="20"/>
              </w:rPr>
            </w:pPr>
            <w:r>
              <w:rPr>
                <w:rFonts w:ascii="宋体" w:hAnsi="宋体" w:eastAsia="宋体" w:cs="宋体"/>
                <w:spacing w:val="-4"/>
                <w:sz w:val="20"/>
                <w:szCs w:val="20"/>
              </w:rPr>
              <w:t>社会效益指标</w:t>
            </w:r>
          </w:p>
        </w:tc>
        <w:tc>
          <w:tcPr>
            <w:tcW w:w="1170" w:type="dxa"/>
            <w:shd w:val="clear" w:color="auto" w:fill="auto"/>
            <w:vAlign w:val="center"/>
          </w:tcPr>
          <w:p w14:paraId="1DEE3F4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对经济的发展的支持</w:t>
            </w:r>
          </w:p>
        </w:tc>
        <w:tc>
          <w:tcPr>
            <w:tcW w:w="1209" w:type="dxa"/>
            <w:shd w:val="clear" w:color="auto" w:fill="auto"/>
            <w:vAlign w:val="center"/>
          </w:tcPr>
          <w:p w14:paraId="363D55FE">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1138" w:type="dxa"/>
            <w:shd w:val="clear" w:color="auto" w:fill="auto"/>
            <w:vAlign w:val="center"/>
          </w:tcPr>
          <w:p w14:paraId="6A06C090">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保障部门正常运转</w:t>
            </w:r>
          </w:p>
        </w:tc>
        <w:tc>
          <w:tcPr>
            <w:tcW w:w="809" w:type="dxa"/>
            <w:shd w:val="clear" w:color="auto" w:fill="auto"/>
            <w:vAlign w:val="center"/>
          </w:tcPr>
          <w:p w14:paraId="0C846B98">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15</w:t>
            </w:r>
          </w:p>
        </w:tc>
        <w:tc>
          <w:tcPr>
            <w:tcW w:w="869" w:type="dxa"/>
            <w:shd w:val="clear" w:color="auto" w:fill="auto"/>
            <w:vAlign w:val="center"/>
          </w:tcPr>
          <w:p w14:paraId="6EE96CAA">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15</w:t>
            </w:r>
          </w:p>
        </w:tc>
        <w:tc>
          <w:tcPr>
            <w:tcW w:w="1413" w:type="dxa"/>
          </w:tcPr>
          <w:p w14:paraId="513246C7">
            <w:pPr>
              <w:pStyle w:val="9"/>
              <w:jc w:val="center"/>
            </w:pPr>
          </w:p>
        </w:tc>
      </w:tr>
      <w:tr w14:paraId="7F3EB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064" w:type="dxa"/>
            <w:vMerge w:val="continue"/>
            <w:tcBorders>
              <w:top w:val="nil"/>
              <w:bottom w:val="nil"/>
            </w:tcBorders>
            <w:textDirection w:val="tbRlV"/>
          </w:tcPr>
          <w:p w14:paraId="161FCABC">
            <w:pPr>
              <w:pStyle w:val="9"/>
            </w:pPr>
          </w:p>
        </w:tc>
        <w:tc>
          <w:tcPr>
            <w:tcW w:w="1069" w:type="dxa"/>
            <w:vMerge w:val="continue"/>
            <w:tcBorders>
              <w:top w:val="nil"/>
              <w:bottom w:val="nil"/>
            </w:tcBorders>
          </w:tcPr>
          <w:p w14:paraId="0DC50EE6">
            <w:pPr>
              <w:pStyle w:val="9"/>
            </w:pPr>
          </w:p>
        </w:tc>
        <w:tc>
          <w:tcPr>
            <w:tcW w:w="1038" w:type="dxa"/>
            <w:tcBorders>
              <w:bottom w:val="nil"/>
            </w:tcBorders>
          </w:tcPr>
          <w:p w14:paraId="4A7C5862">
            <w:pPr>
              <w:keepNext w:val="0"/>
              <w:keepLines w:val="0"/>
              <w:pageBreakBefore w:val="0"/>
              <w:widowControl/>
              <w:kinsoku w:val="0"/>
              <w:wordWrap/>
              <w:overflowPunct/>
              <w:topLinePunct w:val="0"/>
              <w:autoSpaceDE w:val="0"/>
              <w:autoSpaceDN w:val="0"/>
              <w:bidi w:val="0"/>
              <w:adjustRightInd w:val="0"/>
              <w:snapToGrid w:val="0"/>
              <w:spacing w:before="115" w:line="226" w:lineRule="auto"/>
              <w:ind w:left="232" w:right="244"/>
              <w:textAlignment w:val="baseline"/>
              <w:rPr>
                <w:rFonts w:ascii="宋体" w:hAnsi="宋体" w:eastAsia="宋体" w:cs="宋体"/>
                <w:sz w:val="20"/>
                <w:szCs w:val="20"/>
              </w:rPr>
            </w:pPr>
            <w:r>
              <w:rPr>
                <w:rFonts w:ascii="宋体" w:hAnsi="宋体" w:eastAsia="宋体" w:cs="宋体"/>
                <w:spacing w:val="-4"/>
                <w:sz w:val="20"/>
                <w:szCs w:val="20"/>
              </w:rPr>
              <w:t>生态效益指标</w:t>
            </w:r>
          </w:p>
        </w:tc>
        <w:tc>
          <w:tcPr>
            <w:tcW w:w="1170" w:type="dxa"/>
            <w:shd w:val="clear" w:color="auto" w:fill="auto"/>
            <w:vAlign w:val="center"/>
          </w:tcPr>
          <w:p w14:paraId="447E780C">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生态效益情况</w:t>
            </w:r>
          </w:p>
        </w:tc>
        <w:tc>
          <w:tcPr>
            <w:tcW w:w="1209" w:type="dxa"/>
            <w:shd w:val="clear" w:color="auto" w:fill="auto"/>
            <w:vAlign w:val="center"/>
          </w:tcPr>
          <w:p w14:paraId="5EA2253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1138" w:type="dxa"/>
            <w:shd w:val="clear" w:color="auto" w:fill="auto"/>
            <w:vAlign w:val="center"/>
          </w:tcPr>
          <w:p w14:paraId="5EE2150E">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对生态环境带来好的间接影响</w:t>
            </w:r>
          </w:p>
        </w:tc>
        <w:tc>
          <w:tcPr>
            <w:tcW w:w="809" w:type="dxa"/>
            <w:shd w:val="clear" w:color="auto" w:fill="auto"/>
            <w:vAlign w:val="center"/>
          </w:tcPr>
          <w:p w14:paraId="0A760FC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11AFC36">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8</w:t>
            </w:r>
          </w:p>
        </w:tc>
        <w:tc>
          <w:tcPr>
            <w:tcW w:w="1413" w:type="dxa"/>
          </w:tcPr>
          <w:p w14:paraId="4B096114">
            <w:pPr>
              <w:pStyle w:val="9"/>
              <w:jc w:val="center"/>
              <w:rPr>
                <w:rFonts w:hint="eastAsia" w:eastAsia="宋体"/>
                <w:lang w:eastAsia="zh-CN"/>
              </w:rPr>
            </w:pPr>
            <w:r>
              <w:rPr>
                <w:rFonts w:hint="eastAsia" w:eastAsia="宋体"/>
                <w:lang w:eastAsia="zh-CN"/>
              </w:rPr>
              <w:t>偏差原因：生态效益不明显；改进措施：加强正向影响</w:t>
            </w:r>
          </w:p>
        </w:tc>
      </w:tr>
      <w:tr w14:paraId="1C9C9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1064" w:type="dxa"/>
            <w:vMerge w:val="continue"/>
            <w:tcBorders>
              <w:top w:val="nil"/>
              <w:bottom w:val="nil"/>
            </w:tcBorders>
            <w:textDirection w:val="tbRlV"/>
          </w:tcPr>
          <w:p w14:paraId="21D77018">
            <w:pPr>
              <w:pStyle w:val="9"/>
            </w:pPr>
          </w:p>
        </w:tc>
        <w:tc>
          <w:tcPr>
            <w:tcW w:w="1069" w:type="dxa"/>
            <w:vMerge w:val="continue"/>
            <w:tcBorders>
              <w:top w:val="nil"/>
              <w:bottom w:val="nil"/>
            </w:tcBorders>
          </w:tcPr>
          <w:p w14:paraId="1A0EA34E">
            <w:pPr>
              <w:pStyle w:val="9"/>
            </w:pPr>
          </w:p>
        </w:tc>
        <w:tc>
          <w:tcPr>
            <w:tcW w:w="1038" w:type="dxa"/>
            <w:tcBorders>
              <w:bottom w:val="nil"/>
            </w:tcBorders>
          </w:tcPr>
          <w:p w14:paraId="41FF8F4D">
            <w:pPr>
              <w:spacing w:before="106" w:line="219" w:lineRule="auto"/>
              <w:ind w:left="131"/>
              <w:rPr>
                <w:rFonts w:ascii="宋体" w:hAnsi="宋体" w:eastAsia="宋体" w:cs="宋体"/>
                <w:sz w:val="20"/>
                <w:szCs w:val="20"/>
              </w:rPr>
            </w:pPr>
            <w:r>
              <w:rPr>
                <w:rFonts w:ascii="宋体" w:hAnsi="宋体" w:eastAsia="宋体" w:cs="宋体"/>
                <w:spacing w:val="-2"/>
                <w:sz w:val="20"/>
                <w:szCs w:val="20"/>
              </w:rPr>
              <w:t>可持续影</w:t>
            </w:r>
          </w:p>
          <w:p w14:paraId="5878FFEC">
            <w:pPr>
              <w:spacing w:before="63" w:line="220" w:lineRule="auto"/>
              <w:ind w:left="231"/>
              <w:rPr>
                <w:rFonts w:ascii="宋体" w:hAnsi="宋体" w:eastAsia="宋体" w:cs="宋体"/>
                <w:sz w:val="20"/>
                <w:szCs w:val="20"/>
              </w:rPr>
            </w:pPr>
            <w:r>
              <w:rPr>
                <w:rFonts w:ascii="宋体" w:hAnsi="宋体" w:eastAsia="宋体" w:cs="宋体"/>
                <w:spacing w:val="2"/>
                <w:sz w:val="20"/>
                <w:szCs w:val="20"/>
              </w:rPr>
              <w:t>响指标</w:t>
            </w:r>
          </w:p>
        </w:tc>
        <w:tc>
          <w:tcPr>
            <w:tcW w:w="1170" w:type="dxa"/>
            <w:shd w:val="clear" w:color="auto" w:fill="auto"/>
            <w:vAlign w:val="center"/>
          </w:tcPr>
          <w:p w14:paraId="184C9028">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切实有效管理和规范各项收支</w:t>
            </w:r>
          </w:p>
        </w:tc>
        <w:tc>
          <w:tcPr>
            <w:tcW w:w="1209" w:type="dxa"/>
            <w:shd w:val="clear" w:color="auto" w:fill="auto"/>
            <w:vAlign w:val="center"/>
          </w:tcPr>
          <w:p w14:paraId="0670C71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效果显著</w:t>
            </w:r>
          </w:p>
        </w:tc>
        <w:tc>
          <w:tcPr>
            <w:tcW w:w="1138" w:type="dxa"/>
            <w:shd w:val="clear" w:color="auto" w:fill="auto"/>
            <w:vAlign w:val="center"/>
          </w:tcPr>
          <w:p w14:paraId="578DCE79">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正向影响可持续</w:t>
            </w:r>
          </w:p>
        </w:tc>
        <w:tc>
          <w:tcPr>
            <w:tcW w:w="809" w:type="dxa"/>
            <w:shd w:val="clear" w:color="auto" w:fill="auto"/>
            <w:vAlign w:val="center"/>
          </w:tcPr>
          <w:p w14:paraId="263B146F">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sz w:val="20"/>
                <w:szCs w:val="20"/>
                <w:u w:val="none"/>
                <w:lang w:val="en-US" w:eastAsia="zh-CN" w:bidi="ar-SA"/>
              </w:rPr>
              <w:t>15</w:t>
            </w:r>
          </w:p>
        </w:tc>
        <w:tc>
          <w:tcPr>
            <w:tcW w:w="869" w:type="dxa"/>
            <w:shd w:val="clear" w:color="auto" w:fill="auto"/>
            <w:vAlign w:val="center"/>
          </w:tcPr>
          <w:p w14:paraId="27688198">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15</w:t>
            </w:r>
          </w:p>
        </w:tc>
        <w:tc>
          <w:tcPr>
            <w:tcW w:w="1413" w:type="dxa"/>
          </w:tcPr>
          <w:p w14:paraId="1C56287C">
            <w:pPr>
              <w:pStyle w:val="9"/>
              <w:jc w:val="center"/>
            </w:pPr>
          </w:p>
        </w:tc>
      </w:tr>
      <w:tr w14:paraId="6B17B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8" w:hRule="atLeast"/>
        </w:trPr>
        <w:tc>
          <w:tcPr>
            <w:tcW w:w="1064" w:type="dxa"/>
            <w:vMerge w:val="continue"/>
            <w:tcBorders>
              <w:top w:val="nil"/>
              <w:bottom w:val="nil"/>
            </w:tcBorders>
            <w:textDirection w:val="tbRlV"/>
          </w:tcPr>
          <w:p w14:paraId="6304130D">
            <w:pPr>
              <w:pStyle w:val="9"/>
            </w:pPr>
          </w:p>
        </w:tc>
        <w:tc>
          <w:tcPr>
            <w:tcW w:w="1069" w:type="dxa"/>
            <w:tcBorders>
              <w:bottom w:val="nil"/>
            </w:tcBorders>
          </w:tcPr>
          <w:p w14:paraId="7BBC9122">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75C0E365">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4A22B990">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38" w:type="dxa"/>
            <w:tcBorders>
              <w:bottom w:val="nil"/>
            </w:tcBorders>
          </w:tcPr>
          <w:p w14:paraId="4981200A">
            <w:pPr>
              <w:spacing w:before="46" w:line="219" w:lineRule="auto"/>
              <w:ind w:left="131"/>
              <w:rPr>
                <w:rFonts w:ascii="宋体" w:hAnsi="宋体" w:eastAsia="宋体" w:cs="宋体"/>
                <w:sz w:val="20"/>
                <w:szCs w:val="20"/>
              </w:rPr>
            </w:pPr>
            <w:r>
              <w:rPr>
                <w:rFonts w:ascii="宋体" w:hAnsi="宋体" w:eastAsia="宋体" w:cs="宋体"/>
                <w:spacing w:val="-2"/>
                <w:sz w:val="20"/>
                <w:szCs w:val="20"/>
              </w:rPr>
              <w:t>服务对象</w:t>
            </w:r>
          </w:p>
          <w:p w14:paraId="4DD808C1">
            <w:pPr>
              <w:spacing w:before="62" w:line="219" w:lineRule="auto"/>
              <w:ind w:left="131"/>
              <w:rPr>
                <w:rFonts w:ascii="宋体" w:hAnsi="宋体" w:eastAsia="宋体" w:cs="宋体"/>
                <w:sz w:val="20"/>
                <w:szCs w:val="20"/>
              </w:rPr>
            </w:pPr>
            <w:r>
              <w:rPr>
                <w:rFonts w:ascii="宋体" w:hAnsi="宋体" w:eastAsia="宋体" w:cs="宋体"/>
                <w:spacing w:val="3"/>
                <w:sz w:val="20"/>
                <w:szCs w:val="20"/>
              </w:rPr>
              <w:t>满意度指</w:t>
            </w:r>
          </w:p>
          <w:p w14:paraId="6AC3CA0E">
            <w:pPr>
              <w:spacing w:before="53" w:line="176" w:lineRule="auto"/>
              <w:ind w:left="431"/>
              <w:rPr>
                <w:rFonts w:ascii="宋体" w:hAnsi="宋体" w:eastAsia="宋体" w:cs="宋体"/>
                <w:sz w:val="20"/>
                <w:szCs w:val="20"/>
              </w:rPr>
            </w:pPr>
            <w:r>
              <w:rPr>
                <w:rFonts w:ascii="宋体" w:hAnsi="宋体" w:eastAsia="宋体" w:cs="宋体"/>
                <w:sz w:val="20"/>
                <w:szCs w:val="20"/>
              </w:rPr>
              <w:t>标</w:t>
            </w:r>
          </w:p>
        </w:tc>
        <w:tc>
          <w:tcPr>
            <w:tcW w:w="1170" w:type="dxa"/>
            <w:shd w:val="clear" w:color="auto" w:fill="auto"/>
            <w:vAlign w:val="center"/>
          </w:tcPr>
          <w:p w14:paraId="4FF9C0C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服务对象满意率</w:t>
            </w:r>
          </w:p>
        </w:tc>
        <w:tc>
          <w:tcPr>
            <w:tcW w:w="1209" w:type="dxa"/>
            <w:shd w:val="clear" w:color="auto" w:fill="auto"/>
            <w:vAlign w:val="center"/>
          </w:tcPr>
          <w:p w14:paraId="59B47AF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90%</w:t>
            </w:r>
          </w:p>
        </w:tc>
        <w:tc>
          <w:tcPr>
            <w:tcW w:w="1138" w:type="dxa"/>
            <w:shd w:val="clear" w:color="auto" w:fill="auto"/>
            <w:vAlign w:val="center"/>
          </w:tcPr>
          <w:p w14:paraId="5A1170CF">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90%以上</w:t>
            </w:r>
          </w:p>
        </w:tc>
        <w:tc>
          <w:tcPr>
            <w:tcW w:w="809" w:type="dxa"/>
            <w:shd w:val="clear" w:color="auto" w:fill="auto"/>
            <w:vAlign w:val="center"/>
          </w:tcPr>
          <w:p w14:paraId="55115DD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39553F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53B1DAE">
            <w:pPr>
              <w:pStyle w:val="9"/>
              <w:jc w:val="center"/>
            </w:pPr>
          </w:p>
        </w:tc>
      </w:tr>
      <w:tr w14:paraId="4A5BF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26119546">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71BAA8E5">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tcPr>
          <w:p w14:paraId="33DBE9DA">
            <w:pPr>
              <w:pStyle w:val="9"/>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eastAsia="宋体"/>
                <w:lang w:val="en-US" w:eastAsia="zh-CN"/>
              </w:rPr>
            </w:pPr>
            <w:r>
              <w:rPr>
                <w:rFonts w:hint="eastAsia" w:eastAsia="宋体"/>
                <w:lang w:val="en-US" w:eastAsia="zh-CN"/>
              </w:rPr>
              <w:t>98</w:t>
            </w:r>
          </w:p>
        </w:tc>
        <w:tc>
          <w:tcPr>
            <w:tcW w:w="1413" w:type="dxa"/>
          </w:tcPr>
          <w:p w14:paraId="0C8F9ADE">
            <w:pPr>
              <w:pStyle w:val="9"/>
            </w:pPr>
          </w:p>
        </w:tc>
      </w:tr>
    </w:tbl>
    <w:p w14:paraId="30CFF89A">
      <w:pPr>
        <w:pStyle w:val="2"/>
        <w:spacing w:before="12" w:line="285" w:lineRule="auto"/>
        <w:ind w:right="285" w:firstLine="420" w:firstLineChars="200"/>
        <w:rPr>
          <w:rFonts w:hint="default" w:ascii="宋体" w:hAnsi="宋体" w:eastAsia="宋体" w:cs="宋体"/>
          <w:sz w:val="21"/>
          <w:szCs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米雅琴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2024年10月16日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17775166093</w:t>
      </w:r>
    </w:p>
    <w:p w14:paraId="6F5F3436">
      <w:pPr>
        <w:pStyle w:val="2"/>
        <w:spacing w:before="12" w:line="285" w:lineRule="auto"/>
        <w:ind w:right="285"/>
        <w:rPr>
          <w:rFonts w:hint="default" w:ascii="宋体" w:hAnsi="宋体" w:eastAsia="宋体" w:cs="宋体"/>
          <w:sz w:val="21"/>
          <w:szCs w:val="21"/>
          <w:lang w:val="en-US" w:eastAsia="zh-CN"/>
        </w:rPr>
      </w:pPr>
    </w:p>
    <w:sectPr>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174D899D">
        <w:pPr>
          <w:pStyle w:val="3"/>
          <w:jc w:val="center"/>
        </w:pPr>
        <w:r>
          <w:fldChar w:fldCharType="begin"/>
        </w:r>
        <w:r>
          <w:instrText xml:space="preserve"> PAGE   \* MERGEFORMAT </w:instrText>
        </w:r>
        <w:r>
          <w:fldChar w:fldCharType="separate"/>
        </w:r>
        <w:r>
          <w:rPr>
            <w:lang w:val="zh-CN"/>
          </w:rPr>
          <w:t>-</w:t>
        </w:r>
        <w:r>
          <w:t xml:space="preserve"> 3 -</w:t>
        </w:r>
        <w:r>
          <w:fldChar w:fldCharType="end"/>
        </w:r>
      </w:p>
    </w:sdtContent>
  </w:sdt>
  <w:p w14:paraId="4B4FC77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A95F9">
    <w:pPr>
      <w:pStyle w:val="3"/>
      <w:jc w:val="center"/>
    </w:pPr>
    <w:r>
      <w:fldChar w:fldCharType="begin"/>
    </w:r>
    <w:r>
      <w:instrText xml:space="preserve"> PAGE   \* MERGEFORMAT </w:instrText>
    </w:r>
    <w:r>
      <w:fldChar w:fldCharType="separate"/>
    </w:r>
    <w:r>
      <w:rPr>
        <w:lang w:val="zh-CN"/>
      </w:rPr>
      <w:t>-</w:t>
    </w:r>
    <w:r>
      <w:t xml:space="preserve"> 5 -</w:t>
    </w:r>
    <w:r>
      <w:fldChar w:fldCharType="end"/>
    </w:r>
  </w:p>
  <w:p w14:paraId="573707C1">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7E5E8">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64F050"/>
    <w:multiLevelType w:val="singleLevel"/>
    <w:tmpl w:val="BC64F050"/>
    <w:lvl w:ilvl="0" w:tentative="0">
      <w:start w:val="2"/>
      <w:numFmt w:val="decimal"/>
      <w:lvlText w:val="(%1)"/>
      <w:lvlJc w:val="left"/>
      <w:pPr>
        <w:tabs>
          <w:tab w:val="left" w:pos="312"/>
        </w:tabs>
      </w:pPr>
    </w:lvl>
  </w:abstractNum>
  <w:abstractNum w:abstractNumId="1">
    <w:nsid w:val="C326195B"/>
    <w:multiLevelType w:val="singleLevel"/>
    <w:tmpl w:val="C326195B"/>
    <w:lvl w:ilvl="0" w:tentative="0">
      <w:start w:val="3"/>
      <w:numFmt w:val="chineseCounting"/>
      <w:suff w:val="nothing"/>
      <w:lvlText w:val="%1、"/>
      <w:lvlJc w:val="left"/>
      <w:rPr>
        <w:rFonts w:hint="eastAsia"/>
      </w:rPr>
    </w:lvl>
  </w:abstractNum>
  <w:abstractNum w:abstractNumId="2">
    <w:nsid w:val="D7D8C846"/>
    <w:multiLevelType w:val="singleLevel"/>
    <w:tmpl w:val="D7D8C846"/>
    <w:lvl w:ilvl="0" w:tentative="0">
      <w:start w:val="1"/>
      <w:numFmt w:val="decimal"/>
      <w:lvlText w:val="%1."/>
      <w:lvlJc w:val="left"/>
      <w:pPr>
        <w:tabs>
          <w:tab w:val="left" w:pos="312"/>
        </w:tabs>
      </w:pPr>
    </w:lvl>
  </w:abstractNum>
  <w:abstractNum w:abstractNumId="3">
    <w:nsid w:val="775FDDA5"/>
    <w:multiLevelType w:val="singleLevel"/>
    <w:tmpl w:val="775FDDA5"/>
    <w:lvl w:ilvl="0" w:tentative="0">
      <w:start w:val="1"/>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VhZmM0MTQyN2I2NDBhNjU3NTBjNWYzNGIyNGMyNjkifQ=="/>
  </w:docVars>
  <w:rsids>
    <w:rsidRoot w:val="00D65F4E"/>
    <w:rsid w:val="00035B4F"/>
    <w:rsid w:val="00252DD3"/>
    <w:rsid w:val="003A0F30"/>
    <w:rsid w:val="006B3AFB"/>
    <w:rsid w:val="007E706E"/>
    <w:rsid w:val="00814CEE"/>
    <w:rsid w:val="00A403D2"/>
    <w:rsid w:val="00BD215C"/>
    <w:rsid w:val="00C24372"/>
    <w:rsid w:val="00CD6479"/>
    <w:rsid w:val="00D65F4E"/>
    <w:rsid w:val="0BE71FA9"/>
    <w:rsid w:val="0D0A17F5"/>
    <w:rsid w:val="114626DA"/>
    <w:rsid w:val="177C4139"/>
    <w:rsid w:val="22C22A8B"/>
    <w:rsid w:val="23274990"/>
    <w:rsid w:val="248A3369"/>
    <w:rsid w:val="24BD6DE1"/>
    <w:rsid w:val="2FECE574"/>
    <w:rsid w:val="325A4C76"/>
    <w:rsid w:val="3B981996"/>
    <w:rsid w:val="3BF37FEC"/>
    <w:rsid w:val="3F7D3D52"/>
    <w:rsid w:val="3F9DD004"/>
    <w:rsid w:val="42280FD2"/>
    <w:rsid w:val="452455D5"/>
    <w:rsid w:val="49CD4B65"/>
    <w:rsid w:val="4C920ED6"/>
    <w:rsid w:val="4F3BC71C"/>
    <w:rsid w:val="4FC03602"/>
    <w:rsid w:val="52713D71"/>
    <w:rsid w:val="52D26380"/>
    <w:rsid w:val="5882481A"/>
    <w:rsid w:val="5A625C12"/>
    <w:rsid w:val="5BD471A7"/>
    <w:rsid w:val="5F983BE5"/>
    <w:rsid w:val="6025396A"/>
    <w:rsid w:val="64D96331"/>
    <w:rsid w:val="673BA62A"/>
    <w:rsid w:val="68A74A73"/>
    <w:rsid w:val="6BD7A7ED"/>
    <w:rsid w:val="6D167091"/>
    <w:rsid w:val="72333E41"/>
    <w:rsid w:val="74293E44"/>
    <w:rsid w:val="7561375B"/>
    <w:rsid w:val="75ECE37B"/>
    <w:rsid w:val="7620067C"/>
    <w:rsid w:val="7C7F423C"/>
    <w:rsid w:val="7F611D74"/>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link w:val="11"/>
    <w:qFormat/>
    <w:uiPriority w:val="99"/>
    <w:pPr>
      <w:tabs>
        <w:tab w:val="center" w:pos="4153"/>
        <w:tab w:val="right" w:pos="8306"/>
      </w:tabs>
    </w:pPr>
    <w:rPr>
      <w:sz w:val="18"/>
      <w:szCs w:val="18"/>
    </w:rPr>
  </w:style>
  <w:style w:type="paragraph" w:styleId="4">
    <w:name w:val="header"/>
    <w:basedOn w:val="1"/>
    <w:link w:val="10"/>
    <w:qFormat/>
    <w:uiPriority w:val="0"/>
    <w:pPr>
      <w:pBdr>
        <w:bottom w:val="single" w:color="auto" w:sz="6" w:space="1"/>
      </w:pBdr>
      <w:tabs>
        <w:tab w:val="center" w:pos="4153"/>
        <w:tab w:val="right" w:pos="8306"/>
      </w:tabs>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页眉 Char"/>
    <w:basedOn w:val="7"/>
    <w:link w:val="4"/>
    <w:qFormat/>
    <w:uiPriority w:val="0"/>
    <w:rPr>
      <w:rFonts w:eastAsia="Arial"/>
      <w:snapToGrid w:val="0"/>
      <w:color w:val="000000"/>
      <w:sz w:val="18"/>
      <w:szCs w:val="18"/>
      <w:lang w:eastAsia="en-US"/>
    </w:rPr>
  </w:style>
  <w:style w:type="character" w:customStyle="1" w:styleId="11">
    <w:name w:val="页脚 Char"/>
    <w:basedOn w:val="7"/>
    <w:link w:val="3"/>
    <w:qFormat/>
    <w:uiPriority w:val="99"/>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9456</Words>
  <Characters>10038</Characters>
  <Lines>21</Lines>
  <Paragraphs>5</Paragraphs>
  <TotalTime>111</TotalTime>
  <ScaleCrop>false</ScaleCrop>
  <LinksUpToDate>false</LinksUpToDate>
  <CharactersWithSpaces>10130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H</cp:lastModifiedBy>
  <cp:lastPrinted>2024-11-04T06:48:55Z</cp:lastPrinted>
  <dcterms:modified xsi:type="dcterms:W3CDTF">2024-11-04T07:40:47Z</dcterms:modified>
  <dc:subject>pdfbuilder</dc:subject>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88EF7F0386A94B19B882AC34FF3BAA4D_13</vt:lpwstr>
  </property>
</Properties>
</file>