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66AE2">
      <w:pPr>
        <w:widowControl w:val="0"/>
        <w:kinsoku/>
        <w:overflowPunct w:val="0"/>
        <w:spacing w:line="360" w:lineRule="auto"/>
        <w:ind w:firstLine="1283" w:firstLineChars="300"/>
        <w:jc w:val="left"/>
        <w:rPr>
          <w:rFonts w:ascii="宋体" w:hAnsi="宋体" w:eastAsia="宋体" w:cs="宋体"/>
          <w:b/>
          <w:bCs/>
          <w:spacing w:val="-7"/>
          <w:sz w:val="44"/>
          <w:szCs w:val="44"/>
          <w:lang w:eastAsia="zh-CN"/>
        </w:rPr>
      </w:pPr>
      <w:r>
        <w:rPr>
          <w:rFonts w:hint="eastAsia" w:ascii="宋体" w:hAnsi="宋体" w:eastAsia="宋体" w:cs="宋体"/>
          <w:b/>
          <w:bCs/>
          <w:spacing w:val="-7"/>
          <w:sz w:val="44"/>
          <w:szCs w:val="44"/>
          <w:lang w:eastAsia="zh-CN"/>
        </w:rPr>
        <w:t>怀化市鹤城区征收安置事务中心</w:t>
      </w:r>
    </w:p>
    <w:p w14:paraId="418A0EBB">
      <w:pPr>
        <w:widowControl w:val="0"/>
        <w:kinsoku/>
        <w:overflowPunct w:val="0"/>
        <w:spacing w:line="360" w:lineRule="auto"/>
        <w:ind w:firstLine="1711" w:firstLineChars="400"/>
        <w:jc w:val="left"/>
        <w:rPr>
          <w:rFonts w:ascii="宋体" w:hAnsi="宋体" w:eastAsia="宋体" w:cs="宋体"/>
          <w:sz w:val="44"/>
          <w:szCs w:val="44"/>
          <w:lang w:eastAsia="zh-CN"/>
        </w:rPr>
      </w:pPr>
      <w:r>
        <w:rPr>
          <w:rFonts w:ascii="宋体" w:hAnsi="宋体" w:eastAsia="宋体" w:cs="宋体"/>
          <w:b/>
          <w:bCs/>
          <w:spacing w:val="-7"/>
          <w:sz w:val="44"/>
          <w:szCs w:val="44"/>
          <w:lang w:eastAsia="zh-CN"/>
        </w:rPr>
        <w:t>部门整体支出绩效自评报告</w:t>
      </w:r>
    </w:p>
    <w:p w14:paraId="79017430">
      <w:pPr>
        <w:widowControl w:val="0"/>
        <w:kinsoku/>
        <w:overflowPunct w:val="0"/>
        <w:spacing w:line="360" w:lineRule="auto"/>
        <w:ind w:firstLine="640" w:firstLineChars="200"/>
        <w:rPr>
          <w:sz w:val="32"/>
          <w:szCs w:val="32"/>
          <w:lang w:eastAsia="zh-CN"/>
        </w:rPr>
      </w:pPr>
    </w:p>
    <w:p w14:paraId="011B8377">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79910F52">
      <w:pPr>
        <w:widowControl w:val="0"/>
        <w:kinsoku/>
        <w:overflowPunct w:val="0"/>
        <w:spacing w:line="360" w:lineRule="auto"/>
        <w:ind w:firstLine="684" w:firstLineChars="200"/>
        <w:rPr>
          <w:rFonts w:ascii="楷体" w:hAnsi="楷体" w:eastAsia="楷体" w:cs="楷体"/>
          <w:spacing w:val="11"/>
          <w:sz w:val="32"/>
          <w:szCs w:val="32"/>
          <w:lang w:eastAsia="zh-CN"/>
        </w:rPr>
      </w:pPr>
      <w:r>
        <w:rPr>
          <w:rFonts w:ascii="楷体" w:hAnsi="楷体" w:eastAsia="楷体" w:cs="楷体"/>
          <w:spacing w:val="11"/>
          <w:sz w:val="32"/>
          <w:szCs w:val="32"/>
          <w:lang w:eastAsia="zh-CN"/>
        </w:rPr>
        <w:t>(一)机构设置情况</w:t>
      </w:r>
    </w:p>
    <w:p w14:paraId="5B8BB456">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区征收安置事务中心设9个内设机构。综合部（人事部）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lang w:val="en-US" w:eastAsia="zh-CN"/>
        </w:rPr>
        <w:t>财务部、</w:t>
      </w:r>
      <w:r>
        <w:rPr>
          <w:rFonts w:hint="eastAsia" w:ascii="仿宋_GB2312" w:hAnsi="仿宋_GB2312" w:eastAsia="仿宋_GB2312" w:cs="仿宋_GB2312"/>
          <w:bCs/>
          <w:sz w:val="32"/>
          <w:szCs w:val="32"/>
        </w:rPr>
        <w:t>政策法规部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征收管理部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征收一部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征收</w:t>
      </w:r>
      <w:r>
        <w:rPr>
          <w:rFonts w:hint="eastAsia" w:ascii="仿宋_GB2312" w:hAnsi="仿宋_GB2312" w:eastAsia="仿宋_GB2312" w:cs="仿宋_GB2312"/>
          <w:bCs/>
          <w:sz w:val="32"/>
          <w:szCs w:val="32"/>
          <w:lang w:val="en-US" w:eastAsia="zh-CN"/>
        </w:rPr>
        <w:t>二</w:t>
      </w:r>
      <w:r>
        <w:rPr>
          <w:rFonts w:hint="eastAsia" w:ascii="仿宋_GB2312" w:hAnsi="仿宋_GB2312" w:eastAsia="仿宋_GB2312" w:cs="仿宋_GB2312"/>
          <w:bCs/>
          <w:sz w:val="32"/>
          <w:szCs w:val="32"/>
        </w:rPr>
        <w:t>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征收</w:t>
      </w:r>
      <w:r>
        <w:rPr>
          <w:rFonts w:hint="eastAsia" w:ascii="仿宋_GB2312" w:hAnsi="仿宋_GB2312" w:eastAsia="仿宋_GB2312" w:cs="仿宋_GB2312"/>
          <w:bCs/>
          <w:sz w:val="32"/>
          <w:szCs w:val="32"/>
          <w:lang w:val="en-US" w:eastAsia="zh-CN"/>
        </w:rPr>
        <w:t>三</w:t>
      </w:r>
      <w:r>
        <w:rPr>
          <w:rFonts w:hint="eastAsia" w:ascii="仿宋_GB2312" w:hAnsi="仿宋_GB2312" w:eastAsia="仿宋_GB2312" w:cs="仿宋_GB2312"/>
          <w:bCs/>
          <w:sz w:val="32"/>
          <w:szCs w:val="32"/>
        </w:rPr>
        <w:t>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征收</w:t>
      </w:r>
      <w:r>
        <w:rPr>
          <w:rFonts w:hint="eastAsia" w:ascii="仿宋_GB2312" w:hAnsi="仿宋_GB2312" w:eastAsia="仿宋_GB2312" w:cs="仿宋_GB2312"/>
          <w:bCs/>
          <w:sz w:val="32"/>
          <w:szCs w:val="32"/>
          <w:lang w:val="en-US" w:eastAsia="zh-CN"/>
        </w:rPr>
        <w:t>四</w:t>
      </w:r>
      <w:r>
        <w:rPr>
          <w:rFonts w:hint="eastAsia" w:ascii="仿宋_GB2312" w:hAnsi="仿宋_GB2312" w:eastAsia="仿宋_GB2312" w:cs="仿宋_GB2312"/>
          <w:bCs/>
          <w:sz w:val="32"/>
          <w:szCs w:val="32"/>
        </w:rPr>
        <w:t>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安置部（工程技术部）</w:t>
      </w:r>
      <w:r>
        <w:rPr>
          <w:rFonts w:hint="eastAsia" w:ascii="仿宋_GB2312" w:hAnsi="仿宋_GB2312" w:eastAsia="仿宋_GB2312" w:cs="仿宋_GB2312"/>
          <w:bCs/>
          <w:sz w:val="32"/>
          <w:szCs w:val="32"/>
          <w:lang w:eastAsia="zh-CN"/>
        </w:rPr>
        <w:t>。</w:t>
      </w:r>
    </w:p>
    <w:p w14:paraId="57DA5F7D">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区征收安置事务中心</w:t>
      </w:r>
      <w:r>
        <w:rPr>
          <w:rFonts w:hint="eastAsia" w:ascii="仿宋_GB2312" w:hAnsi="仿宋_GB2312" w:eastAsia="仿宋_GB2312" w:cs="仿宋_GB2312"/>
          <w:bCs/>
          <w:sz w:val="32"/>
          <w:szCs w:val="32"/>
        </w:rPr>
        <w:t>作为一般部门预算单位，纳入2023年部门预算编制范围的二级部门预算单位包括：</w:t>
      </w:r>
      <w:r>
        <w:rPr>
          <w:rFonts w:hint="eastAsia" w:ascii="仿宋_GB2312" w:hAnsi="仿宋_GB2312" w:eastAsia="仿宋_GB2312" w:cs="仿宋_GB2312"/>
          <w:bCs/>
          <w:sz w:val="32"/>
          <w:szCs w:val="32"/>
          <w:lang w:val="en-US" w:eastAsia="zh-CN"/>
        </w:rPr>
        <w:t>区征收安置事务中心本级。</w:t>
      </w:r>
    </w:p>
    <w:p w14:paraId="44CC1AB9">
      <w:pPr>
        <w:widowControl w:val="0"/>
        <w:numPr>
          <w:ilvl w:val="0"/>
          <w:numId w:val="0"/>
        </w:numPr>
        <w:kinsoku/>
        <w:overflowPunct w:val="0"/>
        <w:spacing w:line="360" w:lineRule="auto"/>
        <w:ind w:firstLine="336" w:firstLineChars="100"/>
        <w:rPr>
          <w:rFonts w:hint="default"/>
          <w:lang w:val="en-US" w:eastAsia="zh-CN"/>
        </w:rPr>
      </w:pPr>
      <w:r>
        <w:rPr>
          <w:rFonts w:hint="eastAsia" w:ascii="楷体" w:hAnsi="楷体" w:eastAsia="楷体" w:cs="楷体"/>
          <w:spacing w:val="8"/>
          <w:sz w:val="32"/>
          <w:szCs w:val="32"/>
          <w:lang w:eastAsia="zh-CN"/>
        </w:rPr>
        <w:t>（二）</w:t>
      </w:r>
      <w:r>
        <w:rPr>
          <w:rFonts w:ascii="楷体" w:hAnsi="楷体" w:eastAsia="楷体" w:cs="楷体"/>
          <w:spacing w:val="8"/>
          <w:sz w:val="32"/>
          <w:szCs w:val="32"/>
          <w:lang w:eastAsia="zh-CN"/>
        </w:rPr>
        <w:t>人员编制情况</w:t>
      </w:r>
    </w:p>
    <w:p w14:paraId="38915038">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2023年中心编制人数60人，年末实有59人。</w:t>
      </w:r>
    </w:p>
    <w:p w14:paraId="3D8F26CB">
      <w:pPr>
        <w:widowControl w:val="0"/>
        <w:tabs>
          <w:tab w:val="left" w:pos="1050"/>
        </w:tabs>
        <w:kinsoku/>
        <w:overflowPunct w:val="0"/>
        <w:spacing w:line="360" w:lineRule="auto"/>
        <w:ind w:firstLine="680" w:firstLineChars="200"/>
        <w:rPr>
          <w:rFonts w:ascii="楷体" w:hAnsi="楷体" w:eastAsia="楷体" w:cs="楷体"/>
          <w:spacing w:val="10"/>
          <w:sz w:val="32"/>
          <w:szCs w:val="32"/>
          <w:lang w:eastAsia="zh-CN"/>
        </w:rPr>
      </w:pPr>
    </w:p>
    <w:p w14:paraId="1B646DF2">
      <w:pPr>
        <w:widowControl w:val="0"/>
        <w:tabs>
          <w:tab w:val="left" w:pos="1050"/>
        </w:tabs>
        <w:kinsoku/>
        <w:overflowPunct w:val="0"/>
        <w:spacing w:line="360" w:lineRule="auto"/>
        <w:ind w:firstLine="680" w:firstLineChars="200"/>
        <w:rPr>
          <w:rFonts w:ascii="楷体" w:hAnsi="楷体" w:eastAsia="楷体" w:cs="楷体"/>
          <w:spacing w:val="10"/>
          <w:sz w:val="32"/>
          <w:szCs w:val="32"/>
          <w:lang w:eastAsia="zh-CN"/>
        </w:rPr>
      </w:pPr>
      <w:r>
        <w:rPr>
          <w:rFonts w:ascii="楷体" w:hAnsi="楷体" w:eastAsia="楷体" w:cs="楷体"/>
          <w:spacing w:val="10"/>
          <w:sz w:val="32"/>
          <w:szCs w:val="32"/>
          <w:lang w:eastAsia="zh-CN"/>
        </w:rPr>
        <w:t>(三)主要职能职责</w:t>
      </w:r>
    </w:p>
    <w:p w14:paraId="15CACF8F">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eastAsia="仿宋_GB2312"/>
          <w:bCs/>
          <w:sz w:val="32"/>
          <w:szCs w:val="32"/>
        </w:rPr>
      </w:pPr>
      <w:r>
        <w:rPr>
          <w:rFonts w:hint="eastAsia" w:ascii="仿宋_GB2312" w:eastAsia="仿宋_GB2312"/>
          <w:sz w:val="32"/>
          <w:szCs w:val="32"/>
        </w:rPr>
        <w:t>区征收安置事务中心</w:t>
      </w:r>
      <w:r>
        <w:rPr>
          <w:rFonts w:hint="eastAsia" w:ascii="仿宋_GB2312" w:hAnsi="仿宋_GB2312" w:eastAsia="仿宋_GB2312" w:cs="仿宋_GB2312"/>
          <w:bCs/>
          <w:sz w:val="32"/>
          <w:szCs w:val="32"/>
        </w:rPr>
        <w:t>贯彻落实党中央、省委、市委和区委关于</w:t>
      </w:r>
      <w:r>
        <w:rPr>
          <w:rFonts w:hint="eastAsia" w:ascii="仿宋_GB2312" w:eastAsia="仿宋_GB2312"/>
          <w:sz w:val="32"/>
          <w:szCs w:val="32"/>
        </w:rPr>
        <w:t>土地和房屋征收补偿安置工作</w:t>
      </w:r>
      <w:r>
        <w:rPr>
          <w:rFonts w:hint="eastAsia" w:ascii="仿宋_GB2312" w:hAnsi="仿宋_GB2312" w:eastAsia="仿宋_GB2312" w:cs="仿宋_GB2312"/>
          <w:bCs/>
          <w:sz w:val="32"/>
          <w:szCs w:val="32"/>
        </w:rPr>
        <w:t>的方针政策和决策部署。主要职责是：</w:t>
      </w:r>
    </w:p>
    <w:p w14:paraId="28A61B58">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1、</w:t>
      </w:r>
      <w:r>
        <w:rPr>
          <w:rFonts w:hint="eastAsia" w:ascii="仿宋_GB2312" w:hAnsi="仿宋_GB2312" w:eastAsia="仿宋_GB2312" w:cs="仿宋_GB2312"/>
          <w:bCs/>
          <w:sz w:val="32"/>
          <w:szCs w:val="32"/>
        </w:rPr>
        <w:t>承担鹤城区本级项目及市级下达任务的集体土与房屋征收补偿安置具体工作。</w:t>
      </w:r>
    </w:p>
    <w:p w14:paraId="53EDA45A">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2、</w:t>
      </w:r>
      <w:r>
        <w:rPr>
          <w:rFonts w:hint="eastAsia" w:ascii="仿宋_GB2312" w:hAnsi="仿宋_GB2312" w:eastAsia="仿宋_GB2312" w:cs="仿宋_GB2312"/>
          <w:bCs/>
          <w:sz w:val="32"/>
          <w:szCs w:val="32"/>
        </w:rPr>
        <w:t>承担鹤城区本级项目集体土地征收补偿安置中长期规划、年度工作计划实施的相关事务性工作；承担由鹤城区人民政府委托的集体土地征收补偿安置任务下达和统一监管的相关事务性工作；承办鹤城区土地与房屋征收补偿安置工作联席会议相关事宜。</w:t>
      </w:r>
    </w:p>
    <w:p w14:paraId="4C5B0258">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承担鹤城区本级集体土地征收项目的概预算委托、审查和归集征地补偿安置费用的相关事务性工作；承担鹤城区本级集体土地征收项目的征收补偿资金、工作经费和安置房建设资金的核拨、监管的相关事务性工作；会同有关部门开展核定征收安置成本工作。</w:t>
      </w:r>
    </w:p>
    <w:p w14:paraId="4B4C8D66">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4、</w:t>
      </w:r>
      <w:r>
        <w:rPr>
          <w:rFonts w:hint="eastAsia" w:ascii="仿宋_GB2312" w:hAnsi="仿宋_GB2312" w:eastAsia="仿宋_GB2312" w:cs="仿宋_GB2312"/>
          <w:bCs/>
          <w:sz w:val="32"/>
          <w:szCs w:val="32"/>
        </w:rPr>
        <w:t>承担鹤城区本级集体土地征收项目村民安置资格审核、征收补偿安置标准稽核的相关事务性工作；承担征收安置信息统计、公开和档案管理的事务性工作。</w:t>
      </w:r>
    </w:p>
    <w:p w14:paraId="72E9B436">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承担组织协调鹤城区本级集体土地征收项目评估、测量、拆除等相关事务性工作。</w:t>
      </w:r>
    </w:p>
    <w:p w14:paraId="0E4713B5">
      <w:pPr>
        <w:keepNext w:val="0"/>
        <w:keepLines w:val="0"/>
        <w:pageBreakBefore w:val="0"/>
        <w:widowControl w:val="0"/>
        <w:kinsoku/>
        <w:wordWrap/>
        <w:overflowPunct/>
        <w:topLinePunct w:val="0"/>
        <w:autoSpaceDE/>
        <w:autoSpaceDN/>
        <w:bidi w:val="0"/>
        <w:adjustRightInd/>
        <w:spacing w:line="58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为鹤城区本级集体土地征收项目提供业务指导及培训等服务。</w:t>
      </w:r>
    </w:p>
    <w:p w14:paraId="689B04FF">
      <w:pPr>
        <w:spacing w:line="560" w:lineRule="exact"/>
        <w:ind w:firstLine="640" w:firstLineChars="200"/>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7、</w:t>
      </w:r>
      <w:r>
        <w:rPr>
          <w:rFonts w:hint="eastAsia" w:ascii="仿宋_GB2312" w:hAnsi="仿宋_GB2312" w:eastAsia="仿宋_GB2312" w:cs="仿宋_GB2312"/>
          <w:bCs/>
          <w:sz w:val="32"/>
          <w:szCs w:val="32"/>
        </w:rPr>
        <w:t>承担区委、区政府交办的其它</w:t>
      </w:r>
      <w:r>
        <w:rPr>
          <w:rFonts w:hint="eastAsia" w:ascii="仿宋_GB2312" w:hAnsi="仿宋_GB2312" w:eastAsia="仿宋_GB2312" w:cs="仿宋_GB2312"/>
          <w:bCs/>
          <w:sz w:val="32"/>
          <w:szCs w:val="32"/>
          <w:lang w:val="en-US" w:eastAsia="zh-CN"/>
        </w:rPr>
        <w:t>工作。</w:t>
      </w:r>
    </w:p>
    <w:p w14:paraId="249F1C04">
      <w:pPr>
        <w:pStyle w:val="2"/>
        <w:spacing w:before="0" w:after="0" w:line="240" w:lineRule="auto"/>
        <w:rPr>
          <w:rFonts w:hint="eastAsia"/>
          <w:lang w:val="en-US" w:eastAsia="zh-CN"/>
        </w:rPr>
      </w:pPr>
    </w:p>
    <w:p w14:paraId="47975B1A">
      <w:pPr>
        <w:widowControl w:val="0"/>
        <w:numPr>
          <w:ilvl w:val="0"/>
          <w:numId w:val="0"/>
        </w:numPr>
        <w:kinsoku/>
        <w:overflowPunct w:val="0"/>
        <w:spacing w:line="360" w:lineRule="auto"/>
        <w:ind w:firstLine="676" w:firstLineChars="200"/>
        <w:rPr>
          <w:rFonts w:ascii="楷体" w:hAnsi="楷体" w:eastAsia="楷体" w:cs="楷体"/>
          <w:spacing w:val="9"/>
          <w:sz w:val="32"/>
          <w:szCs w:val="32"/>
          <w:lang w:eastAsia="zh-CN"/>
        </w:rPr>
      </w:pPr>
      <w:r>
        <w:rPr>
          <w:rFonts w:hint="eastAsia" w:ascii="楷体" w:hAnsi="楷体" w:eastAsia="楷体" w:cs="楷体"/>
          <w:spacing w:val="9"/>
          <w:sz w:val="32"/>
          <w:szCs w:val="32"/>
          <w:lang w:eastAsia="zh-CN"/>
        </w:rPr>
        <w:t>（四）</w:t>
      </w:r>
      <w:r>
        <w:rPr>
          <w:rFonts w:ascii="楷体" w:hAnsi="楷体" w:eastAsia="楷体" w:cs="楷体"/>
          <w:spacing w:val="9"/>
          <w:sz w:val="32"/>
          <w:szCs w:val="32"/>
          <w:lang w:eastAsia="zh-CN"/>
        </w:rPr>
        <w:t>绩效目标设定情况</w:t>
      </w:r>
    </w:p>
    <w:p w14:paraId="5D9F5D46">
      <w:pPr>
        <w:widowControl w:val="0"/>
        <w:numPr>
          <w:ilvl w:val="0"/>
          <w:numId w:val="0"/>
        </w:numPr>
        <w:kinsoku/>
        <w:overflowPunct w:val="0"/>
        <w:spacing w:line="360" w:lineRule="auto"/>
        <w:ind w:firstLine="640" w:firstLineChars="200"/>
        <w:rPr>
          <w:rFonts w:hint="eastAsia"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统筹推动集体土地与房屋征收补偿安置，保障项目建设用地需求，加快推进项目建设，促进城市建设和发展，全力推进重点项目征拆腾地，力争完成征地1200亩以上；基本支出厉行节约报运转，降低行政成本，规范管理经费，提高自己绩效。</w:t>
      </w:r>
    </w:p>
    <w:p w14:paraId="7FF26B14">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214BFF5A">
      <w:pPr>
        <w:widowControl w:val="0"/>
        <w:kinsoku/>
        <w:overflowPunct w:val="0"/>
        <w:spacing w:line="360" w:lineRule="auto"/>
        <w:ind w:firstLine="644" w:firstLineChars="200"/>
        <w:rPr>
          <w:rFonts w:hint="eastAsia" w:ascii="楷体" w:hAnsi="楷体" w:eastAsia="楷体" w:cs="楷体"/>
          <w:spacing w:val="1"/>
          <w:sz w:val="32"/>
          <w:szCs w:val="32"/>
          <w:lang w:val="en-US" w:eastAsia="zh-CN"/>
        </w:rPr>
      </w:pPr>
      <w:r>
        <w:rPr>
          <w:rFonts w:ascii="楷体" w:hAnsi="楷体" w:eastAsia="楷体" w:cs="楷体"/>
          <w:spacing w:val="1"/>
          <w:sz w:val="32"/>
          <w:szCs w:val="32"/>
          <w:lang w:eastAsia="zh-CN"/>
        </w:rPr>
        <w:t>(一)预算执行、使用、管理总体情况。</w:t>
      </w:r>
      <w:r>
        <w:rPr>
          <w:rFonts w:hint="eastAsia" w:ascii="楷体" w:hAnsi="楷体" w:eastAsia="楷体" w:cs="楷体"/>
          <w:spacing w:val="1"/>
          <w:sz w:val="32"/>
          <w:szCs w:val="32"/>
          <w:lang w:val="en-US" w:eastAsia="zh-CN"/>
        </w:rPr>
        <w:t xml:space="preserve"> </w:t>
      </w:r>
    </w:p>
    <w:p w14:paraId="30949482">
      <w:pPr>
        <w:widowControl w:val="0"/>
        <w:kinsoku/>
        <w:overflowPunct w:val="0"/>
        <w:spacing w:line="360" w:lineRule="auto"/>
        <w:ind w:firstLine="640" w:firstLineChars="200"/>
        <w:rPr>
          <w:rFonts w:hint="eastAsia"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区征收安置事务中心在预算编制过程中，结合中心实际情况，遵循科学、合理、可行的原则；在预算执行过程中，严格按照计划进行资金使用和支出确保各项预算指标的达成；同时，中心有严格的审批制度，对各项支出进行审核和把关，确保资金使用的合理性和规范性。</w:t>
      </w:r>
    </w:p>
    <w:p w14:paraId="0D37BADE">
      <w:pPr>
        <w:widowControl w:val="0"/>
        <w:kinsoku/>
        <w:overflowPunct w:val="0"/>
        <w:spacing w:line="360" w:lineRule="auto"/>
        <w:ind w:firstLine="676" w:firstLineChars="200"/>
        <w:rPr>
          <w:rFonts w:ascii="楷体" w:hAnsi="楷体" w:eastAsia="楷体" w:cs="楷体"/>
          <w:sz w:val="32"/>
          <w:szCs w:val="32"/>
          <w:lang w:eastAsia="zh-CN"/>
        </w:rPr>
      </w:pPr>
      <w:r>
        <w:rPr>
          <w:rFonts w:ascii="楷体" w:hAnsi="楷体" w:eastAsia="楷体" w:cs="楷体"/>
          <w:spacing w:val="9"/>
          <w:sz w:val="32"/>
          <w:szCs w:val="32"/>
          <w:lang w:eastAsia="zh-CN"/>
        </w:rPr>
        <w:t>(二)部门预算执行情况</w:t>
      </w:r>
    </w:p>
    <w:p w14:paraId="16147C55">
      <w:pPr>
        <w:pStyle w:val="3"/>
        <w:widowControl w:val="0"/>
        <w:kinsoku/>
        <w:overflowPunct w:val="0"/>
        <w:spacing w:line="360" w:lineRule="auto"/>
        <w:ind w:firstLine="620" w:firstLineChars="200"/>
        <w:rPr>
          <w:spacing w:val="-5"/>
          <w:sz w:val="32"/>
          <w:szCs w:val="32"/>
          <w:lang w:eastAsia="zh-CN"/>
        </w:rPr>
      </w:pPr>
      <w:r>
        <w:rPr>
          <w:spacing w:val="-5"/>
          <w:sz w:val="32"/>
          <w:szCs w:val="32"/>
          <w:lang w:eastAsia="zh-CN"/>
        </w:rPr>
        <w:t>1.基本支出情况</w:t>
      </w:r>
    </w:p>
    <w:p w14:paraId="326BA4B5">
      <w:pPr>
        <w:pStyle w:val="3"/>
        <w:widowControl w:val="0"/>
        <w:kinsoku/>
        <w:overflowPunct w:val="0"/>
        <w:spacing w:line="360" w:lineRule="auto"/>
        <w:ind w:firstLine="640" w:firstLineChars="200"/>
        <w:rPr>
          <w:rFonts w:hint="eastAsia"/>
          <w:lang w:val="en-US" w:eastAsia="zh-CN"/>
        </w:rPr>
      </w:pPr>
      <w:r>
        <w:rPr>
          <w:rFonts w:hint="eastAsia" w:ascii="仿宋_GB2312" w:hAnsi="仿宋_GB2312" w:eastAsia="仿宋_GB2312" w:cs="仿宋_GB2312"/>
          <w:bCs/>
          <w:sz w:val="32"/>
          <w:szCs w:val="32"/>
          <w:lang w:val="en-US" w:eastAsia="zh-CN"/>
        </w:rPr>
        <w:t>2023年我单位整体支出825.52万元，全部实行整体支出绩效目标管理，其中，基本支出825.52万元，预算执行数为715.37万元，节约了110.15万元。</w:t>
      </w:r>
    </w:p>
    <w:p w14:paraId="758EEDF4">
      <w:pPr>
        <w:pStyle w:val="3"/>
        <w:widowControl w:val="0"/>
        <w:numPr>
          <w:ilvl w:val="0"/>
          <w:numId w:val="1"/>
        </w:numPr>
        <w:kinsoku/>
        <w:overflowPunct w:val="0"/>
        <w:spacing w:line="360" w:lineRule="auto"/>
        <w:ind w:firstLine="632" w:firstLineChars="200"/>
        <w:rPr>
          <w:spacing w:val="-2"/>
          <w:sz w:val="32"/>
          <w:szCs w:val="32"/>
          <w:lang w:eastAsia="zh-CN"/>
        </w:rPr>
      </w:pPr>
      <w:r>
        <w:rPr>
          <w:spacing w:val="-2"/>
          <w:sz w:val="32"/>
          <w:szCs w:val="32"/>
          <w:lang w:eastAsia="zh-CN"/>
        </w:rPr>
        <w:t>项目支出情况</w:t>
      </w:r>
    </w:p>
    <w:p w14:paraId="3C9C6D4F">
      <w:pPr>
        <w:pStyle w:val="3"/>
        <w:widowControl w:val="0"/>
        <w:numPr>
          <w:ilvl w:val="0"/>
          <w:numId w:val="0"/>
        </w:numPr>
        <w:kinsoku/>
        <w:overflowPunct w:val="0"/>
        <w:spacing w:line="360" w:lineRule="auto"/>
        <w:ind w:firstLine="632" w:firstLineChars="200"/>
        <w:rPr>
          <w:rFonts w:hint="default"/>
          <w:spacing w:val="-2"/>
          <w:sz w:val="32"/>
          <w:szCs w:val="32"/>
          <w:lang w:val="en-US" w:eastAsia="zh-CN"/>
        </w:rPr>
      </w:pPr>
      <w:r>
        <w:rPr>
          <w:rFonts w:hint="eastAsia"/>
          <w:spacing w:val="-2"/>
          <w:sz w:val="32"/>
          <w:szCs w:val="32"/>
          <w:lang w:val="en-US" w:eastAsia="zh-CN"/>
        </w:rPr>
        <w:t>2023年中心</w:t>
      </w:r>
      <w:r>
        <w:rPr>
          <w:rFonts w:hint="eastAsia" w:ascii="仿宋_GB2312" w:hAnsi="仿宋_GB2312" w:eastAsia="仿宋_GB2312" w:cs="仿宋_GB2312"/>
          <w:bCs/>
          <w:sz w:val="32"/>
          <w:szCs w:val="32"/>
          <w:lang w:val="en-US" w:eastAsia="zh-CN"/>
        </w:rPr>
        <w:t>项目支出0万元，编报绩效目标的项目共0个，</w:t>
      </w:r>
    </w:p>
    <w:p w14:paraId="64E1FD9F">
      <w:pPr>
        <w:widowControl w:val="0"/>
        <w:numPr>
          <w:ilvl w:val="0"/>
          <w:numId w:val="2"/>
        </w:numPr>
        <w:kinsoku/>
        <w:overflowPunct w:val="0"/>
        <w:spacing w:line="360" w:lineRule="auto"/>
        <w:ind w:firstLine="660" w:firstLineChars="200"/>
        <w:rPr>
          <w:lang w:eastAsia="zh-CN"/>
        </w:rPr>
      </w:pPr>
      <w:r>
        <w:rPr>
          <w:rFonts w:ascii="楷体" w:hAnsi="楷体" w:eastAsia="楷体" w:cs="楷体"/>
          <w:spacing w:val="5"/>
          <w:sz w:val="32"/>
          <w:szCs w:val="32"/>
          <w:lang w:eastAsia="zh-CN"/>
        </w:rPr>
        <w:t>"三公"经费使用和管理情况</w:t>
      </w:r>
    </w:p>
    <w:p w14:paraId="3132984C">
      <w:pPr>
        <w:pStyle w:val="3"/>
        <w:widowControl w:val="0"/>
        <w:kinsoku/>
        <w:overflowPunct w:val="0"/>
        <w:spacing w:line="360" w:lineRule="auto"/>
        <w:ind w:firstLine="640" w:firstLineChars="200"/>
        <w:rPr>
          <w:rFonts w:hint="default"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2023年“三公”经费预算数为0.3万元，其中，公务接待费0.3万元，公务用车购置及运行费0万元（其中：公务用车购置费是0万元，公务用车运行费0万元），预算执行数为0元。</w:t>
      </w:r>
    </w:p>
    <w:p w14:paraId="3A5A46CA">
      <w:pPr>
        <w:widowControl w:val="0"/>
        <w:numPr>
          <w:ilvl w:val="0"/>
          <w:numId w:val="0"/>
        </w:numPr>
        <w:kinsoku/>
        <w:overflowPunct w:val="0"/>
        <w:spacing w:line="360" w:lineRule="auto"/>
        <w:ind w:firstLine="599" w:firstLineChars="200"/>
        <w:rPr>
          <w:rFonts w:hint="eastAsia" w:ascii="仿宋_GB2312" w:hAnsi="仿宋_GB2312" w:eastAsia="仿宋_GB2312" w:cs="仿宋_GB2312"/>
          <w:b w:val="0"/>
          <w:bCs/>
          <w:snapToGrid w:val="0"/>
          <w:color w:val="000000"/>
          <w:kern w:val="0"/>
          <w:sz w:val="32"/>
          <w:szCs w:val="32"/>
          <w:lang w:val="en-US" w:eastAsia="zh-CN" w:bidi="ar-SA"/>
        </w:rPr>
      </w:pPr>
      <w:r>
        <w:rPr>
          <w:rFonts w:hint="eastAsia" w:ascii="黑体" w:hAnsi="黑体" w:eastAsia="黑体" w:cs="黑体"/>
          <w:b/>
          <w:bCs/>
          <w:spacing w:val="-11"/>
          <w:sz w:val="32"/>
          <w:szCs w:val="32"/>
          <w:lang w:eastAsia="zh-CN"/>
        </w:rPr>
        <w:t>三、</w:t>
      </w:r>
      <w:r>
        <w:rPr>
          <w:rFonts w:ascii="黑体" w:hAnsi="黑体" w:eastAsia="黑体" w:cs="黑体"/>
          <w:b/>
          <w:bCs/>
          <w:spacing w:val="-11"/>
          <w:sz w:val="32"/>
          <w:szCs w:val="32"/>
          <w:lang w:eastAsia="zh-CN"/>
        </w:rPr>
        <w:t>政府性基金预算支出情况</w:t>
      </w:r>
    </w:p>
    <w:p w14:paraId="3C1347A8">
      <w:pPr>
        <w:widowControl w:val="0"/>
        <w:numPr>
          <w:ilvl w:val="0"/>
          <w:numId w:val="0"/>
        </w:numPr>
        <w:kinsoku/>
        <w:overflowPunct w:val="0"/>
        <w:spacing w:line="360" w:lineRule="auto"/>
        <w:ind w:firstLine="640" w:firstLineChars="200"/>
        <w:rPr>
          <w:rFonts w:hint="eastAsia"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2023年无政府性基金支出。</w:t>
      </w:r>
    </w:p>
    <w:p w14:paraId="56E409D0">
      <w:pPr>
        <w:widowControl w:val="0"/>
        <w:numPr>
          <w:ilvl w:val="0"/>
          <w:numId w:val="0"/>
        </w:numPr>
        <w:kinsoku/>
        <w:overflowPunct w:val="0"/>
        <w:spacing w:line="360" w:lineRule="auto"/>
        <w:ind w:firstLine="607" w:firstLineChars="200"/>
        <w:rPr>
          <w:rFonts w:ascii="黑体" w:hAnsi="黑体" w:eastAsia="黑体" w:cs="黑体"/>
          <w:b/>
          <w:bCs/>
          <w:spacing w:val="-9"/>
          <w:sz w:val="32"/>
          <w:szCs w:val="32"/>
          <w:lang w:eastAsia="zh-CN"/>
        </w:rPr>
      </w:pPr>
      <w:r>
        <w:rPr>
          <w:rFonts w:hint="eastAsia" w:ascii="黑体" w:hAnsi="黑体" w:eastAsia="黑体" w:cs="黑体"/>
          <w:b/>
          <w:bCs/>
          <w:spacing w:val="-9"/>
          <w:sz w:val="32"/>
          <w:szCs w:val="32"/>
          <w:lang w:eastAsia="zh-CN"/>
        </w:rPr>
        <w:t>四、</w:t>
      </w:r>
      <w:r>
        <w:rPr>
          <w:rFonts w:ascii="黑体" w:hAnsi="黑体" w:eastAsia="黑体" w:cs="黑体"/>
          <w:b/>
          <w:bCs/>
          <w:spacing w:val="-9"/>
          <w:sz w:val="32"/>
          <w:szCs w:val="32"/>
          <w:lang w:eastAsia="zh-CN"/>
        </w:rPr>
        <w:t>国有资本经营预算支出情况</w:t>
      </w:r>
    </w:p>
    <w:p w14:paraId="0BD9DDDE">
      <w:pPr>
        <w:widowControl w:val="0"/>
        <w:numPr>
          <w:ilvl w:val="0"/>
          <w:numId w:val="0"/>
        </w:numPr>
        <w:kinsoku/>
        <w:overflowPunct w:val="0"/>
        <w:spacing w:line="360" w:lineRule="auto"/>
        <w:ind w:firstLine="640" w:firstLineChars="200"/>
        <w:rPr>
          <w:rFonts w:hint="default"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2023年无国有资本经营预算支出。</w:t>
      </w:r>
    </w:p>
    <w:p w14:paraId="177E3DCE">
      <w:pPr>
        <w:widowControl w:val="0"/>
        <w:numPr>
          <w:ilvl w:val="0"/>
          <w:numId w:val="3"/>
        </w:numPr>
        <w:kinsoku/>
        <w:overflowPunct w:val="0"/>
        <w:spacing w:line="360" w:lineRule="auto"/>
        <w:ind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40D7F23F">
      <w:pPr>
        <w:widowControl w:val="0"/>
        <w:numPr>
          <w:ilvl w:val="0"/>
          <w:numId w:val="0"/>
        </w:numPr>
        <w:kinsoku/>
        <w:overflowPunct w:val="0"/>
        <w:spacing w:line="360" w:lineRule="auto"/>
        <w:ind w:firstLine="640" w:firstLineChars="200"/>
        <w:rPr>
          <w:rFonts w:hint="default"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2023年无社会保险基金预算支出。</w:t>
      </w:r>
    </w:p>
    <w:p w14:paraId="3F7B2245">
      <w:pPr>
        <w:widowControl w:val="0"/>
        <w:kinsoku/>
        <w:overflowPunct w:val="0"/>
        <w:spacing w:line="360" w:lineRule="auto"/>
        <w:ind w:firstLine="603" w:firstLineChars="200"/>
        <w:rPr>
          <w:rFonts w:ascii="黑体" w:hAnsi="黑体" w:eastAsia="黑体" w:cs="黑体"/>
          <w:sz w:val="32"/>
          <w:szCs w:val="32"/>
          <w:lang w:eastAsia="zh-CN"/>
        </w:rPr>
      </w:pPr>
      <w:bookmarkStart w:id="0" w:name="_GoBack"/>
      <w:r>
        <w:rPr>
          <w:rFonts w:ascii="黑体" w:hAnsi="黑体" w:eastAsia="黑体" w:cs="黑体"/>
          <w:b/>
          <w:bCs/>
          <w:spacing w:val="-10"/>
          <w:sz w:val="32"/>
          <w:szCs w:val="32"/>
          <w:lang w:eastAsia="zh-CN"/>
        </w:rPr>
        <w:t>六、部门整体支出绩效情况</w:t>
      </w:r>
    </w:p>
    <w:p w14:paraId="66E5135A">
      <w:pPr>
        <w:pStyle w:val="3"/>
        <w:widowControl w:val="0"/>
        <w:kinsoku/>
        <w:overflowPunct w:val="0"/>
        <w:spacing w:line="360" w:lineRule="auto"/>
        <w:ind w:firstLine="620" w:firstLineChars="200"/>
        <w:rPr>
          <w:rFonts w:ascii="楷体" w:hAnsi="楷体" w:eastAsia="楷体" w:cs="楷体"/>
          <w:spacing w:val="-5"/>
          <w:sz w:val="32"/>
          <w:szCs w:val="32"/>
          <w:lang w:eastAsia="zh-CN"/>
        </w:rPr>
      </w:pPr>
      <w:r>
        <w:rPr>
          <w:rFonts w:ascii="楷体" w:hAnsi="楷体" w:eastAsia="楷体" w:cs="楷体"/>
          <w:spacing w:val="-5"/>
          <w:sz w:val="32"/>
          <w:szCs w:val="32"/>
          <w:lang w:eastAsia="zh-CN"/>
        </w:rPr>
        <w:t>(一)综合评价结论。</w:t>
      </w:r>
    </w:p>
    <w:p w14:paraId="6197708C">
      <w:pPr>
        <w:widowControl w:val="0"/>
        <w:numPr>
          <w:ilvl w:val="0"/>
          <w:numId w:val="0"/>
        </w:numPr>
        <w:kinsoku/>
        <w:overflowPunct w:val="0"/>
        <w:spacing w:line="360" w:lineRule="auto"/>
        <w:ind w:firstLine="640" w:firstLineChars="200"/>
        <w:rPr>
          <w:rFonts w:hint="default"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2023年中心自评得分98.67分，评价等级优秀。</w:t>
      </w:r>
    </w:p>
    <w:p w14:paraId="5AEB7061">
      <w:pPr>
        <w:pStyle w:val="3"/>
        <w:widowControl w:val="0"/>
        <w:numPr>
          <w:ilvl w:val="0"/>
          <w:numId w:val="4"/>
        </w:numPr>
        <w:kinsoku/>
        <w:overflowPunct w:val="0"/>
        <w:spacing w:line="360" w:lineRule="auto"/>
        <w:ind w:firstLine="676" w:firstLineChars="200"/>
        <w:jc w:val="both"/>
        <w:rPr>
          <w:spacing w:val="9"/>
          <w:sz w:val="32"/>
          <w:szCs w:val="32"/>
          <w:lang w:eastAsia="zh-CN"/>
        </w:rPr>
      </w:pPr>
      <w:r>
        <w:rPr>
          <w:rFonts w:ascii="楷体" w:hAnsi="楷体" w:eastAsia="楷体" w:cs="楷体"/>
          <w:spacing w:val="9"/>
          <w:sz w:val="32"/>
          <w:szCs w:val="32"/>
          <w:lang w:eastAsia="zh-CN"/>
        </w:rPr>
        <w:t>评价指标分析(或综合评价情况)</w:t>
      </w:r>
      <w:r>
        <w:rPr>
          <w:spacing w:val="9"/>
          <w:sz w:val="32"/>
          <w:szCs w:val="32"/>
          <w:lang w:eastAsia="zh-CN"/>
        </w:rPr>
        <w:t>。</w:t>
      </w:r>
    </w:p>
    <w:p w14:paraId="00A24188">
      <w:pPr>
        <w:widowControl w:val="0"/>
        <w:numPr>
          <w:ilvl w:val="0"/>
          <w:numId w:val="0"/>
        </w:numPr>
        <w:kinsoku/>
        <w:overflowPunct w:val="0"/>
        <w:spacing w:line="360" w:lineRule="auto"/>
        <w:ind w:firstLine="640" w:firstLineChars="200"/>
        <w:rPr>
          <w:rFonts w:hint="eastAsia" w:ascii="仿宋_GB2312" w:hAnsi="仿宋_GB2312" w:eastAsia="仿宋_GB2312" w:cs="仿宋_GB2312"/>
          <w:b w:val="0"/>
          <w:bCs/>
          <w:snapToGrid w:val="0"/>
          <w:color w:val="000000"/>
          <w:kern w:val="0"/>
          <w:sz w:val="32"/>
          <w:szCs w:val="32"/>
          <w:lang w:val="en-US" w:eastAsia="zh-CN" w:bidi="ar-SA"/>
        </w:rPr>
      </w:pPr>
      <w:r>
        <w:rPr>
          <w:rFonts w:hint="eastAsia" w:ascii="仿宋_GB2312" w:hAnsi="仿宋_GB2312" w:eastAsia="仿宋_GB2312" w:cs="仿宋_GB2312"/>
          <w:b w:val="0"/>
          <w:bCs/>
          <w:snapToGrid w:val="0"/>
          <w:color w:val="000000"/>
          <w:kern w:val="0"/>
          <w:sz w:val="32"/>
          <w:szCs w:val="32"/>
          <w:lang w:val="en-US" w:eastAsia="zh-CN" w:bidi="ar-SA"/>
        </w:rPr>
        <w:t>2023年，我中心坚持以习近平新时代中国特色社会主义思想为指导，深入贯彻党的二十大和二十届二中全会精神，在区委、区政府的坚强领导下，认真贯彻落实“五新四城”战略，按照怀化国际陆港建设、鹤中一体化发展部署，全力推进项目征拆，全力化解遗留问题，全力维护社会稳定，全面加强党的建设，各项工作均取得了较好的成效。以仙人桥、高铁新城、城东北片区等区域项目征拆为主战场，全年征收集体土地1900余亩，拆迁房屋32万㎡。半岛实验学校、正大伟业实验学校、市殡仪馆原址新建等项目征拆全面完成，人民公园、哈电风能等项目进入征拆扫尾。G209高堰路至鸭嘴岩三段合一、五夷新视界等项目已完成大部分征拆。以深入推进解决历史遗留问题“啃硬骨头”专项行动为契机，着力化解攻坚划地村民安置区建设等征拆安置领域历史遗留问题。投入安置区建设资金2.23亿元，全部完成38个安置区交地，完成33个安置区土地手续，缴清7个安置区的人防费，印象康桥、顺天学府、荷塘悦色、黔锦园、博冠名门、留香庄园等6个安置区顺利交付安置房1400套。“啃硬骨头”专项行动经验做法获中央网信办全网转载，人民日报、湖南日报、红网、怀化日报等新闻媒体进行了多次宣传报道。</w:t>
      </w:r>
    </w:p>
    <w:bookmarkEnd w:id="0"/>
    <w:p w14:paraId="5FE6F74C">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62FDD69E">
      <w:pPr>
        <w:widowControl w:val="0"/>
        <w:kinsoku/>
        <w:overflowPunct w:val="0"/>
        <w:spacing w:line="360" w:lineRule="auto"/>
        <w:ind w:firstLine="604" w:firstLineChars="200"/>
        <w:rPr>
          <w:rFonts w:hint="eastAsia"/>
          <w:spacing w:val="-9"/>
          <w:sz w:val="32"/>
          <w:szCs w:val="32"/>
          <w:lang w:eastAsia="zh-CN"/>
        </w:rPr>
      </w:pPr>
      <w:r>
        <w:rPr>
          <w:rFonts w:hint="eastAsia"/>
          <w:spacing w:val="-9"/>
          <w:sz w:val="32"/>
          <w:szCs w:val="32"/>
          <w:lang w:eastAsia="zh-CN"/>
        </w:rPr>
        <w:t>财务制度执行有待加强，资金使用计划有待细化。</w:t>
      </w:r>
    </w:p>
    <w:p w14:paraId="176A5FDC">
      <w:pPr>
        <w:widowControl w:val="0"/>
        <w:numPr>
          <w:ilvl w:val="0"/>
          <w:numId w:val="5"/>
        </w:numPr>
        <w:kinsoku/>
        <w:overflowPunct w:val="0"/>
        <w:spacing w:line="360" w:lineRule="auto"/>
        <w:ind w:firstLine="588" w:firstLineChars="200"/>
        <w:rPr>
          <w:rFonts w:hint="eastAsia" w:ascii="Arial" w:hAnsi="Arial" w:eastAsia="Arial" w:cs="Arial"/>
          <w:b w:val="0"/>
          <w:snapToGrid w:val="0"/>
          <w:color w:val="000000"/>
          <w:spacing w:val="-9"/>
          <w:kern w:val="0"/>
          <w:sz w:val="32"/>
          <w:szCs w:val="32"/>
          <w:lang w:val="en-US" w:eastAsia="zh-CN" w:bidi="ar-SA"/>
        </w:rPr>
      </w:pPr>
      <w:r>
        <w:rPr>
          <w:rFonts w:ascii="黑体" w:hAnsi="黑体" w:eastAsia="黑体" w:cs="黑体"/>
          <w:spacing w:val="-13"/>
          <w:sz w:val="32"/>
          <w:szCs w:val="32"/>
          <w:lang w:eastAsia="zh-CN"/>
        </w:rPr>
        <w:t>下一步改进措施</w:t>
      </w:r>
    </w:p>
    <w:p w14:paraId="1AC60BA5">
      <w:pPr>
        <w:widowControl w:val="0"/>
        <w:numPr>
          <w:ilvl w:val="0"/>
          <w:numId w:val="0"/>
        </w:numPr>
        <w:kinsoku/>
        <w:overflowPunct w:val="0"/>
        <w:spacing w:line="360" w:lineRule="auto"/>
        <w:ind w:firstLine="604" w:firstLineChars="200"/>
        <w:rPr>
          <w:rFonts w:hint="eastAsia" w:ascii="Arial" w:hAnsi="Arial" w:eastAsia="Arial" w:cs="Arial"/>
          <w:b w:val="0"/>
          <w:snapToGrid w:val="0"/>
          <w:color w:val="000000"/>
          <w:spacing w:val="-9"/>
          <w:kern w:val="0"/>
          <w:sz w:val="32"/>
          <w:szCs w:val="32"/>
          <w:lang w:val="en-US" w:eastAsia="zh-CN" w:bidi="ar-SA"/>
        </w:rPr>
      </w:pPr>
      <w:r>
        <w:rPr>
          <w:rFonts w:hint="eastAsia" w:ascii="Arial" w:hAnsi="Arial" w:eastAsia="Arial" w:cs="Arial"/>
          <w:b w:val="0"/>
          <w:snapToGrid w:val="0"/>
          <w:color w:val="000000"/>
          <w:spacing w:val="-9"/>
          <w:kern w:val="0"/>
          <w:sz w:val="32"/>
          <w:szCs w:val="32"/>
          <w:lang w:val="en-US" w:eastAsia="zh-CN" w:bidi="ar-SA"/>
        </w:rPr>
        <w:t>加强财务管理，严格按照预算用途审核，杜绝超支现象发生。</w:t>
      </w:r>
    </w:p>
    <w:p w14:paraId="4C9D23D8">
      <w:pPr>
        <w:widowControl w:val="0"/>
        <w:numPr>
          <w:ilvl w:val="0"/>
          <w:numId w:val="5"/>
        </w:numPr>
        <w:kinsoku/>
        <w:overflowPunct w:val="0"/>
        <w:spacing w:line="360" w:lineRule="auto"/>
        <w:ind w:left="0" w:leftChars="0" w:firstLine="588" w:firstLineChars="200"/>
        <w:rPr>
          <w:rFonts w:ascii="黑体" w:hAnsi="黑体" w:eastAsia="黑体" w:cs="黑体"/>
          <w:spacing w:val="-13"/>
          <w:sz w:val="32"/>
          <w:szCs w:val="32"/>
          <w:lang w:eastAsia="zh-CN"/>
        </w:rPr>
      </w:pPr>
      <w:r>
        <w:rPr>
          <w:rFonts w:ascii="黑体" w:hAnsi="黑体" w:eastAsia="黑体" w:cs="黑体"/>
          <w:spacing w:val="-13"/>
          <w:sz w:val="32"/>
          <w:szCs w:val="32"/>
          <w:lang w:eastAsia="zh-CN"/>
        </w:rPr>
        <w:t>其他需要说明的情况</w:t>
      </w:r>
    </w:p>
    <w:p w14:paraId="01CFC3B9">
      <w:pPr>
        <w:widowControl w:val="0"/>
        <w:numPr>
          <w:ilvl w:val="0"/>
          <w:numId w:val="0"/>
        </w:numPr>
        <w:kinsoku/>
        <w:overflowPunct w:val="0"/>
        <w:spacing w:line="360" w:lineRule="auto"/>
        <w:ind w:firstLine="1208" w:firstLineChars="400"/>
        <w:rPr>
          <w:rFonts w:hint="eastAsia" w:ascii="Arial" w:hAnsi="Arial" w:eastAsia="Arial" w:cs="Arial"/>
          <w:b w:val="0"/>
          <w:snapToGrid w:val="0"/>
          <w:color w:val="000000"/>
          <w:spacing w:val="-9"/>
          <w:kern w:val="0"/>
          <w:sz w:val="32"/>
          <w:szCs w:val="32"/>
          <w:lang w:val="en-US" w:eastAsia="zh-CN" w:bidi="ar-SA"/>
        </w:rPr>
      </w:pPr>
      <w:r>
        <w:rPr>
          <w:rFonts w:hint="eastAsia" w:ascii="Arial" w:hAnsi="Arial" w:eastAsia="Arial" w:cs="Arial"/>
          <w:b w:val="0"/>
          <w:snapToGrid w:val="0"/>
          <w:color w:val="000000"/>
          <w:spacing w:val="-9"/>
          <w:kern w:val="0"/>
          <w:sz w:val="32"/>
          <w:szCs w:val="32"/>
          <w:lang w:val="en-US" w:eastAsia="zh-CN" w:bidi="ar-SA"/>
        </w:rPr>
        <w:t>无</w:t>
      </w:r>
    </w:p>
    <w:p w14:paraId="032FAF83">
      <w:pPr>
        <w:widowControl w:val="0"/>
        <w:kinsoku/>
        <w:overflowPunct w:val="0"/>
        <w:spacing w:line="360" w:lineRule="auto"/>
        <w:ind w:firstLine="640" w:firstLineChars="200"/>
        <w:rPr>
          <w:sz w:val="32"/>
          <w:szCs w:val="32"/>
          <w:lang w:eastAsia="zh-CN"/>
        </w:rPr>
      </w:pPr>
    </w:p>
    <w:p w14:paraId="7582F2E8">
      <w:pPr>
        <w:widowControl w:val="0"/>
        <w:kinsoku/>
        <w:overflowPunct w:val="0"/>
        <w:spacing w:line="360" w:lineRule="auto"/>
        <w:ind w:firstLine="640" w:firstLineChars="200"/>
        <w:rPr>
          <w:sz w:val="32"/>
          <w:szCs w:val="32"/>
          <w:lang w:eastAsia="zh-CN"/>
        </w:rPr>
      </w:pPr>
    </w:p>
    <w:p w14:paraId="5E8A0C0B">
      <w:pPr>
        <w:pStyle w:val="3"/>
        <w:widowControl w:val="0"/>
        <w:kinsoku/>
        <w:overflowPunct w:val="0"/>
        <w:spacing w:line="360" w:lineRule="auto"/>
        <w:ind w:firstLine="580" w:firstLineChars="200"/>
        <w:rPr>
          <w:sz w:val="32"/>
          <w:szCs w:val="32"/>
          <w:lang w:eastAsia="zh-CN"/>
        </w:rPr>
      </w:pPr>
      <w:r>
        <w:rPr>
          <w:spacing w:val="-15"/>
          <w:sz w:val="32"/>
          <w:szCs w:val="32"/>
          <w:lang w:eastAsia="zh-CN"/>
        </w:rPr>
        <w:t>报告包括以下附件：</w:t>
      </w:r>
    </w:p>
    <w:p w14:paraId="114B2E1A">
      <w:pPr>
        <w:pStyle w:val="3"/>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1D09A3EF">
      <w:pPr>
        <w:pStyle w:val="3"/>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22E8BA69">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112691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60463312">
        <w:pPr>
          <w:pStyle w:val="4"/>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486411F2">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C6AEB">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230386"/>
    <w:multiLevelType w:val="singleLevel"/>
    <w:tmpl w:val="BB230386"/>
    <w:lvl w:ilvl="0" w:tentative="0">
      <w:start w:val="8"/>
      <w:numFmt w:val="chineseCounting"/>
      <w:suff w:val="nothing"/>
      <w:lvlText w:val="%1、"/>
      <w:lvlJc w:val="left"/>
      <w:rPr>
        <w:rFonts w:hint="eastAsia"/>
      </w:rPr>
    </w:lvl>
  </w:abstractNum>
  <w:abstractNum w:abstractNumId="1">
    <w:nsid w:val="4189371E"/>
    <w:multiLevelType w:val="singleLevel"/>
    <w:tmpl w:val="4189371E"/>
    <w:lvl w:ilvl="0" w:tentative="0">
      <w:start w:val="5"/>
      <w:numFmt w:val="chineseCounting"/>
      <w:suff w:val="nothing"/>
      <w:lvlText w:val="%1、"/>
      <w:lvlJc w:val="left"/>
      <w:rPr>
        <w:rFonts w:hint="eastAsia"/>
      </w:rPr>
    </w:lvl>
  </w:abstractNum>
  <w:abstractNum w:abstractNumId="2">
    <w:nsid w:val="5F01CBFC"/>
    <w:multiLevelType w:val="singleLevel"/>
    <w:tmpl w:val="5F01CBFC"/>
    <w:lvl w:ilvl="0" w:tentative="0">
      <w:start w:val="3"/>
      <w:numFmt w:val="chineseCounting"/>
      <w:lvlText w:val="(%1)"/>
      <w:lvlJc w:val="left"/>
      <w:pPr>
        <w:tabs>
          <w:tab w:val="left" w:pos="312"/>
        </w:tabs>
      </w:pPr>
      <w:rPr>
        <w:rFonts w:hint="eastAsia"/>
      </w:rPr>
    </w:lvl>
  </w:abstractNum>
  <w:abstractNum w:abstractNumId="3">
    <w:nsid w:val="6AABCB5F"/>
    <w:multiLevelType w:val="singleLevel"/>
    <w:tmpl w:val="6AABCB5F"/>
    <w:lvl w:ilvl="0" w:tentative="0">
      <w:start w:val="2"/>
      <w:numFmt w:val="chineseCounting"/>
      <w:lvlText w:val="(%1)"/>
      <w:lvlJc w:val="left"/>
      <w:pPr>
        <w:tabs>
          <w:tab w:val="left" w:pos="312"/>
        </w:tabs>
      </w:pPr>
      <w:rPr>
        <w:rFonts w:hint="eastAsia"/>
      </w:rPr>
    </w:lvl>
  </w:abstractNum>
  <w:abstractNum w:abstractNumId="4">
    <w:nsid w:val="765F74E1"/>
    <w:multiLevelType w:val="singleLevel"/>
    <w:tmpl w:val="765F74E1"/>
    <w:lvl w:ilvl="0" w:tentative="0">
      <w:start w:val="2"/>
      <w:numFmt w:val="decimal"/>
      <w:lvlText w:val="%1."/>
      <w:lvlJc w:val="left"/>
      <w:pPr>
        <w:tabs>
          <w:tab w:val="left" w:pos="312"/>
        </w:tabs>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kNWQ3NTJlMTlhYTZkMWUwY2U1ODljZjc2MjhhMDUifQ=="/>
  </w:docVars>
  <w:rsids>
    <w:rsidRoot w:val="41467900"/>
    <w:rsid w:val="099B6C56"/>
    <w:rsid w:val="0C10409D"/>
    <w:rsid w:val="1286175D"/>
    <w:rsid w:val="14362AA9"/>
    <w:rsid w:val="22AF6F93"/>
    <w:rsid w:val="34667622"/>
    <w:rsid w:val="35DA3A24"/>
    <w:rsid w:val="41467900"/>
    <w:rsid w:val="42BF642B"/>
    <w:rsid w:val="47F15FD3"/>
    <w:rsid w:val="497C4692"/>
    <w:rsid w:val="4E1C33D0"/>
    <w:rsid w:val="53857BD6"/>
    <w:rsid w:val="717E3DFE"/>
    <w:rsid w:val="722767D4"/>
    <w:rsid w:val="76795265"/>
    <w:rsid w:val="781E0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240" w:beforeLines="0" w:beforeAutospacing="0" w:after="240" w:afterLines="0" w:afterAutospacing="0" w:line="500" w:lineRule="exact"/>
      <w:ind w:firstLine="0" w:firstLineChars="0"/>
      <w:jc w:val="center"/>
      <w:outlineLvl w:val="0"/>
    </w:pPr>
    <w:rPr>
      <w:rFonts w:eastAsia="黑体" w:asciiTheme="minorAscii" w:hAnsiTheme="minorAscii" w:cstheme="minorBidi"/>
      <w:b/>
      <w:kern w:val="44"/>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6"/>
      <w:szCs w:val="36"/>
    </w:rPr>
  </w:style>
  <w:style w:type="paragraph" w:styleId="4">
    <w:name w:val="footer"/>
    <w:basedOn w:val="1"/>
    <w:qFormat/>
    <w:uiPriority w:val="99"/>
    <w:pPr>
      <w:tabs>
        <w:tab w:val="center" w:pos="4153"/>
        <w:tab w:val="right" w:pos="8306"/>
      </w:tabs>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1884</Words>
  <Characters>1962</Characters>
  <Lines>0</Lines>
  <Paragraphs>0</Paragraphs>
  <TotalTime>18</TotalTime>
  <ScaleCrop>false</ScaleCrop>
  <LinksUpToDate>false</LinksUpToDate>
  <CharactersWithSpaces>1963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2024-10-28T08:10:00Z</dcterms:created>
  <dc:creator>Administrator</dc:creator>
  <cp:lastModifiedBy>Administrator</cp:lastModifiedBy>
  <cp:lastPrinted>2024-10-30T01:35:05Z</cp:lastPrinted>
  <dcterms:modified xsi:type="dcterms:W3CDTF">2024-10-30T01:39:19Z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54E81DA73F6A4EFC98EFE83F6CFDA58C_11</vt:lpwstr>
  </property>
</Properties>
</file>