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bookmarkStart w:id="0" w:name="_GoBack"/>
      <w:r>
        <w:rPr>
          <w:rFonts w:ascii="宋体" w:hAnsi="宋体" w:eastAsia="宋体" w:cs="宋体"/>
          <w:b/>
          <w:sz w:val="36"/>
        </w:rPr>
        <w:t>怀化市鹤城区水利局</w:t>
      </w:r>
      <w:bookmarkEnd w:id="0"/>
      <w:r>
        <w:rPr>
          <w:rFonts w:ascii="宋体" w:hAnsi="宋体" w:eastAsia="宋体" w:cs="宋体"/>
          <w:b/>
          <w:sz w:val="36"/>
        </w:rPr>
        <w:t>2024年部门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3"/>
        </w:rPr>
        <w:t>目录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left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  <w:lang w:val="en-US" w:eastAsia="zh-CN"/>
        </w:rPr>
        <w:t>1、</w:t>
      </w:r>
      <w:r>
        <w:rPr>
          <w:rFonts w:ascii="宋体" w:hAnsi="宋体" w:eastAsia="宋体" w:cs="宋体"/>
          <w:sz w:val="28"/>
        </w:rPr>
        <w:t xml:space="preserve">贯彻实施国家有关水利、水土保持政策和法律、法规，统一管理全区水资源，拟定全区城乡供水、计划用水、节约用水政策；编制全区城乡供水水源规划，组织、指导全区水利基本建设，承担我区水旱灾害防治工作，负责全区移民工作。 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hint="eastAsia" w:ascii="宋体" w:hAnsi="宋体" w:eastAsia="宋体" w:cs="宋体"/>
          <w:sz w:val="28"/>
          <w:lang w:val="en-US" w:eastAsia="zh-CN"/>
        </w:rPr>
        <w:t>2、</w:t>
      </w:r>
      <w:r>
        <w:rPr>
          <w:rFonts w:ascii="宋体" w:hAnsi="宋体" w:eastAsia="宋体" w:cs="宋体"/>
          <w:sz w:val="28"/>
        </w:rPr>
        <w:t xml:space="preserve">组织实施取水许可制度，负责水资源费等规费的征收、使用和管理工作；组织实施全区农田水利基本建设、农村人畜饮水、小型水库除险加固。负责全区城市防洪和舞水河、太平溪城区段的综合治理、管理和维护；承担我区水旱灾害防治工作，组织、协调、监督、指导全区防洪抗旱工作，对主要河流和重要水利工程实施防汛抗旱调度；负责全区移民工作，及移民开发项目建设，组织实施水利工程移民安置验收、监督评估等制度，指导监督水库移民后期扶持政策的实施，协调推动水库移民对口支援等工作；负责本部门所有行政审批事项的统一受理、登记、申报资料初审及办结事项的缴费、制证（文）、盖章、发证（文）等服务工作；完成区委和区政府交办的其他任务。 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鹤城区水利局内设机构包括：内设机构6个，分别为办公室（人事、财务、党建），水利事务中心，水旱灾害防御事务中心，竹林坪水库服务所，板木溪水库服务所，红岩水轮泵站。本部门共有编制人数124人，实有人数97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怀化市鹤城区水利局只有本级，没有二级预算单位，因此纳入2024年部门预算编制范围的只有怀化市鹤城区水利局本级。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（一）收入预算：</w:t>
      </w:r>
      <w:r>
        <w:rPr>
          <w:rFonts w:ascii="宋体" w:hAnsi="宋体" w:eastAsia="宋体" w:cs="宋体"/>
          <w:sz w:val="28"/>
        </w:rPr>
        <w:t>包括一般公共预算、政府性基金、国有资本经营预算等财政拨款收入，以及经营收入、事业收入等单位资金。2024年本部门收入预算1113.36万元，其中，一般公共预算拨款1113.36万元，政府性基金预算拨款0万元，国有资本经营预算拨款0万元，上年结转结余0万元。收入较去年减少4318.56万元，主要原因是项目收入减少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(二）支出预算：</w:t>
      </w:r>
      <w:r>
        <w:rPr>
          <w:rFonts w:ascii="宋体" w:hAnsi="宋体" w:eastAsia="宋体" w:cs="宋体"/>
          <w:sz w:val="28"/>
        </w:rPr>
        <w:t>2024年本部门支出预算1113.36万元，其中：一般公共服务支出26.44万元，社会保障和就业支出137.45万元，卫生健康支出43.77万元，农林水支出839.46万元，住房保障支出50.5万元，灾害防治及应急管理支出15.75万元，年终结转结余0万元；支出较去年减少4318.56万元，主要原因是项目收入预算减少，支出也随之减少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2024年本部门一般公共预算拨款支出预算1113.36万元，具体安排情况如下：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（一）基本支出：</w:t>
      </w:r>
      <w:r>
        <w:rPr>
          <w:rFonts w:ascii="宋体" w:hAnsi="宋体" w:eastAsia="宋体" w:cs="宋体"/>
          <w:sz w:val="28"/>
        </w:rPr>
        <w:t>2024年本部门基本支出预算929.94万元，主要是为保障部门正常运转、完成日常工作任务而发生的各项支出，包括基本工资、津贴补贴等人员经费以及办公费、印刷费、水电费、办公设备购置等公用经费。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（二）项目支出：</w:t>
      </w:r>
      <w:r>
        <w:rPr>
          <w:rFonts w:ascii="宋体" w:hAnsi="宋体" w:eastAsia="宋体" w:cs="宋体"/>
          <w:sz w:val="28"/>
        </w:rPr>
        <w:t>2024年本部门项目支出预算183.42万元，主要是部门为完成特定行政工作任务或事业发展目标而发生的支出，包括</w:t>
      </w:r>
      <w:r>
        <w:rPr>
          <w:rFonts w:ascii="宋体" w:hAnsi="宋体" w:eastAsia="宋体" w:cs="宋体"/>
          <w:color w:val="000000"/>
          <w:sz w:val="28"/>
        </w:rPr>
        <w:t>办公费、印刷费、水电费、办公设备购置等公用经费及</w:t>
      </w:r>
      <w:r>
        <w:rPr>
          <w:rFonts w:ascii="宋体" w:hAnsi="宋体" w:eastAsia="宋体" w:cs="宋体"/>
          <w:sz w:val="28"/>
        </w:rPr>
        <w:t>有关事业发展专项、专项业务费、基本建设支出等，其中：其他一般公共服务支出6万元，主要用于法律顾问服务咨询；一般行政管理事务支出10.8万元，主要用于节约用水工作经费，水行政执法宣传经费，河道清淤保洁维护；水利行业业务管理支出26.82万元，主要用于河湖岸线保护和利用规划，2024年区河长办办公经费；水利工程运行与维护支出4.05万元，主要用于2024年河长制最美宣传活动；水资源节约管理与保护支出120万元，主要用于水资源费征收成本；灾害风险防治支出15.75万元，主要用于2024年舞水河鹤城段自然灾害风险普查及鹤城区农田灌溉“一张图”设计技术服务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本部门无政府性基金安排的支出。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（一）机关运行经费：</w:t>
      </w:r>
      <w:r>
        <w:rPr>
          <w:rFonts w:ascii="宋体" w:hAnsi="宋体" w:eastAsia="宋体" w:cs="宋体"/>
          <w:sz w:val="28"/>
        </w:rPr>
        <w:t>2024年本部门机关运行经费66.35万元，比上年预算增加1.51万元，增加0.22%，主要是有新进人员。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（二）“三公”经费预算：</w:t>
      </w:r>
      <w:r>
        <w:rPr>
          <w:rFonts w:ascii="宋体" w:hAnsi="宋体" w:eastAsia="宋体" w:cs="宋体"/>
          <w:sz w:val="28"/>
        </w:rPr>
        <w:t>2024年本部门“三公”经费预算数为0万元，其中，公务接待费0万元，公务用车购置及运行费0万元（其中，公务用车购置费0万元，公务用车运行费0万元），因公出国（境）费0万元。2024年“三公”经费预算较2023年持平，主要是按以往年度预算，“三公”经费没有开支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（三）一般性支出情况：</w:t>
      </w:r>
      <w:r>
        <w:rPr>
          <w:rFonts w:ascii="宋体" w:hAnsi="宋体" w:eastAsia="宋体" w:cs="宋体"/>
          <w:sz w:val="28"/>
        </w:rPr>
        <w:t>2024年本部门无会议费支出；2024年本部门无培训费支出；未计划举办节庆、晚会、论坛、赛事活动，开支0万元。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（四）政府采购情况：</w:t>
      </w:r>
      <w:r>
        <w:rPr>
          <w:rFonts w:ascii="宋体" w:hAnsi="宋体" w:eastAsia="宋体" w:cs="宋体"/>
          <w:sz w:val="28"/>
        </w:rPr>
        <w:t>2024年本部门政府采购预算总额0万元，其中，货物类采购预算0万元；工程类采购预算0万元；服务类采购预算0万元。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（五）国有资产占用使用及新增资产配置情况：</w:t>
      </w:r>
      <w:r>
        <w:rPr>
          <w:rFonts w:ascii="宋体" w:hAnsi="宋体" w:eastAsia="宋体" w:cs="宋体"/>
          <w:sz w:val="28"/>
        </w:rPr>
        <w:t>截至2023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（六）预算绩效目标说明：</w:t>
      </w:r>
      <w:r>
        <w:rPr>
          <w:rFonts w:ascii="宋体" w:hAnsi="宋体" w:eastAsia="宋体" w:cs="宋体"/>
          <w:sz w:val="28"/>
        </w:rPr>
        <w:t>本部门所有支出实行绩效目标管理，其中：纳入2024年部门整体支出绩效目标的金额为1113.36万元，基本支出929.94万元，单位项目支出183.42万元。具体绩效目标详见报表。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560" w:firstLineChars="200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104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附件：怀化市鹤城区水利局部门预算公开表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OTFmMWZlMjJjOTJkODkwMWFlMzA4ZTA0ZmVhN2VlMGYifQ=="/>
  </w:docVars>
  <w:rsids>
    <w:rsidRoot w:val="00000000"/>
    <w:rsid w:val="0F186B39"/>
    <w:rsid w:val="16034F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2024-01-30T10:10:00Z</dcterms:created>
  <dc:creator>86135</dc:creator>
  <cp:lastModifiedBy>日月日月</cp:lastModifiedBy>
  <dcterms:modified xsi:type="dcterms:W3CDTF">2024-01-30T02:11:35Z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86C8CE3289B74BABB30CE0EF51F8DB22_13</vt:lpwstr>
  </property>
</Properties>
</file>