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atLeast"/>
        <w:rPr>
          <w:rFonts w:hint="eastAsia" w:eastAsia="仿宋_GB2312"/>
          <w:spacing w:val="-2"/>
          <w:sz w:val="28"/>
          <w:szCs w:val="28"/>
        </w:rPr>
      </w:pPr>
      <w:bookmarkStart w:id="0" w:name="_GoBack"/>
      <w:bookmarkEnd w:id="0"/>
    </w:p>
    <w:p>
      <w:pPr>
        <w:rPr>
          <w:rFonts w:eastAsia="黑体"/>
          <w:sz w:val="32"/>
          <w:szCs w:val="32"/>
        </w:rPr>
      </w:pPr>
      <w:r>
        <w:rPr>
          <w:rFonts w:hint="eastAsia" w:eastAsia="仿宋_GB2312"/>
          <w:b/>
          <w:spacing w:val="-2"/>
          <w:sz w:val="32"/>
          <w:szCs w:val="44"/>
        </w:rPr>
        <w:t xml:space="preserve">  </w:t>
      </w:r>
      <w:r>
        <w:rPr>
          <w:rFonts w:eastAsia="黑体"/>
          <w:sz w:val="32"/>
          <w:szCs w:val="32"/>
        </w:rPr>
        <w:t>附件4</w:t>
      </w: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jc w:val="center"/>
        <w:rPr>
          <w:rFonts w:hint="eastAsia" w:eastAsia="方正小标宋_GBK"/>
          <w:sz w:val="52"/>
          <w:szCs w:val="52"/>
          <w:lang w:eastAsia="zh-CN"/>
        </w:rPr>
      </w:pPr>
      <w:r>
        <w:rPr>
          <w:rFonts w:eastAsia="方正小标宋_GBK"/>
          <w:sz w:val="52"/>
          <w:szCs w:val="52"/>
        </w:rPr>
        <w:t>202</w:t>
      </w:r>
      <w:r>
        <w:rPr>
          <w:rFonts w:hint="eastAsia" w:eastAsia="方正小标宋_GBK"/>
          <w:sz w:val="52"/>
          <w:szCs w:val="52"/>
        </w:rPr>
        <w:t>2</w:t>
      </w:r>
      <w:r>
        <w:rPr>
          <w:rFonts w:eastAsia="方正小标宋_GBK"/>
          <w:sz w:val="52"/>
          <w:szCs w:val="52"/>
        </w:rPr>
        <w:t>年度</w:t>
      </w:r>
      <w:r>
        <w:rPr>
          <w:rFonts w:hint="eastAsia" w:eastAsia="方正小标宋_GBK"/>
          <w:sz w:val="52"/>
          <w:szCs w:val="52"/>
          <w:lang w:eastAsia="zh-CN"/>
        </w:rPr>
        <w:t>鹤城区盈口乡人民政府</w:t>
      </w:r>
    </w:p>
    <w:p>
      <w:pPr>
        <w:jc w:val="center"/>
        <w:rPr>
          <w:rFonts w:eastAsia="方正小标宋_GBK"/>
          <w:sz w:val="52"/>
          <w:szCs w:val="52"/>
        </w:rPr>
      </w:pPr>
      <w:r>
        <w:rPr>
          <w:rFonts w:eastAsia="方正小标宋_GBK"/>
          <w:sz w:val="52"/>
          <w:szCs w:val="52"/>
        </w:rPr>
        <w:t>整体支出绩效自评报告</w:t>
      </w:r>
    </w:p>
    <w:p>
      <w:pPr>
        <w:rPr>
          <w:rFonts w:eastAsia="楷体_GB2312"/>
          <w:b/>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rPr>
          <w:rFonts w:eastAsia="黑体"/>
          <w:sz w:val="32"/>
          <w:szCs w:val="32"/>
        </w:rPr>
      </w:pPr>
    </w:p>
    <w:p>
      <w:pPr>
        <w:jc w:val="center"/>
        <w:rPr>
          <w:rFonts w:eastAsia="黑体"/>
          <w:sz w:val="32"/>
          <w:szCs w:val="32"/>
        </w:rPr>
      </w:pPr>
    </w:p>
    <w:p>
      <w:pPr>
        <w:spacing w:line="600" w:lineRule="exact"/>
        <w:ind w:firstLine="1920" w:firstLineChars="600"/>
        <w:rPr>
          <w:rFonts w:eastAsia="仿宋_GB2312"/>
          <w:sz w:val="32"/>
          <w:szCs w:val="32"/>
          <w:u w:val="single"/>
        </w:rPr>
      </w:pPr>
      <w:r>
        <w:rPr>
          <w:rFonts w:eastAsia="仿宋_GB2312"/>
          <w:sz w:val="32"/>
          <w:szCs w:val="32"/>
        </w:rPr>
        <w:t>单位名称：</w:t>
      </w:r>
      <w:r>
        <w:rPr>
          <w:rFonts w:hint="eastAsia" w:eastAsia="仿宋_GB2312"/>
          <w:sz w:val="32"/>
          <w:szCs w:val="32"/>
          <w:u w:val="single"/>
          <w:lang w:eastAsia="zh-CN"/>
        </w:rPr>
        <w:t>盈口乡人民政府</w:t>
      </w:r>
    </w:p>
    <w:p>
      <w:pPr>
        <w:spacing w:line="600" w:lineRule="exact"/>
        <w:ind w:firstLine="3200" w:firstLineChars="1000"/>
        <w:rPr>
          <w:rFonts w:eastAsia="楷体_GB2312"/>
          <w:sz w:val="32"/>
          <w:szCs w:val="32"/>
        </w:rPr>
      </w:pPr>
      <w:r>
        <w:rPr>
          <w:rFonts w:hint="eastAsia" w:eastAsia="楷体_GB2312"/>
          <w:sz w:val="32"/>
          <w:szCs w:val="32"/>
          <w:lang w:val="en-US" w:eastAsia="zh-CN"/>
        </w:rPr>
        <w:t>2023</w:t>
      </w:r>
      <w:r>
        <w:rPr>
          <w:rFonts w:eastAsia="楷体_GB2312"/>
          <w:sz w:val="32"/>
          <w:szCs w:val="32"/>
        </w:rPr>
        <w:t>年</w:t>
      </w:r>
      <w:r>
        <w:rPr>
          <w:rFonts w:hint="eastAsia" w:eastAsia="楷体_GB2312"/>
          <w:sz w:val="32"/>
          <w:szCs w:val="32"/>
          <w:lang w:val="en-US" w:eastAsia="zh-CN"/>
        </w:rPr>
        <w:t>9</w:t>
      </w:r>
      <w:r>
        <w:rPr>
          <w:rFonts w:eastAsia="楷体_GB2312"/>
          <w:sz w:val="32"/>
          <w:szCs w:val="32"/>
        </w:rPr>
        <w:t>月</w:t>
      </w:r>
      <w:r>
        <w:rPr>
          <w:rFonts w:hint="eastAsia" w:eastAsia="楷体_GB2312"/>
          <w:sz w:val="32"/>
          <w:szCs w:val="32"/>
          <w:lang w:val="en-US" w:eastAsia="zh-CN"/>
        </w:rPr>
        <w:t>18</w:t>
      </w:r>
      <w:r>
        <w:rPr>
          <w:rFonts w:eastAsia="楷体_GB2312"/>
          <w:sz w:val="32"/>
          <w:szCs w:val="32"/>
        </w:rPr>
        <w:t>日</w:t>
      </w:r>
    </w:p>
    <w:p>
      <w:pPr>
        <w:jc w:val="center"/>
        <w:rPr>
          <w:rFonts w:eastAsia="黑体"/>
          <w:sz w:val="32"/>
          <w:szCs w:val="32"/>
        </w:rPr>
      </w:pPr>
    </w:p>
    <w:p>
      <w:pPr>
        <w:jc w:val="center"/>
        <w:rPr>
          <w:rFonts w:eastAsia="仿宋_GB2312"/>
          <w:sz w:val="32"/>
          <w:szCs w:val="32"/>
        </w:rPr>
      </w:pPr>
      <w:r>
        <w:rPr>
          <w:rFonts w:eastAsia="仿宋_GB2312"/>
          <w:sz w:val="32"/>
          <w:szCs w:val="32"/>
        </w:rPr>
        <w:t>（此页为封面）</w:t>
      </w:r>
    </w:p>
    <w:p>
      <w:pPr>
        <w:widowControl/>
        <w:shd w:val="clear" w:color="auto" w:fill="FFFFFF"/>
        <w:spacing w:line="600" w:lineRule="atLeast"/>
        <w:rPr>
          <w:rFonts w:hint="eastAsia" w:eastAsia="仿宋_GB2312"/>
          <w:b/>
          <w:spacing w:val="-2"/>
          <w:sz w:val="32"/>
          <w:szCs w:val="44"/>
        </w:rPr>
      </w:pPr>
      <w:r>
        <w:rPr>
          <w:rFonts w:eastAsia="仿宋_GB2312"/>
          <w:sz w:val="32"/>
          <w:szCs w:val="32"/>
        </w:rPr>
        <w:br w:type="page"/>
      </w:r>
    </w:p>
    <w:p>
      <w:pPr>
        <w:widowControl/>
        <w:shd w:val="clear" w:color="auto" w:fill="FFFFFF"/>
        <w:spacing w:line="600" w:lineRule="atLeast"/>
        <w:ind w:firstLine="1428" w:firstLineChars="450"/>
        <w:rPr>
          <w:rFonts w:hint="eastAsia" w:eastAsia="仿宋_GB2312"/>
          <w:b/>
          <w:spacing w:val="-2"/>
          <w:sz w:val="32"/>
          <w:szCs w:val="44"/>
        </w:rPr>
      </w:pPr>
      <w:r>
        <w:rPr>
          <w:rFonts w:eastAsia="仿宋_GB2312"/>
          <w:b/>
          <w:spacing w:val="-2"/>
          <w:sz w:val="32"/>
          <w:szCs w:val="44"/>
        </w:rPr>
        <w:t>部门整体支出绩效</w:t>
      </w:r>
      <w:r>
        <w:rPr>
          <w:rFonts w:hint="eastAsia" w:eastAsia="仿宋_GB2312"/>
          <w:b/>
          <w:spacing w:val="-2"/>
          <w:sz w:val="32"/>
          <w:szCs w:val="44"/>
        </w:rPr>
        <w:t>评价</w:t>
      </w:r>
      <w:r>
        <w:rPr>
          <w:rFonts w:eastAsia="仿宋_GB2312"/>
          <w:b/>
          <w:spacing w:val="-2"/>
          <w:sz w:val="32"/>
          <w:szCs w:val="44"/>
        </w:rPr>
        <w:t>报告参考提纲</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一、部门概况</w:t>
      </w:r>
    </w:p>
    <w:p>
      <w:pPr>
        <w:pStyle w:val="5"/>
        <w:keepNext w:val="0"/>
        <w:keepLines w:val="0"/>
        <w:pageBreakBefore w:val="0"/>
        <w:widowControl/>
        <w:numPr>
          <w:ilvl w:val="0"/>
          <w:numId w:val="0"/>
        </w:numPr>
        <w:kinsoku/>
        <w:wordWrap/>
        <w:overflowPunct/>
        <w:topLinePunct w:val="0"/>
        <w:autoSpaceDE/>
        <w:autoSpaceDN/>
        <w:bidi w:val="0"/>
        <w:adjustRightInd/>
        <w:snapToGrid/>
        <w:spacing w:line="600" w:lineRule="exact"/>
        <w:ind w:firstLine="632" w:firstLineChars="200"/>
        <w:jc w:val="left"/>
        <w:textAlignment w:val="auto"/>
        <w:rPr>
          <w:rFonts w:hint="eastAsia" w:ascii="仿宋" w:hAnsi="仿宋" w:eastAsia="仿宋" w:cs="Times New Roman"/>
          <w:spacing w:val="-2"/>
          <w:sz w:val="32"/>
          <w:szCs w:val="32"/>
          <w:lang w:val="en-US" w:eastAsia="zh-CN"/>
        </w:rPr>
      </w:pPr>
      <w:r>
        <w:rPr>
          <w:rFonts w:hint="eastAsia" w:ascii="仿宋" w:hAnsi="仿宋" w:eastAsia="仿宋" w:cs="Times New Roman"/>
          <w:spacing w:val="-2"/>
          <w:sz w:val="32"/>
          <w:szCs w:val="32"/>
          <w:lang w:val="en-US" w:eastAsia="zh-CN"/>
        </w:rPr>
        <w:t>盈口乡人民政府主要负责辖区内经济、政治、文化、社会、生态文明建设等各项工作和基层社会治理，主要职责为：一、加强党的建设；二、统筹区域发展；三、实施公共管理；四、维护公共安全；五、组织公共服务；六、依法依规承担区直有关部门下放的经济社会管理权限和行政执法事项，全面推行权力清单和责任清单制度建设；七、完成区委、区政府交办的其他任务。</w:t>
      </w:r>
    </w:p>
    <w:p>
      <w:pPr>
        <w:pStyle w:val="5"/>
        <w:keepNext w:val="0"/>
        <w:keepLines w:val="0"/>
        <w:pageBreakBefore w:val="0"/>
        <w:widowControl/>
        <w:numPr>
          <w:ilvl w:val="0"/>
          <w:numId w:val="0"/>
        </w:numPr>
        <w:kinsoku/>
        <w:wordWrap/>
        <w:overflowPunct/>
        <w:topLinePunct w:val="0"/>
        <w:autoSpaceDE/>
        <w:autoSpaceDN/>
        <w:bidi w:val="0"/>
        <w:adjustRightInd/>
        <w:snapToGrid/>
        <w:spacing w:line="600" w:lineRule="exact"/>
        <w:ind w:firstLine="632" w:firstLineChars="200"/>
        <w:jc w:val="left"/>
        <w:textAlignment w:val="auto"/>
        <w:rPr>
          <w:rFonts w:hint="eastAsia" w:ascii="仿宋" w:hAnsi="仿宋" w:eastAsia="仿宋"/>
          <w:spacing w:val="-2"/>
          <w:sz w:val="32"/>
          <w:szCs w:val="32"/>
          <w:lang w:val="en-US" w:eastAsia="zh-CN"/>
        </w:rPr>
      </w:pPr>
      <w:r>
        <w:rPr>
          <w:rFonts w:hint="eastAsia" w:ascii="仿宋" w:hAnsi="仿宋" w:eastAsia="仿宋"/>
          <w:spacing w:val="-2"/>
          <w:sz w:val="32"/>
          <w:szCs w:val="32"/>
          <w:lang w:val="en-US" w:eastAsia="zh-CN"/>
        </w:rPr>
        <w:t>根据工作职责，设置以下党政内设机构：党政办公室、党建办公室、经济发展办公室、社会事务办公室、自然资源和生态环境办公室、社会治安和应急管理办公室；设置以下一类事业单位：社会事务综合服务中心、农业综合服务中心、党务政务服务中心、退役军人服务站。按有关规定设置乡镇人大政协机构、党的纪律检查委员会和监察机构、人民武装部和工会、共青团、妇联等机构。乡财政所不计入乡镇党政机构限额，但主要负责乡镇财政事务。</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pPr>
        <w:widowControl/>
        <w:shd w:val="clear" w:color="auto" w:fill="FFFFFF"/>
        <w:spacing w:line="600" w:lineRule="atLeast"/>
        <w:ind w:firstLine="643"/>
        <w:rPr>
          <w:rFonts w:ascii="仿宋" w:hAnsi="仿宋" w:eastAsia="仿宋"/>
          <w:b/>
          <w:spacing w:val="-2"/>
          <w:sz w:val="32"/>
          <w:szCs w:val="21"/>
        </w:rPr>
      </w:pPr>
      <w:r>
        <w:rPr>
          <w:rFonts w:ascii="仿宋" w:hAnsi="仿宋" w:eastAsia="仿宋"/>
          <w:b/>
          <w:spacing w:val="-2"/>
          <w:sz w:val="32"/>
          <w:szCs w:val="32"/>
        </w:rPr>
        <w:t>（一）基本支出</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2022年度一般公共预算支出1683.91万元。</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按功能分类为以下支出：一般公共服务（类）支出1013.1万元，占60.16%；文化旅游体育与传媒支出4.5万元，占0.27%；社会保障和就业支出200.12万元，占11.88%;卫生健康支出125.14万元，占7.43%;城乡社区支出43.92万元，占2.61%;农林水支出297.13万元，占17.65%。</w:t>
      </w:r>
    </w:p>
    <w:p>
      <w:pPr>
        <w:widowControl/>
        <w:shd w:val="clear" w:color="auto" w:fill="FFFFFF"/>
        <w:spacing w:line="600" w:lineRule="atLeast"/>
        <w:ind w:firstLine="640"/>
        <w:rPr>
          <w:rFonts w:hint="default"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按支出性质分类为以下支出：人员经费支出1017.97万元，占60.45%，主要为人员工资、保险、奖金、加班补贴、遗属费及对个人的补贴等开支。公用经费开支349.86万元，占20.78%，主要为一般商品服务支出，是维持工作正常开展的支出。项目支出316.08万元，占18.77%，主要为拨付本单位行政村的工作经费、服务群众经费及疫情防控常态化经费。</w:t>
      </w:r>
    </w:p>
    <w:p>
      <w:pPr>
        <w:widowControl/>
        <w:shd w:val="clear" w:color="auto" w:fill="FFFFFF"/>
        <w:spacing w:line="600" w:lineRule="atLeast"/>
        <w:ind w:firstLine="643"/>
        <w:rPr>
          <w:rFonts w:ascii="楷体" w:hAnsi="楷体" w:eastAsia="楷体"/>
          <w:b/>
          <w:spacing w:val="-2"/>
          <w:sz w:val="32"/>
          <w:szCs w:val="21"/>
        </w:rPr>
      </w:pPr>
      <w:r>
        <w:rPr>
          <w:rFonts w:ascii="楷体" w:hAnsi="楷体" w:eastAsia="楷体"/>
          <w:b/>
          <w:spacing w:val="-2"/>
          <w:sz w:val="32"/>
          <w:szCs w:val="32"/>
        </w:rPr>
        <w:t>（二）专项支出</w:t>
      </w:r>
    </w:p>
    <w:p>
      <w:pPr>
        <w:widowControl/>
        <w:shd w:val="clear" w:color="auto" w:fill="FFFFFF"/>
        <w:spacing w:line="600" w:lineRule="atLeast"/>
        <w:ind w:firstLine="640"/>
        <w:rPr>
          <w:rFonts w:hint="eastAsia" w:ascii="仿宋" w:hAnsi="仿宋" w:eastAsia="仿宋"/>
          <w:spacing w:val="-2"/>
          <w:sz w:val="32"/>
          <w:szCs w:val="21"/>
          <w:lang w:eastAsia="zh-CN"/>
        </w:rPr>
      </w:pPr>
      <w:r>
        <w:rPr>
          <w:rFonts w:hint="eastAsia" w:ascii="仿宋" w:hAnsi="仿宋" w:eastAsia="仿宋"/>
          <w:spacing w:val="-2"/>
          <w:sz w:val="32"/>
          <w:szCs w:val="21"/>
          <w:lang w:eastAsia="zh-CN"/>
        </w:rPr>
        <w:t>无专项开支。</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三、部门专项组织实施情况</w:t>
      </w:r>
    </w:p>
    <w:p>
      <w:pPr>
        <w:widowControl/>
        <w:shd w:val="clear" w:color="auto" w:fill="FFFFFF"/>
        <w:spacing w:line="600" w:lineRule="atLeast"/>
        <w:ind w:firstLine="640"/>
        <w:rPr>
          <w:rFonts w:ascii="仿宋" w:hAnsi="仿宋" w:eastAsia="仿宋"/>
          <w:spacing w:val="-2"/>
          <w:sz w:val="32"/>
          <w:szCs w:val="21"/>
        </w:rPr>
      </w:pPr>
      <w:r>
        <w:rPr>
          <w:rFonts w:hint="eastAsia" w:ascii="仿宋" w:hAnsi="仿宋" w:eastAsia="仿宋"/>
          <w:spacing w:val="-2"/>
          <w:sz w:val="32"/>
          <w:szCs w:val="21"/>
          <w:lang w:eastAsia="zh-CN"/>
        </w:rPr>
        <w:t>无专项开支</w:t>
      </w:r>
      <w:r>
        <w:rPr>
          <w:rFonts w:ascii="仿宋" w:hAnsi="仿宋" w:eastAsia="仿宋"/>
          <w:spacing w:val="-2"/>
          <w:sz w:val="32"/>
          <w:szCs w:val="32"/>
        </w:rPr>
        <w:t>。</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四、资产管理情况</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2022年本单位固定资产期初数为原值276.37万元，累计折旧143.49万元，净值132.89万元，期末数为原值277.83万元，累计折旧141.51万元，净值136.31万元。</w:t>
      </w:r>
    </w:p>
    <w:p>
      <w:pPr>
        <w:widowControl/>
        <w:shd w:val="clear" w:color="auto" w:fill="FFFFFF"/>
        <w:spacing w:line="600" w:lineRule="atLeast"/>
        <w:ind w:firstLine="640"/>
        <w:rPr>
          <w:rFonts w:hint="default"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2022年本单位新增资产23.52万元，其中新购家具用具4.92万元，主要为购入会议终端及配套设备和电脑、打印机、密码柜等办公设备；盘盈小型客车及轿车18.6万元。</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2022年本单位核销资产22.38万元，为2006年开始使用的普通轿车。</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本单位购买固定资产流程严格按照由各业务办室提出固定资产采购申请，通过办公室审批，提请资产管理小组审核，由办公室统一采购，采购后由办公室验收后交由财政所登记固定资产台账，并明确各业务办室的资产管理责任人，贴好固定资产标签。</w:t>
      </w:r>
    </w:p>
    <w:p>
      <w:pPr>
        <w:widowControl/>
        <w:shd w:val="clear" w:color="auto" w:fill="FFFFFF"/>
        <w:spacing w:line="600" w:lineRule="atLeast"/>
        <w:ind w:firstLine="640"/>
        <w:rPr>
          <w:rFonts w:hint="default"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本单位核销固定资产流程严格按照由各业务办室提出固定资产报废或报损申请，由办公室审批，报请区财政局，由区财政局资产股同意后，由办公室统一处理固定资产，并将报废或报损收入缴纳至区财政局固定账户。</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五、部门整体支出绩效情况</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本单位2022年无国有资本经营预算支出、社会保险基金预算支出。部门整体支出充分利用一般公共预算支出，较好的完成了全年绩效工作目标，取得了如下成效：</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一）学习贯彻习近平新时代中国特色社会主义思想和党的二十大精神，贯彻落实习近平总书记重要指示批示、考察湖南重要讲话精神和党中央决策部署，增强“四个意识”、坚定“四个自信”、做到“两个维护”，严守党的政治纪律和政治规矩，执行新形势下党内政治生活若干准则，坚持民主集中制的情况。</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一是加强党委理论中心组学习。全年，乡党委理论中心组安排学习12次。二是组织新一届村“两委”业务培训。全年，组织党建、统战、妇联、综治、财务、民主、武装等各个部门组织开展专题业务培训12场次，切实提升村“两委”业务能力和履职责任感。三是制定盈口乡党员培训计划。通过开展农村党员冬春训、上党课、主题党日活动，提升全体党员培训覆盖率，锤炼党员干部党性。</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二）树立正确政绩观，贯彻落实“五位一体”总体布局和“四个全面”战略布局，把握新发展阶段，贯彻新发展理念，构建新发展格局，推动高质量发展，实施“三高四新”战略、建设现代化新怀化，讲担当、重担当，改革创新、干事创业，推动经济、政治、文化、社会、生态文明建设的情况。</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一是经济综合实力稳步增长。二是人民幸福指数逐步增强。三是文化工作丰富多彩。积极开展精彩纷呈的文化活动，组织送戏下乡、文艺汇演、歌舞比赛等各类文体活动6次。四是教育工作持续巩固。强化控辍保学措施，保持了小学、中学入学率100%。</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（三）强化制度执行力和治理能力，按照制度履行职责、行使权力、开展工作的情况。</w:t>
      </w:r>
    </w:p>
    <w:p>
      <w:pPr>
        <w:widowControl/>
        <w:shd w:val="clear" w:color="auto" w:fill="FFFFFF"/>
        <w:spacing w:line="600" w:lineRule="atLeast"/>
        <w:ind w:firstLine="640"/>
        <w:rPr>
          <w:rFonts w:hint="default"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一是完善财务制度、规范财务管理。二是结合各村工作实际，修订村干部目标管理考核制度。三是严格落实乡机关干部职工绩效考核制度，通过“262”比例，充分调动干部职工的工作积极性和创造性，提升行政办事效能。</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（四）参与疫情防控、防范化解重大风险、精准脱贫、污染防治、防汛救灾等重大斗争情况。</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一是污染防治全面推进。坚持“两山”理念，全力开展污染防治攻坚，深入企业进行排污检查，坚持常态巡河。二是疫情防控常抓不懈。始终坚持疫情常态化防控，筑牢“外防输入、内防反弹”坚固防线，建立乡干部包村、村干部包组、组干部包户的网格体系，加大对重点场所的管理和重点区域返鹤人员的管控，辖区内未发现一起确诊和疑似病例。</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（五）坚持以人民为中心的发展思想，密切联系群众，解决群众反映的突出问题、满足人民日益增长的美好生活需要的情况。</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一是切实加强组织领导，党员培训到村到组。党委召开专题研究部署会，成立党员联系服务群众“五个到户”工作领导小组，党政领导班子带头联系低保户、五保户、重病重残户等重点人群。二是入户走访全覆盖，政策群众全知晓。全乡党员干部用一次次上门深入了解每名群众的家庭基本情况、掌握农户实际需求。三是经常联系知民情，化解矛盾聚民心。党员干部微信电话联系群众10000余次，收集并解决问题86个，召开民情碰头会48次，多部门合力化解矛盾纠纷18起，拉进党员干部和群众关系，促进社会和谐稳定。</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（六）践行新时代党的建设总要求和新时代党的组织路线，履行基层党建工作责任情况。</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一是精心组织开展党内表彰，广泛开展庆祝建党主题活动。二是高质量高标准抓好发展党员工作。三是优化班子结构，提升新一届村“两委”整体质量。四是培养农村致富能手，进一步壮大村级集体经济。</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（七）履行全面从严治党政治责任和“一岗双责”，加强作风建设，推进党风廉政建设工作情况。</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大力推进效能建设，实现明查暗访的常态化，严肃查处不作为、慢作为、乱作为，加大问责力度，确保各项工作落到实处。</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（八）履行党管意识形态工作责任，落实意识形态和网络意识形态工作责任制情况。</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一是加强舆论引导，凝聚社会发展正能量。对一些苗头性问题努力做到早预见、早发现。同时在各村建有党群活动中心、宣传栏，深入宣传社会主义核心价值观、基层党建、“扫黄打非”、法治平安建设、和谐文明行为、党风廉政建设等内容。二是净化网络空间，维护网络意识形态安全。严格教育干部职工，杜绝在互联网上发布负面言论和信息，对违反相关规定的严肃处理并追究责任。三是倡导“文明新风”，践行社会主义核心价值观。积极参与“文明家庭”“最美家庭”等评选活动，大力弘扬好人文化；充分发挥党员先锋模范作用，带头推进移风易俗宣传教育，加强对宗教场所的排查和管控。</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（九）“扫黑除恶”专项斗争工作开展情况。</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一是加强农村干部管理。对全乡1060名党员干部进行新一轮资格审查，坚决防止不符合条件人员、黑恶霸痞分子进入农村干部队伍。二是加强农村软弱涣散党组织排查。把工作重点放在化解村内矛盾、理顺两委关系上，建立问题整改台账，切实加强软弱涣散村班子排查。经排查，今年未发现软弱涣散党组织。三是推进农村基层治理。加强对群众的宣传教育，引导群众树立正气，构建起基层社会治理新格局。</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（十）安全生产、禁毒工作、保密工作等其他按照相关规定需列入考核的工作情况。</w:t>
      </w:r>
    </w:p>
    <w:p>
      <w:pPr>
        <w:widowControl/>
        <w:shd w:val="clear" w:color="auto" w:fill="FFFFFF"/>
        <w:spacing w:line="600" w:lineRule="atLeast"/>
        <w:ind w:firstLine="640"/>
        <w:rPr>
          <w:rFonts w:hint="eastAsia" w:ascii="仿宋" w:hAnsi="仿宋" w:eastAsia="仿宋" w:cs="Times New Roman"/>
          <w:spacing w:val="-2"/>
          <w:sz w:val="32"/>
          <w:szCs w:val="21"/>
          <w:lang w:val="en-US" w:eastAsia="zh-CN"/>
        </w:rPr>
      </w:pPr>
      <w:r>
        <w:rPr>
          <w:rFonts w:hint="eastAsia" w:ascii="仿宋" w:hAnsi="仿宋" w:eastAsia="仿宋" w:cs="Times New Roman"/>
          <w:spacing w:val="-2"/>
          <w:sz w:val="32"/>
          <w:szCs w:val="21"/>
          <w:lang w:val="en-US" w:eastAsia="zh-CN"/>
        </w:rPr>
        <w:t>一是应急管理警钟长鸣。全面开展安全生产大排查、大整治。坚持每周深入工厂企业，检查从严，整改从快，今年来，共计下发企业整改通知180份，均实现全面整改。二是社会维稳形势明显好转。我乡全年化解重大矛盾137起，对45名社区矫正人员实行监督管理和心理疏导，无一人重新犯罪。对300名戒毒人员定期帮扶尿检，家庭社会形成联动，复吸比例明显下降。积极在辖区内开展安全生产和道路交通专项整治行动，共查处并责令整改生产经营单位95家，劝导和制止违法违规行驶隐患60余起。</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六、存在的主要问题</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1"/>
        <w:textAlignment w:val="auto"/>
        <w:rPr>
          <w:rFonts w:hint="eastAsia" w:ascii="仿宋" w:hAnsi="仿宋" w:eastAsia="仿宋" w:cs="Times New Roman"/>
          <w:spacing w:val="-2"/>
          <w:sz w:val="32"/>
          <w:szCs w:val="32"/>
          <w:lang w:val="en-US" w:eastAsia="zh-CN"/>
        </w:rPr>
      </w:pPr>
      <w:r>
        <w:rPr>
          <w:rFonts w:hint="eastAsia" w:ascii="仿宋" w:hAnsi="仿宋" w:eastAsia="仿宋" w:cs="Times New Roman"/>
          <w:spacing w:val="-2"/>
          <w:sz w:val="32"/>
          <w:szCs w:val="32"/>
          <w:lang w:val="en-US" w:eastAsia="zh-CN"/>
        </w:rPr>
        <w:t>主要存在的问题在于预算制定与执行有偏差，形成的原因统计方式改变，导致数据波动较大，例如公用经费。公用经费在制定预算过程中仅参考了部分科目作为统计依据，导致预算编制数额较小但实际纳入公用经费的支出较多。</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七、改进措施和有关建议</w:t>
      </w:r>
    </w:p>
    <w:p>
      <w:pPr>
        <w:widowControl/>
        <w:shd w:val="clear" w:color="auto" w:fill="FFFFFF"/>
        <w:spacing w:line="600" w:lineRule="atLeast"/>
        <w:ind w:firstLine="640"/>
        <w:rPr>
          <w:rFonts w:hint="default" w:eastAsia="宋体"/>
          <w:lang w:val="en-US" w:eastAsia="zh-CN"/>
        </w:rPr>
      </w:pPr>
      <w:r>
        <w:rPr>
          <w:rFonts w:hint="eastAsia" w:ascii="仿宋" w:hAnsi="仿宋" w:eastAsia="仿宋" w:cs="Times New Roman"/>
          <w:spacing w:val="-2"/>
          <w:sz w:val="32"/>
          <w:szCs w:val="32"/>
          <w:lang w:val="en-US" w:eastAsia="zh-CN"/>
        </w:rPr>
        <w:t>今后根据往年实际制定相关预算并考虑更加全面精准，在执行过程中充分参考预算指标以及勤俭节约的原则，尽量将资金在有限的范围内发挥出最大的作用。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YzExODU4OTI2Y2UxNTIwNmIzZmRiM2M1ZWM4OWIifQ=="/>
    <w:docVar w:name="KSO_WPS_MARK_KEY" w:val="4e0d6676-9ddc-472a-b271-e16188e33262"/>
  </w:docVars>
  <w:rsids>
    <w:rsidRoot w:val="004E0CA8"/>
    <w:rsid w:val="00064FB7"/>
    <w:rsid w:val="00270C89"/>
    <w:rsid w:val="004E0CA8"/>
    <w:rsid w:val="0050478F"/>
    <w:rsid w:val="005F7C14"/>
    <w:rsid w:val="006B2582"/>
    <w:rsid w:val="00737A0F"/>
    <w:rsid w:val="00952DC6"/>
    <w:rsid w:val="00964437"/>
    <w:rsid w:val="00B07202"/>
    <w:rsid w:val="00C95294"/>
    <w:rsid w:val="00DF5667"/>
    <w:rsid w:val="00EB55B9"/>
    <w:rsid w:val="00F43F3F"/>
    <w:rsid w:val="05471A35"/>
    <w:rsid w:val="05B3557C"/>
    <w:rsid w:val="195E3C7D"/>
    <w:rsid w:val="2CAC09AD"/>
    <w:rsid w:val="2EF85371"/>
    <w:rsid w:val="317A69D8"/>
    <w:rsid w:val="4CE03B68"/>
    <w:rsid w:val="53E109F5"/>
    <w:rsid w:val="5BC35437"/>
    <w:rsid w:val="66C850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3524</Words>
  <Characters>3712</Characters>
  <Lines>5</Lines>
  <Paragraphs>1</Paragraphs>
  <TotalTime>6</TotalTime>
  <ScaleCrop>false</ScaleCrop>
  <LinksUpToDate>false</LinksUpToDate>
  <CharactersWithSpaces>3714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2017-04-05T02:31:00Z</dcterms:created>
  <dc:creator>Administrator</dc:creator>
  <cp:lastModifiedBy>九月</cp:lastModifiedBy>
  <cp:lastPrinted>2018-04-17T01:29:00Z</cp:lastPrinted>
  <dcterms:modified xsi:type="dcterms:W3CDTF">2024-09-04T08:02:24Z</dcterms:modified>
  <dc:title>附件8: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0F270127761F4CB5921B9DFC5B7C2189_13</vt:lpwstr>
  </property>
</Properties>
</file>