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eastAsia="方正小标宋_GBK"/>
          <w:sz w:val="36"/>
          <w:szCs w:val="36"/>
        </w:rPr>
      </w:pPr>
      <w:r>
        <w:rPr>
          <w:rFonts w:hint="eastAsia" w:eastAsia="方正小标宋_GBK"/>
          <w:sz w:val="36"/>
          <w:szCs w:val="36"/>
        </w:rPr>
        <w:t>怀化市鹤城区迎丰街道办事处</w:t>
      </w:r>
    </w:p>
    <w:p>
      <w:pPr>
        <w:spacing w:line="600" w:lineRule="exact"/>
        <w:jc w:val="center"/>
        <w:rPr>
          <w:rFonts w:eastAsia="方正小标宋_GBK"/>
          <w:sz w:val="32"/>
          <w:szCs w:val="32"/>
        </w:rPr>
      </w:pPr>
      <w:r>
        <w:rPr>
          <w:rFonts w:eastAsia="方正小标宋_GBK"/>
          <w:sz w:val="36"/>
          <w:szCs w:val="36"/>
        </w:rPr>
        <w:t>部门整体支出绩效评价报告</w:t>
      </w:r>
    </w:p>
    <w:p>
      <w:pPr>
        <w:spacing w:line="600" w:lineRule="exact"/>
        <w:jc w:val="center"/>
        <w:rPr>
          <w:rFonts w:eastAsia="方正小标宋_GBK"/>
          <w:sz w:val="32"/>
          <w:szCs w:val="32"/>
        </w:rPr>
      </w:pPr>
    </w:p>
    <w:p>
      <w:pPr>
        <w:pStyle w:val="13"/>
        <w:widowControl/>
        <w:numPr>
          <w:ilvl w:val="0"/>
          <w:numId w:val="1"/>
        </w:numPr>
        <w:spacing w:line="600" w:lineRule="exact"/>
        <w:ind w:left="640" w:firstLine="0" w:firstLineChars="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部门、单位基本情况</w:t>
      </w:r>
    </w:p>
    <w:p>
      <w:pPr>
        <w:spacing w:line="5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迎丰街道办事处系怀化市的政治中心，共辖迎丰、顺天桥、天生塘、长湾里、板桥铺、太平桥、团结、莲花池、华峰、府前、学林、银湾12个社区，辖区总面积11.75平方公里，总常住人口7.54万人。</w:t>
      </w:r>
    </w:p>
    <w:p>
      <w:pPr>
        <w:ind w:left="420" w:left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1、单位机构设置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迎丰街道办事处下设党政办公室（行政审批服务办公室）、党建办公室、经济发展办公室、社会事务办公室、自然资源各生态环境办公室、社会治安和应急管理中心、社会事务综合服务中心、党务政务服务中心、退役军人服务站。</w:t>
      </w:r>
    </w:p>
    <w:p>
      <w:pPr>
        <w:ind w:left="420" w:left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2、主要工作职能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迎丰街道办事处在区委区政府的正确领导下，负责承办政府各职能部门在本辖区开展的各项行政事业性事务，办理社会经济发展工作，负责落实党中央国务院一系列惠民政策等各事项，负责并积极做好与办事处辖区群众利益相关的社会保障、劳务输出、社会稳定、计划生育、优抚救济，社区自治及其他公益事业性工作。</w:t>
      </w:r>
    </w:p>
    <w:p>
      <w:pPr>
        <w:ind w:left="420" w:left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3、人员编制情况</w:t>
      </w:r>
    </w:p>
    <w:p>
      <w:pPr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现有全职全额编制126人，根据“三定方案”的职数，行政编制19人，机关事业编制21人，机关后勤编制1人，社区事业编制85人，现有行政编制17人，机关后勤编制1人，机关事业编制20人，社区事业编制76人，机关退休干部22人，机关事业退休8人，社区事业退休11人。</w:t>
      </w:r>
    </w:p>
    <w:p>
      <w:pPr>
        <w:pStyle w:val="13"/>
        <w:widowControl/>
        <w:spacing w:line="600" w:lineRule="exact"/>
        <w:ind w:left="640" w:firstLine="0" w:firstLineChars="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二、</w:t>
      </w:r>
      <w:r>
        <w:rPr>
          <w:rFonts w:ascii="Times New Roman" w:hAnsi="Times New Roman" w:eastAsia="黑体"/>
          <w:sz w:val="32"/>
          <w:szCs w:val="32"/>
        </w:rPr>
        <w:t>一般公共预算支出情况</w:t>
      </w:r>
    </w:p>
    <w:p>
      <w:pPr>
        <w:pStyle w:val="13"/>
        <w:widowControl/>
        <w:spacing w:line="600" w:lineRule="exact"/>
        <w:ind w:firstLine="64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（一）</w:t>
      </w:r>
      <w:r>
        <w:rPr>
          <w:rFonts w:ascii="Times New Roman" w:hAnsi="Times New Roman" w:eastAsia="黑体"/>
          <w:sz w:val="32"/>
          <w:szCs w:val="32"/>
        </w:rPr>
        <w:t>基本支出情况</w:t>
      </w:r>
    </w:p>
    <w:p>
      <w:pPr>
        <w:pStyle w:val="13"/>
        <w:widowControl/>
        <w:spacing w:line="600" w:lineRule="exact"/>
        <w:ind w:firstLine="640"/>
        <w:jc w:val="left"/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年度一般公共预算支出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</w:rPr>
        <w:t>2217.29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万元，主要用于以下方面：一般公共服务（类）支出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1433.47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64.64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%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社会保障和就业支出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188.83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8.52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%;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卫生健康支出53.2万元，占2.4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%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城乡社区支出462万元，占20.84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%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住房保障支出79.79万元，占3.6%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pStyle w:val="13"/>
        <w:widowControl/>
        <w:spacing w:line="600" w:lineRule="exact"/>
        <w:ind w:left="640" w:firstLine="0" w:firstLineChars="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（二）</w:t>
      </w:r>
      <w:r>
        <w:rPr>
          <w:rFonts w:ascii="Times New Roman" w:hAnsi="Times New Roman" w:eastAsia="黑体"/>
          <w:sz w:val="32"/>
          <w:szCs w:val="32"/>
        </w:rPr>
        <w:t>项目支出情况</w:t>
      </w:r>
    </w:p>
    <w:p>
      <w:pPr>
        <w:pStyle w:val="13"/>
        <w:widowControl/>
        <w:spacing w:line="600" w:lineRule="exact"/>
        <w:ind w:firstLine="640"/>
        <w:jc w:val="left"/>
        <w:rPr>
          <w:rFonts w:ascii="Times New Roman" w:hAnsi="Times New Roman" w:eastAsia="仿宋_GB2312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年度专项资金安排和使用管理情况如下： 1、人大基层平台建设，年初预算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万元，实际预算安排支付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万元，202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年用于人大基层平台建设；2、法律顾问费，年初预算6万元，实际预算安排支付6万元，202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年用于支付法律顾问费。</w:t>
      </w:r>
    </w:p>
    <w:p>
      <w:pPr>
        <w:pStyle w:val="13"/>
        <w:widowControl/>
        <w:spacing w:line="600" w:lineRule="exact"/>
        <w:ind w:left="640" w:firstLine="0" w:firstLineChars="0"/>
        <w:rPr>
          <w:rFonts w:ascii="Times New Roman" w:hAnsi="Times New Roman" w:eastAsia="黑体"/>
          <w:sz w:val="32"/>
          <w:szCs w:val="32"/>
        </w:rPr>
      </w:pPr>
    </w:p>
    <w:p>
      <w:pPr>
        <w:pStyle w:val="13"/>
        <w:widowControl/>
        <w:spacing w:line="600" w:lineRule="exact"/>
        <w:ind w:left="640" w:firstLine="0" w:firstLineChars="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三、</w:t>
      </w:r>
      <w:r>
        <w:rPr>
          <w:rFonts w:ascii="Times New Roman" w:hAnsi="Times New Roman" w:eastAsia="黑体"/>
          <w:sz w:val="32"/>
          <w:szCs w:val="32"/>
        </w:rPr>
        <w:t>政府性基金预算支出情况</w:t>
      </w:r>
    </w:p>
    <w:p>
      <w:pPr>
        <w:pStyle w:val="13"/>
        <w:widowControl/>
        <w:spacing w:line="600" w:lineRule="exact"/>
        <w:ind w:left="640" w:firstLine="0" w:firstLineChars="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本单位202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年度无政府性基金预算支出。</w:t>
      </w:r>
    </w:p>
    <w:p>
      <w:pPr>
        <w:pStyle w:val="13"/>
        <w:widowControl/>
        <w:numPr>
          <w:ilvl w:val="0"/>
          <w:numId w:val="2"/>
        </w:numPr>
        <w:spacing w:line="600" w:lineRule="exact"/>
        <w:ind w:left="640" w:firstLine="0" w:firstLineChars="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国有资本经营预算支出情况</w:t>
      </w:r>
    </w:p>
    <w:p>
      <w:pPr>
        <w:pStyle w:val="13"/>
        <w:widowControl/>
        <w:spacing w:line="600" w:lineRule="exact"/>
        <w:ind w:left="640" w:firstLine="0" w:firstLineChars="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本单位202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年度无国有资本经营预算支出。</w:t>
      </w:r>
    </w:p>
    <w:p>
      <w:pPr>
        <w:pStyle w:val="13"/>
        <w:widowControl/>
        <w:numPr>
          <w:ilvl w:val="0"/>
          <w:numId w:val="2"/>
        </w:numPr>
        <w:spacing w:line="600" w:lineRule="exact"/>
        <w:ind w:left="640" w:firstLine="0" w:firstLineChars="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社会保险基金预算支出情况</w:t>
      </w:r>
    </w:p>
    <w:p>
      <w:pPr>
        <w:pStyle w:val="13"/>
        <w:widowControl/>
        <w:spacing w:line="600" w:lineRule="exact"/>
        <w:ind w:left="640" w:firstLine="0" w:firstLineChars="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本单位202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年度无社会保障基金预算支出。</w:t>
      </w:r>
    </w:p>
    <w:p>
      <w:pPr>
        <w:widowControl/>
        <w:numPr>
          <w:ilvl w:val="0"/>
          <w:numId w:val="2"/>
        </w:numPr>
        <w:spacing w:line="600" w:lineRule="exact"/>
        <w:ind w:left="64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部门整体支出绩效情况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000000" w:themeColor="text1"/>
          <w:sz w:val="32"/>
          <w:szCs w:val="32"/>
        </w:rPr>
      </w:pPr>
      <w:r>
        <w:rPr>
          <w:rFonts w:hint="eastAsia" w:eastAsia="仿宋_GB2312"/>
          <w:color w:val="000000" w:themeColor="text1"/>
          <w:sz w:val="32"/>
          <w:szCs w:val="32"/>
        </w:rPr>
        <w:t>本单位202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</w:rPr>
        <w:t>2</w:t>
      </w:r>
      <w:r>
        <w:rPr>
          <w:rFonts w:hint="eastAsia" w:eastAsia="仿宋_GB2312"/>
          <w:color w:val="000000" w:themeColor="text1"/>
          <w:sz w:val="32"/>
          <w:szCs w:val="32"/>
        </w:rPr>
        <w:t>年无国有资本经营预算支出、社会保险基金预算支出。部门整体支出充分利用一般公共预算支出，较好的完成了全年绩效工作目标，取得了如下成效：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2022年度共申报6项绩效考核特色工作指标，均较好完成。高标准建设街道政协委员工作室，荣获第二批湖南省示范性政协委员工作室。加快推进老旧小区环境综合整治，完成教育局家属区、原财校家属区等11个小区改造，有效改善老旧小区居民的生活环境。全力推进民族团结创建工作，莲花池社区创建民族团结示范单位，街道成功申创怀化市民族团结进步示范街道。板桥铺社区创建双拥示范性社区、“清廉建设”示范性社区，高标准完成阵地建设、高质量开展日常工作。坚持党建引领社会治理创新，全面落实城市党建系统建设、整体建设重点任务，高标准建成宝圆财富广场及湘建雅苑小区党建示范样板，强化社区物业党建联建。</w:t>
      </w:r>
    </w:p>
    <w:p>
      <w:pPr>
        <w:pStyle w:val="13"/>
        <w:widowControl/>
        <w:spacing w:line="600" w:lineRule="exact"/>
        <w:ind w:left="640" w:firstLine="0" w:firstLineChars="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七、</w:t>
      </w:r>
      <w:r>
        <w:rPr>
          <w:rFonts w:ascii="Times New Roman" w:hAnsi="Times New Roman" w:eastAsia="黑体"/>
          <w:sz w:val="32"/>
          <w:szCs w:val="32"/>
        </w:rPr>
        <w:t>存在的问题及原因分析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主要存在的问题在于预算执行有偏差，形成的原因为突发状况导致的支出与预算有偏差，例如行政村申请资金维修道路。</w:t>
      </w:r>
    </w:p>
    <w:p>
      <w:pPr>
        <w:widowControl/>
        <w:spacing w:line="600" w:lineRule="exact"/>
        <w:ind w:left="64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八、</w:t>
      </w:r>
      <w:r>
        <w:rPr>
          <w:rFonts w:eastAsia="黑体"/>
          <w:sz w:val="32"/>
          <w:szCs w:val="32"/>
        </w:rPr>
        <w:t>下一步改进措施</w:t>
      </w:r>
    </w:p>
    <w:p>
      <w:pPr>
        <w:widowControl/>
        <w:spacing w:line="600" w:lineRule="exact"/>
        <w:ind w:firstLine="645"/>
        <w:jc w:val="left"/>
      </w:pPr>
      <w:r>
        <w:rPr>
          <w:rFonts w:hint="eastAsia" w:eastAsia="仿宋_GB2312"/>
          <w:color w:val="000000"/>
          <w:sz w:val="32"/>
          <w:szCs w:val="32"/>
        </w:rPr>
        <w:t>科学合理编制预算，严格执行预算。按照《预算法》及其实施条例的相关规定，按本部门的发展规划，结合上一年度预算执行情况和本年度预算收支变化因素，科学合理的编制本年度预算方案，避免预算支出与实际执行出现较大偏差情况。</w:t>
      </w:r>
    </w:p>
    <w:p>
      <w:pPr>
        <w:widowControl/>
        <w:spacing w:line="600" w:lineRule="exact"/>
        <w:ind w:firstLine="645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九、其他需要说明的情况</w:t>
      </w:r>
    </w:p>
    <w:p>
      <w:pPr>
        <w:widowControl/>
        <w:spacing w:line="600" w:lineRule="exact"/>
        <w:ind w:firstLine="645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无</w:t>
      </w:r>
    </w:p>
    <w:p>
      <w:pPr>
        <w:pStyle w:val="4"/>
        <w:ind w:firstLine="640"/>
        <w:rPr>
          <w:rFonts w:eastAsia="仿宋_GB2312"/>
          <w:sz w:val="32"/>
          <w:szCs w:val="32"/>
        </w:rPr>
      </w:pPr>
    </w:p>
    <w:p>
      <w:pPr>
        <w:pStyle w:val="4"/>
        <w:ind w:firstLine="3520" w:firstLineChars="11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怀化市鹤城区迎丰街道办事处</w:t>
      </w:r>
    </w:p>
    <w:p>
      <w:pPr>
        <w:pStyle w:val="4"/>
        <w:ind w:firstLine="4480" w:firstLineChars="1400"/>
        <w:rPr>
          <w:rFonts w:eastAsia="黑体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202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eastAsia="仿宋_GB2312"/>
          <w:color w:val="000000"/>
          <w:sz w:val="32"/>
          <w:szCs w:val="32"/>
        </w:rPr>
        <w:t>年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eastAsia="仿宋_GB2312"/>
          <w:color w:val="000000"/>
          <w:sz w:val="32"/>
          <w:szCs w:val="32"/>
        </w:rPr>
        <w:t>月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14</w:t>
      </w:r>
      <w:r>
        <w:rPr>
          <w:rFonts w:hint="eastAsia" w:eastAsia="仿宋_GB2312"/>
          <w:color w:val="000000"/>
          <w:sz w:val="32"/>
          <w:szCs w:val="32"/>
        </w:rPr>
        <w:t>日</w:t>
      </w:r>
    </w:p>
    <w:p>
      <w:pPr>
        <w:spacing w:line="600" w:lineRule="exact"/>
        <w:rPr>
          <w:rFonts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D1D74E"/>
    <w:multiLevelType w:val="singleLevel"/>
    <w:tmpl w:val="C2D1D74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4EA41EA"/>
    <w:multiLevelType w:val="singleLevel"/>
    <w:tmpl w:val="54EA41E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RkMWI4MmVlZjExMDk1MWIzZjVmOWM4M2E4ZTU5NzUifQ=="/>
  </w:docVars>
  <w:rsids>
    <w:rsidRoot w:val="002C300E"/>
    <w:rsid w:val="001776B2"/>
    <w:rsid w:val="001E7F18"/>
    <w:rsid w:val="002C300E"/>
    <w:rsid w:val="00476D28"/>
    <w:rsid w:val="00484210"/>
    <w:rsid w:val="00497FD8"/>
    <w:rsid w:val="005133C9"/>
    <w:rsid w:val="00836D68"/>
    <w:rsid w:val="008C2AE1"/>
    <w:rsid w:val="00943951"/>
    <w:rsid w:val="009F35CA"/>
    <w:rsid w:val="00BB04E0"/>
    <w:rsid w:val="00BE3946"/>
    <w:rsid w:val="00C2228B"/>
    <w:rsid w:val="00DA28F7"/>
    <w:rsid w:val="00E9719C"/>
    <w:rsid w:val="00EE2F90"/>
    <w:rsid w:val="00F76ABF"/>
    <w:rsid w:val="00FA4E6F"/>
    <w:rsid w:val="04B0041C"/>
    <w:rsid w:val="09A83EB1"/>
    <w:rsid w:val="232B2B0F"/>
    <w:rsid w:val="3C5A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3"/>
    <w:qFormat/>
    <w:uiPriority w:val="99"/>
    <w:pPr>
      <w:adjustRightInd w:val="0"/>
      <w:snapToGrid w:val="0"/>
      <w:spacing w:line="760" w:lineRule="exact"/>
      <w:jc w:val="center"/>
      <w:outlineLvl w:val="0"/>
    </w:pPr>
    <w:rPr>
      <w:rFonts w:ascii="Times New Roman" w:hAnsi="Times New Roman" w:eastAsia="方正小标宋简体"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 Indent"/>
    <w:basedOn w:val="1"/>
    <w:link w:val="14"/>
    <w:semiHidden/>
    <w:unhideWhenUsed/>
    <w:qFormat/>
    <w:uiPriority w:val="99"/>
    <w:pPr>
      <w:spacing w:after="120"/>
      <w:ind w:left="420" w:leftChars="200"/>
    </w:pPr>
  </w:style>
  <w:style w:type="paragraph" w:styleId="6">
    <w:name w:val="footer"/>
    <w:basedOn w:val="1"/>
    <w:link w:val="1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First Indent 2"/>
    <w:basedOn w:val="5"/>
    <w:link w:val="15"/>
    <w:semiHidden/>
    <w:unhideWhenUsed/>
    <w:qFormat/>
    <w:uiPriority w:val="99"/>
    <w:pPr>
      <w:ind w:firstLine="420" w:firstLineChars="200"/>
    </w:p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Emphasis"/>
    <w:basedOn w:val="10"/>
    <w:qFormat/>
    <w:uiPriority w:val="0"/>
    <w:rPr>
      <w:i/>
    </w:rPr>
  </w:style>
  <w:style w:type="paragraph" w:styleId="13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14">
    <w:name w:val="正文文本缩进 Char"/>
    <w:basedOn w:val="10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正文首行缩进 2 Char"/>
    <w:basedOn w:val="14"/>
    <w:link w:val="8"/>
    <w:semiHidden/>
    <w:qFormat/>
    <w:uiPriority w:val="99"/>
  </w:style>
  <w:style w:type="character" w:customStyle="1" w:styleId="16">
    <w:name w:val="页眉 Char"/>
    <w:basedOn w:val="10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脚 Char"/>
    <w:basedOn w:val="10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1404</Words>
  <Characters>1519</Characters>
  <Lines>25</Lines>
  <Paragraphs>7</Paragraphs>
  <TotalTime>11</TotalTime>
  <ScaleCrop>false</ScaleCrop>
  <LinksUpToDate>false</LinksUpToDate>
  <CharactersWithSpaces>1520</CharactersWithSpaces>
  <Application>WPS Office_12.1.0.15673_F1E327BC-269C-435d-A152-05C5408002CA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2022-05-16T03:03:00Z</dcterms:created>
  <dc:creator>Administrator</dc:creator>
  <cp:lastModifiedBy>YFS</cp:lastModifiedBy>
  <dcterms:modified xsi:type="dcterms:W3CDTF">2023-09-20T08:05:14Z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D130069FFA1845FA8DE09921D778F2DD_12</vt:lpwstr>
  </property>
</Properties>
</file>