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atLeast"/>
        <w:rPr>
          <w:rFonts w:hint="eastAsia" w:eastAsia="仿宋_GB2312"/>
          <w:spacing w:val="-2"/>
          <w:sz w:val="28"/>
          <w:szCs w:val="28"/>
          <w:lang w:val="en-US" w:eastAsia="zh-CN"/>
        </w:rPr>
      </w:pPr>
      <w:r>
        <w:rPr>
          <w:rFonts w:hint="eastAsia" w:eastAsia="仿宋_GB2312"/>
          <w:b/>
          <w:spacing w:val="-2"/>
          <w:sz w:val="32"/>
          <w:szCs w:val="44"/>
        </w:rPr>
        <w:t xml:space="preserve"> </w:t>
      </w:r>
    </w:p>
    <w:p>
      <w:pPr>
        <w:rPr>
          <w:rFonts w:ascii="Times New Roman" w:hAnsi="Times New Roman" w:eastAsia="黑体" w:cs="Times New Roman"/>
          <w:sz w:val="32"/>
          <w:szCs w:val="32"/>
        </w:rPr>
      </w:pPr>
      <w:r>
        <w:rPr>
          <w:rFonts w:hint="eastAsia" w:eastAsia="仿宋_GB2312"/>
          <w:b/>
          <w:spacing w:val="-2"/>
          <w:sz w:val="32"/>
          <w:szCs w:val="44"/>
        </w:rPr>
        <w:t xml:space="preserve">  </w:t>
      </w:r>
      <w:r>
        <w:rPr>
          <w:rFonts w:ascii="Times New Roman" w:hAnsi="Times New Roman" w:eastAsia="黑体" w:cs="Times New Roman"/>
          <w:sz w:val="32"/>
          <w:szCs w:val="32"/>
        </w:rPr>
        <w:t>附件4</w:t>
      </w:r>
    </w:p>
    <w:p>
      <w:pPr>
        <w:spacing w:line="600" w:lineRule="exact"/>
        <w:rPr>
          <w:rFonts w:ascii="Times New Roman" w:hAnsi="Times New Roman" w:eastAsia="黑体" w:cs="Times New Roman"/>
          <w:sz w:val="32"/>
          <w:szCs w:val="32"/>
        </w:rPr>
      </w:pPr>
    </w:p>
    <w:p>
      <w:pPr>
        <w:spacing w:line="600" w:lineRule="exact"/>
        <w:rPr>
          <w:rFonts w:ascii="Times New Roman" w:hAnsi="Times New Roman" w:eastAsia="黑体" w:cs="Times New Roman"/>
          <w:sz w:val="32"/>
          <w:szCs w:val="32"/>
        </w:rPr>
      </w:pPr>
    </w:p>
    <w:p>
      <w:pPr>
        <w:spacing w:line="600" w:lineRule="exact"/>
        <w:rPr>
          <w:rFonts w:ascii="Times New Roman" w:hAnsi="Times New Roman" w:eastAsia="黑体" w:cs="Times New Roman"/>
          <w:sz w:val="32"/>
          <w:szCs w:val="32"/>
        </w:rPr>
      </w:pPr>
    </w:p>
    <w:p>
      <w:pPr>
        <w:spacing w:line="600" w:lineRule="exact"/>
        <w:rPr>
          <w:rFonts w:ascii="Times New Roman" w:hAnsi="Times New Roman" w:eastAsia="黑体" w:cs="Times New Roman"/>
          <w:sz w:val="32"/>
          <w:szCs w:val="32"/>
        </w:rPr>
      </w:pPr>
    </w:p>
    <w:p>
      <w:pPr>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202</w:t>
      </w:r>
      <w:r>
        <w:rPr>
          <w:rFonts w:hint="eastAsia" w:eastAsia="方正小标宋_GBK" w:cs="Times New Roman"/>
          <w:sz w:val="52"/>
          <w:szCs w:val="52"/>
          <w:lang w:val="en-US" w:eastAsia="zh-CN"/>
        </w:rPr>
        <w:t>2</w:t>
      </w:r>
      <w:r>
        <w:rPr>
          <w:rFonts w:ascii="Times New Roman" w:hAnsi="Times New Roman" w:eastAsia="方正小标宋_GBK" w:cs="Times New Roman"/>
          <w:sz w:val="52"/>
          <w:szCs w:val="52"/>
        </w:rPr>
        <w:t>年</w:t>
      </w:r>
      <w:r>
        <w:rPr>
          <w:rFonts w:hint="eastAsia" w:eastAsia="方正小标宋_GBK" w:cs="Times New Roman"/>
          <w:sz w:val="52"/>
          <w:szCs w:val="52"/>
          <w:lang w:eastAsia="zh-CN"/>
        </w:rPr>
        <w:t>度</w:t>
      </w:r>
      <w:bookmarkStart w:id="0" w:name="_GoBack"/>
      <w:bookmarkEnd w:id="0"/>
      <w:r>
        <w:rPr>
          <w:rFonts w:hint="eastAsia" w:ascii="Times New Roman" w:hAnsi="Times New Roman" w:eastAsia="方正小标宋_GBK" w:cs="Times New Roman"/>
          <w:sz w:val="52"/>
          <w:szCs w:val="52"/>
          <w:lang w:eastAsia="zh-CN"/>
        </w:rPr>
        <w:t>鹤城区商务局</w:t>
      </w:r>
      <w:r>
        <w:rPr>
          <w:rFonts w:ascii="Times New Roman" w:hAnsi="Times New Roman" w:eastAsia="方正小标宋_GBK" w:cs="Times New Roman"/>
          <w:sz w:val="52"/>
          <w:szCs w:val="52"/>
        </w:rPr>
        <w:t>整体支出绩效自评报告</w:t>
      </w:r>
    </w:p>
    <w:p>
      <w:pPr>
        <w:jc w:val="both"/>
        <w:rPr>
          <w:rFonts w:ascii="Times New Roman" w:hAnsi="Times New Roman" w:eastAsia="楷体_GB2312" w:cs="Times New Roman"/>
          <w:b/>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both"/>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spacing w:line="600" w:lineRule="exact"/>
        <w:ind w:firstLine="1920" w:firstLineChars="6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单位名称：</w:t>
      </w:r>
      <w:r>
        <w:rPr>
          <w:rFonts w:hint="eastAsia" w:eastAsia="仿宋_GB2312" w:cs="Times New Roman"/>
          <w:sz w:val="32"/>
          <w:szCs w:val="32"/>
          <w:u w:val="single"/>
          <w:lang w:eastAsia="zh-CN"/>
        </w:rPr>
        <w:t>怀化市鹤城区商务局</w:t>
      </w:r>
    </w:p>
    <w:p>
      <w:pPr>
        <w:spacing w:line="600" w:lineRule="exact"/>
        <w:jc w:val="center"/>
        <w:rPr>
          <w:rFonts w:ascii="Times New Roman" w:hAnsi="Times New Roman" w:eastAsia="楷体_GB2312" w:cs="Times New Roman"/>
          <w:sz w:val="32"/>
          <w:szCs w:val="32"/>
        </w:rPr>
      </w:pPr>
      <w:r>
        <w:rPr>
          <w:rFonts w:hint="eastAsia" w:eastAsia="楷体_GB2312" w:cs="Times New Roman"/>
          <w:sz w:val="32"/>
          <w:szCs w:val="32"/>
          <w:lang w:val="en-US" w:eastAsia="zh-CN"/>
        </w:rPr>
        <w:t>2023</w:t>
      </w:r>
      <w:r>
        <w:rPr>
          <w:rFonts w:ascii="Times New Roman" w:hAnsi="Times New Roman" w:eastAsia="楷体_GB2312" w:cs="Times New Roman"/>
          <w:sz w:val="32"/>
          <w:szCs w:val="32"/>
        </w:rPr>
        <w:t>年</w:t>
      </w:r>
      <w:r>
        <w:rPr>
          <w:rFonts w:hint="eastAsia" w:eastAsia="楷体_GB2312" w:cs="Times New Roman"/>
          <w:sz w:val="32"/>
          <w:szCs w:val="32"/>
          <w:lang w:val="en-US" w:eastAsia="zh-CN"/>
        </w:rPr>
        <w:t>9</w:t>
      </w:r>
      <w:r>
        <w:rPr>
          <w:rFonts w:ascii="Times New Roman" w:hAnsi="Times New Roman" w:eastAsia="楷体_GB2312" w:cs="Times New Roman"/>
          <w:sz w:val="32"/>
          <w:szCs w:val="32"/>
        </w:rPr>
        <w:t>月</w:t>
      </w:r>
      <w:r>
        <w:rPr>
          <w:rFonts w:hint="eastAsia" w:eastAsia="楷体_GB2312" w:cs="Times New Roman"/>
          <w:sz w:val="32"/>
          <w:szCs w:val="32"/>
          <w:lang w:val="en-US" w:eastAsia="zh-CN"/>
        </w:rPr>
        <w:t>18</w:t>
      </w:r>
      <w:r>
        <w:rPr>
          <w:rFonts w:ascii="Times New Roman" w:hAnsi="Times New Roman" w:eastAsia="楷体_GB2312" w:cs="Times New Roman"/>
          <w:sz w:val="32"/>
          <w:szCs w:val="32"/>
        </w:rPr>
        <w:t>日</w:t>
      </w:r>
    </w:p>
    <w:p>
      <w:pPr>
        <w:jc w:val="center"/>
        <w:rPr>
          <w:rFonts w:ascii="Times New Roman" w:hAnsi="Times New Roman" w:eastAsia="黑体" w:cs="Times New Roman"/>
          <w:sz w:val="32"/>
          <w:szCs w:val="32"/>
        </w:rPr>
      </w:pPr>
    </w:p>
    <w:p>
      <w:pPr>
        <w:widowControl/>
        <w:shd w:val="clear" w:color="auto" w:fill="FFFFFF"/>
        <w:spacing w:line="600" w:lineRule="atLeast"/>
        <w:rPr>
          <w:rFonts w:hint="eastAsia" w:eastAsia="仿宋_GB2312"/>
          <w:b/>
          <w:spacing w:val="-2"/>
          <w:sz w:val="32"/>
          <w:szCs w:val="44"/>
        </w:rPr>
      </w:pPr>
      <w:r>
        <w:rPr>
          <w:rFonts w:ascii="Times New Roman" w:hAnsi="Times New Roman" w:eastAsia="仿宋_GB2312" w:cs="Times New Roman"/>
          <w:sz w:val="32"/>
          <w:szCs w:val="32"/>
        </w:rPr>
        <w:br w:type="page"/>
      </w:r>
    </w:p>
    <w:p>
      <w:pPr>
        <w:widowControl/>
        <w:shd w:val="clear" w:color="auto" w:fill="FFFFFF"/>
        <w:spacing w:line="600" w:lineRule="atLeast"/>
        <w:ind w:firstLine="1970" w:firstLineChars="450"/>
        <w:rPr>
          <w:rFonts w:hint="eastAsia" w:ascii="黑体" w:hAnsi="黑体" w:eastAsia="黑体" w:cs="黑体"/>
          <w:b/>
          <w:spacing w:val="-2"/>
          <w:sz w:val="44"/>
          <w:szCs w:val="44"/>
        </w:rPr>
      </w:pPr>
    </w:p>
    <w:p>
      <w:pPr>
        <w:widowControl/>
        <w:shd w:val="clear" w:color="auto" w:fill="FFFFFF"/>
        <w:spacing w:line="600" w:lineRule="atLeast"/>
        <w:ind w:firstLine="1970" w:firstLineChars="450"/>
        <w:rPr>
          <w:rFonts w:hint="eastAsia" w:ascii="黑体" w:hAnsi="黑体" w:eastAsia="黑体" w:cs="黑体"/>
          <w:b/>
          <w:spacing w:val="-2"/>
          <w:sz w:val="44"/>
          <w:szCs w:val="44"/>
        </w:rPr>
      </w:pPr>
      <w:r>
        <w:rPr>
          <w:rFonts w:hint="eastAsia" w:ascii="黑体" w:hAnsi="黑体" w:eastAsia="黑体" w:cs="黑体"/>
          <w:b/>
          <w:spacing w:val="-2"/>
          <w:sz w:val="44"/>
          <w:szCs w:val="44"/>
        </w:rPr>
        <w:t>部门整体支出绩效评价报告</w:t>
      </w:r>
    </w:p>
    <w:p>
      <w:pPr>
        <w:widowControl/>
        <w:shd w:val="clear" w:color="auto" w:fill="FFFFFF"/>
        <w:spacing w:line="600" w:lineRule="atLeast"/>
        <w:ind w:firstLine="640"/>
        <w:rPr>
          <w:rFonts w:ascii="楷体" w:hAnsi="楷体" w:eastAsia="楷体"/>
          <w:b/>
          <w:spacing w:val="-2"/>
          <w:sz w:val="32"/>
          <w:szCs w:val="32"/>
        </w:rPr>
      </w:pP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（一）部门基本情况（包括部门的在职人员情况、机构设置、主要职能及重点工作计划等）。</w:t>
      </w:r>
    </w:p>
    <w:p>
      <w:pPr>
        <w:keepNext w:val="0"/>
        <w:keepLines w:val="0"/>
        <w:pageBreakBefore w:val="0"/>
        <w:widowControl/>
        <w:shd w:val="clear" w:color="auto" w:fill="FFFFFF"/>
        <w:kinsoku/>
        <w:wordWrap/>
        <w:overflowPunct/>
        <w:topLinePunct w:val="0"/>
        <w:autoSpaceDN/>
        <w:bidi w:val="0"/>
        <w:adjustRightInd/>
        <w:snapToGrid/>
        <w:spacing w:line="600" w:lineRule="exact"/>
        <w:ind w:left="0" w:leftChars="0" w:firstLine="640" w:firstLineChars="200"/>
        <w:rPr>
          <w:rFonts w:hint="eastAsia" w:ascii="仿宋" w:hAnsi="仿宋" w:eastAsia="仿宋" w:cs="仿宋"/>
          <w:sz w:val="32"/>
          <w:szCs w:val="32"/>
          <w:highlight w:val="none"/>
          <w:lang w:eastAsia="zh-CN"/>
        </w:rPr>
      </w:pPr>
      <w:r>
        <w:rPr>
          <w:rFonts w:hint="eastAsia" w:ascii="仿宋" w:hAnsi="仿宋" w:eastAsia="仿宋" w:cs="仿宋"/>
          <w:snapToGrid w:val="0"/>
          <w:sz w:val="32"/>
          <w:szCs w:val="32"/>
          <w:highlight w:val="none"/>
        </w:rPr>
        <w:t>怀化市鹤城区商务局是区政府工作部门，为正科级。贯彻落实党中央、省委、市委、关于商务工作的方针政策和决策部署，全面落实省委、市委、区委关于商务工作的部署要求，在履行职责过程中坚持和加强党对商务工作的集中统一领导，主要职责是：</w:t>
      </w:r>
      <w:r>
        <w:rPr>
          <w:rFonts w:hint="eastAsia" w:ascii="仿宋" w:hAnsi="仿宋" w:eastAsia="仿宋" w:cs="仿宋"/>
          <w:sz w:val="32"/>
          <w:szCs w:val="32"/>
          <w:highlight w:val="none"/>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工作。</w:t>
      </w:r>
      <w:r>
        <w:rPr>
          <w:rFonts w:hint="eastAsia" w:ascii="仿宋" w:hAnsi="仿宋" w:eastAsia="仿宋" w:cs="仿宋"/>
          <w:bCs/>
          <w:kern w:val="0"/>
          <w:sz w:val="32"/>
          <w:szCs w:val="32"/>
          <w:highlight w:val="none"/>
        </w:rPr>
        <w:t>区商务局内设机构包括：</w:t>
      </w:r>
      <w:r>
        <w:rPr>
          <w:rFonts w:hint="eastAsia" w:ascii="仿宋" w:hAnsi="仿宋" w:eastAsia="仿宋" w:cs="仿宋"/>
          <w:bCs/>
          <w:kern w:val="0"/>
          <w:sz w:val="32"/>
          <w:szCs w:val="32"/>
          <w:highlight w:val="none"/>
          <w:lang w:val="en-US" w:eastAsia="zh-CN"/>
        </w:rPr>
        <w:t>8</w:t>
      </w:r>
      <w:r>
        <w:rPr>
          <w:rFonts w:hint="eastAsia" w:ascii="仿宋" w:hAnsi="仿宋" w:eastAsia="仿宋" w:cs="仿宋"/>
          <w:sz w:val="32"/>
          <w:szCs w:val="32"/>
          <w:highlight w:val="none"/>
        </w:rPr>
        <w:t>个职能股室：办公室（人事股）、财务股、政策法规和市场秩序股（行政审批股）、市场运行和商贸服务业股、市场体系建设股、流通业发展股（电子商务局股）、对外贸易和对外经济合作股、招商联络和投资促进股。单位编制人数27人，2022年年末总人数为52人，其中在职人员29人，离退休人员23人（其中：离休1人，提前退休3人，正式退休19人）。</w:t>
      </w:r>
    </w:p>
    <w:p>
      <w:pPr>
        <w:pStyle w:val="10"/>
        <w:keepNext w:val="0"/>
        <w:keepLines w:val="0"/>
        <w:pageBreakBefore w:val="0"/>
        <w:kinsoku/>
        <w:wordWrap/>
        <w:overflowPunct/>
        <w:topLinePunct w:val="0"/>
        <w:autoSpaceDN/>
        <w:bidi w:val="0"/>
        <w:spacing w:beforeAutospacing="0" w:afterAutospacing="0" w:line="578" w:lineRule="exact"/>
        <w:ind w:firstLine="707" w:firstLineChars="221"/>
        <w:textAlignment w:val="auto"/>
        <w:rPr>
          <w:rFonts w:hint="eastAsia" w:ascii="仿宋" w:hAnsi="仿宋" w:eastAsia="仿宋" w:cs="仿宋"/>
          <w:color w:val="000000"/>
          <w:sz w:val="32"/>
          <w:szCs w:val="32"/>
          <w:highlight w:val="none"/>
          <w:lang w:eastAsia="zh-CN"/>
        </w:rPr>
      </w:pPr>
    </w:p>
    <w:p>
      <w:pPr>
        <w:pStyle w:val="10"/>
        <w:keepNext w:val="0"/>
        <w:keepLines w:val="0"/>
        <w:pageBreakBefore w:val="0"/>
        <w:kinsoku/>
        <w:wordWrap/>
        <w:overflowPunct/>
        <w:topLinePunct w:val="0"/>
        <w:autoSpaceDN/>
        <w:bidi w:val="0"/>
        <w:spacing w:beforeAutospacing="0" w:afterAutospacing="0" w:line="578" w:lineRule="exact"/>
        <w:ind w:firstLine="707" w:firstLineChars="221"/>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lang w:eastAsia="zh-CN"/>
        </w:rPr>
        <w:t>重点</w:t>
      </w:r>
      <w:r>
        <w:rPr>
          <w:rFonts w:hint="eastAsia" w:ascii="仿宋" w:hAnsi="仿宋" w:eastAsia="仿宋" w:cs="仿宋"/>
          <w:color w:val="000000"/>
          <w:sz w:val="32"/>
          <w:szCs w:val="32"/>
          <w:highlight w:val="none"/>
        </w:rPr>
        <w:t>工作计划</w:t>
      </w:r>
    </w:p>
    <w:p>
      <w:pPr>
        <w:keepNext w:val="0"/>
        <w:keepLines w:val="0"/>
        <w:pageBreakBefore w:val="0"/>
        <w:kinsoku/>
        <w:wordWrap/>
        <w:overflowPunct/>
        <w:topLinePunct w:val="0"/>
        <w:autoSpaceDN/>
        <w:bidi w:val="0"/>
        <w:spacing w:beforeAutospacing="0" w:after="0" w:afterAutospacing="0" w:line="578" w:lineRule="exact"/>
        <w:ind w:firstLine="643" w:firstLineChars="200"/>
        <w:textAlignment w:val="auto"/>
        <w:rPr>
          <w:rFonts w:hint="eastAsia" w:ascii="仿宋" w:hAnsi="仿宋" w:eastAsia="仿宋" w:cs="仿宋"/>
          <w:sz w:val="32"/>
          <w:szCs w:val="32"/>
          <w:highlight w:val="none"/>
        </w:rPr>
      </w:pPr>
      <w:r>
        <w:rPr>
          <w:rFonts w:hint="eastAsia" w:ascii="仿宋" w:hAnsi="仿宋" w:eastAsia="仿宋" w:cs="仿宋"/>
          <w:b/>
          <w:sz w:val="32"/>
          <w:szCs w:val="32"/>
          <w:highlight w:val="none"/>
        </w:rPr>
        <w:t>1.深化“助企纾困”鼓励促销。</w:t>
      </w:r>
      <w:r>
        <w:rPr>
          <w:rFonts w:hint="eastAsia" w:ascii="仿宋" w:hAnsi="仿宋" w:eastAsia="仿宋" w:cs="仿宋"/>
          <w:sz w:val="32"/>
          <w:szCs w:val="32"/>
          <w:highlight w:val="none"/>
        </w:rPr>
        <w:t>全面了解商贸企业经营情况，加大惠企政策宣传，切实帮助企业度过难关。一方面，重点开展“清凉一夏·嗨购怀化”、“味道湖南”、“一业一展”、“乐享消费、湘当韵味”、“千村万礼”等会展节庆活动，努力拉长消费链条；另一方面，瞄准中央、省、市稳住经济的一揽子政策措施，指导和帮助企业包装、申报项目及资金支持（如，惠农升级5A级企业，优果、天福、黄岩等县域体系建设项目），优化投资拉动、项目支撑、奖补带动的服务新机制，力争实现既定目标。</w:t>
      </w:r>
    </w:p>
    <w:p>
      <w:pPr>
        <w:keepNext w:val="0"/>
        <w:keepLines w:val="0"/>
        <w:pageBreakBefore w:val="0"/>
        <w:kinsoku/>
        <w:wordWrap/>
        <w:overflowPunct/>
        <w:topLinePunct w:val="0"/>
        <w:autoSpaceDN/>
        <w:bidi w:val="0"/>
        <w:spacing w:beforeAutospacing="0" w:after="0" w:afterAutospacing="0" w:line="578" w:lineRule="exact"/>
        <w:ind w:firstLine="643" w:firstLineChars="200"/>
        <w:textAlignment w:val="auto"/>
        <w:rPr>
          <w:rFonts w:hint="eastAsia" w:ascii="仿宋" w:hAnsi="仿宋" w:eastAsia="仿宋" w:cs="仿宋"/>
          <w:sz w:val="32"/>
          <w:szCs w:val="32"/>
          <w:highlight w:val="none"/>
        </w:rPr>
      </w:pPr>
      <w:r>
        <w:rPr>
          <w:rFonts w:hint="eastAsia" w:ascii="仿宋" w:hAnsi="仿宋" w:eastAsia="仿宋" w:cs="仿宋"/>
          <w:b/>
          <w:sz w:val="32"/>
          <w:szCs w:val="32"/>
          <w:highlight w:val="none"/>
        </w:rPr>
        <w:t>2.加速推进“小升规”企业培育。</w:t>
      </w:r>
      <w:r>
        <w:rPr>
          <w:rFonts w:hint="eastAsia" w:ascii="仿宋" w:hAnsi="仿宋" w:eastAsia="仿宋" w:cs="仿宋"/>
          <w:sz w:val="32"/>
          <w:szCs w:val="32"/>
          <w:highlight w:val="none"/>
        </w:rPr>
        <w:t>一方面，全面贯彻落实市场主体“五大行动”，重点开展和完成城区市场主体调查摸底，择优确定“四上企业”重点对象（如，佳惠物流园年销售1000吨以上个体户），深入推进“金种子”企业培育，进一步壮大分行业、分园区、分对象和分步骤的梯级“四上企业”队伍，为明年“四上企业”入统奠定坚实基础。另一方面，持续关注已完成走访调研的企业发展动态，对于达到入统标准的企业，及时与区统计局衔接收取资料，办理入统。进一步联合区市场监管局、区税务局和区统计局等部门加大佳惠物流园、</w:t>
      </w:r>
      <w:r>
        <w:rPr>
          <w:rFonts w:hint="eastAsia" w:ascii="仿宋" w:hAnsi="仿宋" w:eastAsia="仿宋" w:cs="仿宋"/>
          <w:sz w:val="32"/>
          <w:szCs w:val="32"/>
          <w:highlight w:val="none"/>
          <w:lang w:eastAsia="zh-CN"/>
        </w:rPr>
        <w:t>专业</w:t>
      </w:r>
      <w:r>
        <w:rPr>
          <w:rFonts w:hint="eastAsia" w:ascii="仿宋" w:hAnsi="仿宋" w:eastAsia="仿宋" w:cs="仿宋"/>
          <w:sz w:val="32"/>
          <w:szCs w:val="32"/>
          <w:highlight w:val="none"/>
        </w:rPr>
        <w:t>市场、综合体入驻企业</w:t>
      </w:r>
      <w:r>
        <w:rPr>
          <w:rFonts w:hint="eastAsia" w:ascii="仿宋" w:hAnsi="仿宋" w:eastAsia="仿宋" w:cs="仿宋"/>
          <w:sz w:val="32"/>
          <w:szCs w:val="32"/>
          <w:highlight w:val="none"/>
          <w:lang w:eastAsia="zh-CN"/>
        </w:rPr>
        <w:t>，保供等疫情伴生的企业</w:t>
      </w:r>
      <w:r>
        <w:rPr>
          <w:rFonts w:hint="eastAsia" w:ascii="仿宋" w:hAnsi="仿宋" w:eastAsia="仿宋" w:cs="仿宋"/>
          <w:sz w:val="32"/>
          <w:szCs w:val="32"/>
          <w:highlight w:val="none"/>
        </w:rPr>
        <w:t>摸排，完善企业培育库。</w:t>
      </w:r>
    </w:p>
    <w:p>
      <w:pPr>
        <w:pStyle w:val="10"/>
        <w:keepNext w:val="0"/>
        <w:keepLines w:val="0"/>
        <w:pageBreakBefore w:val="0"/>
        <w:kinsoku/>
        <w:wordWrap/>
        <w:overflowPunct/>
        <w:topLinePunct w:val="0"/>
        <w:autoSpaceDN/>
        <w:bidi w:val="0"/>
        <w:spacing w:beforeAutospacing="0" w:afterAutospacing="0" w:line="578" w:lineRule="exact"/>
        <w:ind w:firstLine="710" w:firstLineChars="221"/>
        <w:textAlignment w:val="auto"/>
        <w:rPr>
          <w:rFonts w:hint="eastAsia" w:ascii="仿宋" w:hAnsi="仿宋" w:eastAsia="仿宋" w:cs="仿宋"/>
          <w:sz w:val="32"/>
          <w:szCs w:val="32"/>
          <w:highlight w:val="none"/>
        </w:rPr>
      </w:pPr>
      <w:r>
        <w:rPr>
          <w:rFonts w:hint="eastAsia" w:ascii="仿宋" w:hAnsi="仿宋" w:eastAsia="仿宋" w:cs="仿宋"/>
          <w:b/>
          <w:color w:val="000000"/>
          <w:sz w:val="32"/>
          <w:szCs w:val="32"/>
          <w:highlight w:val="none"/>
        </w:rPr>
        <w:t>3.力促招引补齐短板。</w:t>
      </w:r>
      <w:r>
        <w:rPr>
          <w:rFonts w:hint="eastAsia" w:ascii="仿宋" w:hAnsi="仿宋" w:eastAsia="仿宋" w:cs="仿宋"/>
          <w:b/>
          <w:bCs/>
          <w:sz w:val="32"/>
          <w:szCs w:val="32"/>
          <w:highlight w:val="none"/>
        </w:rPr>
        <w:t>一是优化投资环境。</w:t>
      </w:r>
      <w:r>
        <w:rPr>
          <w:rFonts w:hint="eastAsia" w:ascii="仿宋" w:hAnsi="仿宋" w:eastAsia="仿宋" w:cs="仿宋"/>
          <w:sz w:val="32"/>
          <w:szCs w:val="32"/>
          <w:highlight w:val="none"/>
        </w:rPr>
        <w:t>积极贯彻落实《外商投资法》，加强对区属外资企业的走访摸排，掌握企业发展动向和经营情况，协助解决企业问题。梳理省市外资企业优惠政策，及时兑现外资企业优惠政策；</w:t>
      </w:r>
      <w:r>
        <w:rPr>
          <w:rFonts w:hint="eastAsia" w:ascii="仿宋" w:hAnsi="仿宋" w:eastAsia="仿宋" w:cs="仿宋"/>
          <w:b/>
          <w:bCs/>
          <w:sz w:val="32"/>
          <w:szCs w:val="32"/>
          <w:highlight w:val="none"/>
        </w:rPr>
        <w:t>二是加强协同联动。</w:t>
      </w:r>
      <w:r>
        <w:rPr>
          <w:rFonts w:hint="eastAsia" w:ascii="仿宋" w:hAnsi="仿宋" w:eastAsia="仿宋" w:cs="仿宋"/>
          <w:sz w:val="32"/>
          <w:szCs w:val="32"/>
          <w:highlight w:val="none"/>
        </w:rPr>
        <w:t>加强外资项目和企业的跟踪服务。加强与省市商务、市场监管、税务等部门对接，协调解决外商投资信息报告填报问题，进一步推动外商投资便利度；</w:t>
      </w:r>
      <w:r>
        <w:rPr>
          <w:rFonts w:hint="eastAsia" w:ascii="仿宋" w:hAnsi="仿宋" w:eastAsia="仿宋" w:cs="仿宋"/>
          <w:b/>
          <w:bCs/>
          <w:sz w:val="32"/>
          <w:szCs w:val="32"/>
          <w:highlight w:val="none"/>
        </w:rPr>
        <w:t>三是加大扶持力度。</w:t>
      </w:r>
      <w:r>
        <w:rPr>
          <w:rFonts w:hint="eastAsia" w:ascii="仿宋" w:hAnsi="仿宋" w:eastAsia="仿宋" w:cs="仿宋"/>
          <w:sz w:val="32"/>
          <w:szCs w:val="32"/>
          <w:highlight w:val="none"/>
        </w:rPr>
        <w:t>外资项目区级层面比照重大招商引资项目给予“一事一议”政策，给予投资前景好的有外资外经背景项目的投资方更大的优惠或扶持；</w:t>
      </w:r>
      <w:r>
        <w:rPr>
          <w:rFonts w:hint="eastAsia" w:ascii="仿宋" w:hAnsi="仿宋" w:eastAsia="仿宋" w:cs="仿宋"/>
          <w:b/>
          <w:bCs/>
          <w:sz w:val="32"/>
          <w:szCs w:val="32"/>
          <w:highlight w:val="none"/>
        </w:rPr>
        <w:t>四是明确招引方向。</w:t>
      </w:r>
      <w:r>
        <w:rPr>
          <w:rFonts w:hint="eastAsia" w:ascii="仿宋" w:hAnsi="仿宋" w:eastAsia="仿宋" w:cs="仿宋"/>
          <w:sz w:val="32"/>
          <w:szCs w:val="32"/>
          <w:highlight w:val="none"/>
        </w:rPr>
        <w:t>坚持以符合“三高四新”为导向的高新产业、战略性新兴产业、先进制造业、服务业项目为招商主方向。加强与北上广深等招商联络处联系，拓宽信息渠道，加强信息沟通。加强“以企引企”，利用外资基础为本地企业“以企引企”、“以民引外”的结果。</w:t>
      </w:r>
    </w:p>
    <w:p>
      <w:pPr>
        <w:pStyle w:val="10"/>
        <w:keepNext w:val="0"/>
        <w:keepLines w:val="0"/>
        <w:pageBreakBefore w:val="0"/>
        <w:kinsoku/>
        <w:wordWrap/>
        <w:overflowPunct/>
        <w:topLinePunct w:val="0"/>
        <w:autoSpaceDN/>
        <w:bidi w:val="0"/>
        <w:spacing w:beforeAutospacing="0" w:afterAutospacing="0" w:line="578" w:lineRule="exact"/>
        <w:ind w:firstLine="710" w:firstLineChars="221"/>
        <w:textAlignment w:val="auto"/>
        <w:rPr>
          <w:rFonts w:hint="eastAsia" w:ascii="仿宋" w:hAnsi="仿宋" w:eastAsia="仿宋" w:cs="仿宋"/>
          <w:sz w:val="32"/>
          <w:szCs w:val="32"/>
          <w:highlight w:val="none"/>
          <w:lang w:val="en-US" w:eastAsia="zh-CN"/>
        </w:rPr>
      </w:pPr>
      <w:r>
        <w:rPr>
          <w:rFonts w:hint="eastAsia" w:ascii="仿宋" w:hAnsi="仿宋" w:eastAsia="仿宋" w:cs="仿宋"/>
          <w:b/>
          <w:color w:val="000000"/>
          <w:kern w:val="2"/>
          <w:sz w:val="32"/>
          <w:szCs w:val="32"/>
          <w:highlight w:val="none"/>
          <w:lang w:val="en-US" w:eastAsia="zh-CN" w:bidi="ar-SA"/>
        </w:rPr>
        <w:t>4.做好疫情防控措施。</w:t>
      </w:r>
      <w:r>
        <w:rPr>
          <w:rFonts w:hint="eastAsia" w:ascii="仿宋" w:hAnsi="仿宋" w:eastAsia="仿宋" w:cs="仿宋"/>
          <w:sz w:val="32"/>
          <w:szCs w:val="32"/>
          <w:highlight w:val="none"/>
          <w:lang w:eastAsia="zh-CN"/>
        </w:rPr>
        <w:t>全面</w:t>
      </w:r>
      <w:r>
        <w:rPr>
          <w:rFonts w:hint="eastAsia" w:ascii="仿宋" w:hAnsi="仿宋" w:eastAsia="仿宋" w:cs="仿宋"/>
          <w:sz w:val="32"/>
          <w:szCs w:val="32"/>
          <w:highlight w:val="none"/>
        </w:rPr>
        <w:t>落实《新型冠状病毒肺炎防控方案（第九版）》</w:t>
      </w:r>
      <w:r>
        <w:rPr>
          <w:rFonts w:hint="eastAsia" w:ascii="仿宋" w:hAnsi="仿宋" w:eastAsia="仿宋" w:cs="仿宋"/>
          <w:sz w:val="32"/>
          <w:szCs w:val="32"/>
          <w:highlight w:val="none"/>
          <w:lang w:eastAsia="zh-CN"/>
        </w:rPr>
        <w:t>和“新二十条措施”，</w:t>
      </w:r>
      <w:r>
        <w:rPr>
          <w:rFonts w:hint="eastAsia" w:ascii="仿宋" w:hAnsi="仿宋" w:eastAsia="仿宋" w:cs="仿宋"/>
          <w:sz w:val="32"/>
          <w:szCs w:val="32"/>
          <w:highlight w:val="none"/>
        </w:rPr>
        <w:t>常态化巡查</w:t>
      </w:r>
      <w:r>
        <w:rPr>
          <w:rFonts w:hint="eastAsia" w:ascii="仿宋" w:hAnsi="仿宋" w:eastAsia="仿宋" w:cs="仿宋"/>
          <w:sz w:val="32"/>
          <w:szCs w:val="32"/>
          <w:highlight w:val="none"/>
          <w:lang w:eastAsia="zh-CN"/>
        </w:rPr>
        <w:t>重点商超、农贸市场、</w:t>
      </w:r>
      <w:r>
        <w:rPr>
          <w:rFonts w:hint="eastAsia" w:ascii="仿宋" w:hAnsi="仿宋" w:eastAsia="仿宋" w:cs="仿宋"/>
          <w:sz w:val="32"/>
          <w:szCs w:val="32"/>
          <w:highlight w:val="none"/>
        </w:rPr>
        <w:t>加油站点</w:t>
      </w:r>
      <w:r>
        <w:rPr>
          <w:rFonts w:hint="eastAsia" w:ascii="仿宋" w:hAnsi="仿宋" w:eastAsia="仿宋" w:cs="仿宋"/>
          <w:sz w:val="32"/>
          <w:szCs w:val="32"/>
          <w:highlight w:val="none"/>
          <w:lang w:eastAsia="zh-CN"/>
        </w:rPr>
        <w:t>等重点场所疫情防控及</w:t>
      </w:r>
      <w:r>
        <w:rPr>
          <w:rFonts w:hint="eastAsia" w:ascii="仿宋" w:hAnsi="仿宋" w:eastAsia="仿宋" w:cs="仿宋"/>
          <w:sz w:val="32"/>
          <w:szCs w:val="32"/>
          <w:highlight w:val="none"/>
        </w:rPr>
        <w:t>安全生产</w:t>
      </w:r>
      <w:r>
        <w:rPr>
          <w:rFonts w:hint="eastAsia" w:ascii="仿宋" w:hAnsi="仿宋" w:eastAsia="仿宋" w:cs="仿宋"/>
          <w:sz w:val="32"/>
          <w:szCs w:val="32"/>
          <w:highlight w:val="none"/>
          <w:lang w:eastAsia="zh-CN"/>
        </w:rPr>
        <w:t>工作</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保障措施执行到位，稳定经营秩序，及时做好突发疫情保供文件各项准备和处置工作</w:t>
      </w:r>
      <w:r>
        <w:rPr>
          <w:rFonts w:hint="eastAsia" w:ascii="仿宋" w:hAnsi="仿宋" w:eastAsia="仿宋" w:cs="仿宋"/>
          <w:sz w:val="32"/>
          <w:szCs w:val="32"/>
          <w:highlight w:val="none"/>
        </w:rPr>
        <w:t>，进一步稳定</w:t>
      </w:r>
      <w:r>
        <w:rPr>
          <w:rFonts w:hint="eastAsia" w:ascii="仿宋" w:hAnsi="仿宋" w:eastAsia="仿宋" w:cs="仿宋"/>
          <w:sz w:val="32"/>
          <w:szCs w:val="32"/>
          <w:highlight w:val="none"/>
          <w:lang w:eastAsia="zh-CN"/>
        </w:rPr>
        <w:t>重点场所恢复经营</w:t>
      </w:r>
      <w:r>
        <w:rPr>
          <w:rFonts w:hint="eastAsia" w:ascii="仿宋" w:hAnsi="仿宋" w:eastAsia="仿宋" w:cs="仿宋"/>
          <w:sz w:val="32"/>
          <w:szCs w:val="32"/>
          <w:highlight w:val="none"/>
        </w:rPr>
        <w:t>。</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（二）部门整体支出规模、使用方向和主要内容、涉及范围等。</w:t>
      </w:r>
    </w:p>
    <w:p>
      <w:pPr>
        <w:pStyle w:val="2"/>
        <w:keepNext w:val="0"/>
        <w:keepLines w:val="0"/>
        <w:pageBreakBefore w:val="0"/>
        <w:kinsoku/>
        <w:wordWrap/>
        <w:overflowPunct/>
        <w:topLinePunct w:val="0"/>
        <w:autoSpaceDN/>
        <w:bidi w:val="0"/>
        <w:adjustRightInd/>
        <w:snapToGrid/>
        <w:spacing w:line="600" w:lineRule="exact"/>
        <w:ind w:left="0" w:leftChars="0" w:firstLine="640" w:firstLineChars="200"/>
        <w:rPr>
          <w:rFonts w:hint="eastAsia" w:ascii="仿宋" w:hAnsi="仿宋" w:eastAsia="仿宋" w:cs="仿宋"/>
          <w:sz w:val="32"/>
          <w:szCs w:val="32"/>
          <w:highlight w:val="none"/>
        </w:rPr>
      </w:pPr>
      <w:r>
        <w:rPr>
          <w:rFonts w:hint="eastAsia" w:ascii="仿宋" w:hAnsi="仿宋" w:eastAsia="仿宋" w:cs="仿宋"/>
          <w:b w:val="0"/>
          <w:bCs w:val="0"/>
          <w:sz w:val="32"/>
          <w:szCs w:val="32"/>
          <w:highlight w:val="none"/>
          <w:lang w:val="en-US" w:eastAsia="zh-CN"/>
        </w:rPr>
        <w:t>2022年部门整体支出规模688.24万元，其中：基本支出500.02万元，项目支出188.22万元。</w:t>
      </w:r>
      <w:r>
        <w:rPr>
          <w:rFonts w:hint="eastAsia" w:ascii="仿宋" w:hAnsi="仿宋" w:eastAsia="仿宋" w:cs="仿宋"/>
          <w:sz w:val="32"/>
          <w:szCs w:val="32"/>
          <w:highlight w:val="none"/>
          <w:lang w:val="en-US" w:eastAsia="zh-CN"/>
        </w:rPr>
        <w:t>在区委、区政府的领导下，全面或超额完成商贸流通行业考核任务。</w:t>
      </w:r>
    </w:p>
    <w:p>
      <w:pPr>
        <w:widowControl/>
        <w:shd w:val="clear" w:color="auto" w:fill="FFFFFF"/>
        <w:spacing w:line="600" w:lineRule="atLeast"/>
        <w:ind w:firstLine="640"/>
        <w:rPr>
          <w:rFonts w:hint="eastAsia" w:ascii="仿宋" w:hAnsi="仿宋" w:eastAsia="仿宋" w:cs="仿宋"/>
          <w:b/>
          <w:spacing w:val="-2"/>
          <w:sz w:val="32"/>
          <w:szCs w:val="32"/>
          <w:highlight w:val="none"/>
        </w:rPr>
      </w:pPr>
    </w:p>
    <w:p>
      <w:pPr>
        <w:widowControl/>
        <w:shd w:val="clear" w:color="auto" w:fill="FFFFFF"/>
        <w:spacing w:line="600" w:lineRule="atLeast"/>
        <w:ind w:firstLine="640"/>
        <w:rPr>
          <w:rFonts w:hint="eastAsia" w:ascii="仿宋" w:hAnsi="仿宋" w:eastAsia="仿宋" w:cs="仿宋"/>
          <w:b/>
          <w:spacing w:val="-2"/>
          <w:sz w:val="32"/>
          <w:szCs w:val="32"/>
          <w:highlight w:val="none"/>
        </w:rPr>
      </w:pPr>
    </w:p>
    <w:p>
      <w:pPr>
        <w:widowControl/>
        <w:shd w:val="clear" w:color="auto" w:fill="FFFFFF"/>
        <w:spacing w:line="600" w:lineRule="atLeast"/>
        <w:ind w:firstLine="640"/>
        <w:rPr>
          <w:rFonts w:hint="eastAsia" w:ascii="仿宋" w:hAnsi="仿宋" w:eastAsia="仿宋" w:cs="仿宋"/>
          <w:b/>
          <w:spacing w:val="-2"/>
          <w:sz w:val="32"/>
          <w:szCs w:val="32"/>
          <w:highlight w:val="none"/>
        </w:rPr>
      </w:pPr>
    </w:p>
    <w:p>
      <w:pPr>
        <w:widowControl/>
        <w:shd w:val="clear" w:color="auto" w:fill="FFFFFF"/>
        <w:spacing w:line="600" w:lineRule="atLeast"/>
        <w:ind w:firstLine="640"/>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二、部门整体支出管理及使用情况</w:t>
      </w:r>
    </w:p>
    <w:p>
      <w:pPr>
        <w:widowControl/>
        <w:shd w:val="clear" w:color="auto" w:fill="FFFFFF"/>
        <w:spacing w:line="600" w:lineRule="atLeast"/>
        <w:ind w:firstLine="643"/>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（一）基本支出</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介绍基本支出的主要用途、范围以及资金的管理情况，尤其是“三公”经费的使用和管理情况。</w:t>
      </w:r>
    </w:p>
    <w:p>
      <w:pPr>
        <w:widowControl/>
        <w:shd w:val="clear" w:color="auto" w:fill="FFFFFF"/>
        <w:spacing w:line="600" w:lineRule="atLeast"/>
        <w:ind w:firstLine="64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年决算基本支出</w:t>
      </w:r>
      <w:r>
        <w:rPr>
          <w:rFonts w:hint="eastAsia" w:ascii="仿宋" w:hAnsi="仿宋" w:eastAsia="仿宋" w:cs="仿宋"/>
          <w:sz w:val="32"/>
          <w:szCs w:val="32"/>
          <w:highlight w:val="none"/>
        </w:rPr>
        <w:t>为</w:t>
      </w:r>
      <w:r>
        <w:rPr>
          <w:rFonts w:hint="eastAsia" w:ascii="仿宋" w:hAnsi="仿宋" w:eastAsia="仿宋" w:cs="仿宋"/>
          <w:b w:val="0"/>
          <w:bCs w:val="0"/>
          <w:sz w:val="32"/>
          <w:szCs w:val="32"/>
          <w:highlight w:val="none"/>
          <w:lang w:val="en-US" w:eastAsia="zh-CN"/>
        </w:rPr>
        <w:t>500.02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比去年增加</w:t>
      </w:r>
      <w:r>
        <w:rPr>
          <w:rFonts w:hint="eastAsia" w:ascii="仿宋" w:hAnsi="仿宋" w:eastAsia="仿宋" w:cs="仿宋"/>
          <w:sz w:val="32"/>
          <w:szCs w:val="32"/>
          <w:highlight w:val="none"/>
          <w:lang w:val="en-US" w:eastAsia="zh-CN"/>
        </w:rPr>
        <w:t>90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增幅</w:t>
      </w:r>
      <w:r>
        <w:rPr>
          <w:rFonts w:hint="eastAsia" w:ascii="仿宋" w:hAnsi="仿宋" w:eastAsia="仿宋" w:cs="仿宋"/>
          <w:sz w:val="32"/>
          <w:szCs w:val="32"/>
          <w:highlight w:val="none"/>
          <w:lang w:val="en-US" w:eastAsia="zh-CN"/>
        </w:rPr>
        <w:t>0.22，</w:t>
      </w:r>
      <w:r>
        <w:rPr>
          <w:rFonts w:hint="eastAsia" w:ascii="仿宋" w:hAnsi="仿宋" w:eastAsia="仿宋" w:cs="仿宋"/>
          <w:sz w:val="32"/>
          <w:szCs w:val="32"/>
          <w:highlight w:val="none"/>
          <w:lang w:eastAsia="zh-CN"/>
        </w:rPr>
        <w:t>其中：</w:t>
      </w:r>
      <w:r>
        <w:rPr>
          <w:rFonts w:hint="eastAsia" w:ascii="仿宋" w:hAnsi="仿宋" w:eastAsia="仿宋" w:cs="仿宋"/>
          <w:sz w:val="32"/>
          <w:szCs w:val="32"/>
          <w:highlight w:val="none"/>
        </w:rPr>
        <w:t>人员支出</w:t>
      </w:r>
      <w:r>
        <w:rPr>
          <w:rFonts w:hint="eastAsia" w:ascii="仿宋" w:hAnsi="仿宋" w:eastAsia="仿宋" w:cs="仿宋"/>
          <w:sz w:val="32"/>
          <w:szCs w:val="32"/>
          <w:highlight w:val="none"/>
          <w:lang w:val="en-US" w:eastAsia="zh-CN"/>
        </w:rPr>
        <w:t>484.96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公用经费支出</w:t>
      </w:r>
      <w:r>
        <w:rPr>
          <w:rFonts w:hint="eastAsia" w:ascii="仿宋" w:hAnsi="仿宋" w:eastAsia="仿宋" w:cs="仿宋"/>
          <w:sz w:val="32"/>
          <w:szCs w:val="32"/>
          <w:highlight w:val="none"/>
          <w:lang w:val="en-US" w:eastAsia="zh-CN"/>
        </w:rPr>
        <w:t>15.06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p>
    <w:p>
      <w:pPr>
        <w:widowControl/>
        <w:shd w:val="clear" w:color="auto" w:fill="FFFFFF"/>
        <w:spacing w:line="600" w:lineRule="atLeast"/>
        <w:ind w:firstLine="64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2022年机关</w:t>
      </w:r>
      <w:r>
        <w:rPr>
          <w:rFonts w:hint="eastAsia" w:ascii="仿宋" w:hAnsi="仿宋" w:eastAsia="仿宋" w:cs="仿宋"/>
          <w:sz w:val="32"/>
          <w:szCs w:val="32"/>
          <w:highlight w:val="none"/>
          <w:lang w:eastAsia="zh-CN"/>
        </w:rPr>
        <w:t>“三公经费”</w:t>
      </w:r>
      <w:r>
        <w:rPr>
          <w:rFonts w:hint="eastAsia" w:ascii="仿宋" w:hAnsi="仿宋" w:eastAsia="仿宋" w:cs="仿宋"/>
          <w:sz w:val="32"/>
          <w:szCs w:val="32"/>
          <w:highlight w:val="none"/>
          <w:lang w:val="en-US" w:eastAsia="zh-CN"/>
        </w:rPr>
        <w:t>2.54万元，较去年增加了0.</w:t>
      </w:r>
    </w:p>
    <w:p>
      <w:pPr>
        <w:widowControl/>
        <w:shd w:val="clear" w:color="auto" w:fill="FFFFFF"/>
        <w:spacing w:line="600" w:lineRule="atLeast"/>
        <w:ind w:firstLine="64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84万元。</w:t>
      </w:r>
    </w:p>
    <w:p>
      <w:pPr>
        <w:widowControl/>
        <w:shd w:val="clear" w:color="auto" w:fill="FFFFFF"/>
        <w:spacing w:line="600" w:lineRule="atLeast"/>
        <w:ind w:firstLine="643"/>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（二）专项支出</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1、专项资金（包括财政资金、自筹资金等）安排落实、总投入等情况分析。</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2022年项目经费</w:t>
      </w:r>
      <w:r>
        <w:rPr>
          <w:rFonts w:hint="eastAsia" w:ascii="仿宋" w:hAnsi="仿宋" w:eastAsia="仿宋" w:cs="仿宋"/>
          <w:sz w:val="32"/>
          <w:szCs w:val="32"/>
          <w:highlight w:val="none"/>
          <w:lang w:eastAsia="zh-CN"/>
        </w:rPr>
        <w:t>预算数</w:t>
      </w:r>
      <w:r>
        <w:rPr>
          <w:rFonts w:hint="eastAsia" w:ascii="仿宋" w:hAnsi="仿宋" w:eastAsia="仿宋" w:cs="仿宋"/>
          <w:sz w:val="32"/>
          <w:szCs w:val="32"/>
          <w:highlight w:val="none"/>
          <w:lang w:val="en-US" w:eastAsia="zh-CN"/>
        </w:rPr>
        <w:t>188.22万（财政拨款188.22万元，其他拨款0万元），</w:t>
      </w:r>
      <w:r>
        <w:rPr>
          <w:rFonts w:hint="eastAsia" w:ascii="仿宋" w:hAnsi="仿宋" w:eastAsia="仿宋" w:cs="仿宋"/>
          <w:sz w:val="32"/>
          <w:szCs w:val="32"/>
          <w:highlight w:val="none"/>
          <w:lang w:eastAsia="zh-CN"/>
        </w:rPr>
        <w:t>项目支出</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188.22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（项目工作经费</w:t>
      </w:r>
      <w:r>
        <w:rPr>
          <w:rFonts w:hint="eastAsia" w:ascii="仿宋" w:hAnsi="仿宋" w:eastAsia="仿宋" w:cs="仿宋"/>
          <w:sz w:val="32"/>
          <w:szCs w:val="32"/>
          <w:highlight w:val="none"/>
          <w:lang w:val="en-US" w:eastAsia="zh-CN"/>
        </w:rPr>
        <w:t>188.22万元，专项经费188.22万元），</w:t>
      </w:r>
      <w:r>
        <w:rPr>
          <w:rFonts w:hint="eastAsia" w:ascii="仿宋" w:hAnsi="仿宋" w:eastAsia="仿宋" w:cs="仿宋"/>
          <w:sz w:val="32"/>
          <w:szCs w:val="32"/>
          <w:highlight w:val="none"/>
          <w:lang w:eastAsia="zh-CN"/>
        </w:rPr>
        <w:t>较去年减少</w:t>
      </w:r>
      <w:r>
        <w:rPr>
          <w:rFonts w:hint="eastAsia" w:ascii="仿宋" w:hAnsi="仿宋" w:eastAsia="仿宋" w:cs="仿宋"/>
          <w:sz w:val="32"/>
          <w:szCs w:val="32"/>
          <w:highlight w:val="none"/>
          <w:lang w:val="en-US" w:eastAsia="zh-CN"/>
        </w:rPr>
        <w:t>323.52万元</w:t>
      </w:r>
      <w:r>
        <w:rPr>
          <w:rFonts w:hint="eastAsia" w:ascii="仿宋" w:hAnsi="仿宋" w:eastAsia="仿宋" w:cs="仿宋"/>
          <w:sz w:val="32"/>
          <w:szCs w:val="32"/>
          <w:highlight w:val="none"/>
        </w:rPr>
        <w:t>。</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2、专项资金（主要指财政资金）实际使用情况分析。</w:t>
      </w:r>
    </w:p>
    <w:p>
      <w:pPr>
        <w:pStyle w:val="9"/>
        <w:keepNext w:val="0"/>
        <w:keepLines w:val="0"/>
        <w:pageBreakBefore w:val="0"/>
        <w:widowControl/>
        <w:numPr>
          <w:ilvl w:val="0"/>
          <w:numId w:val="0"/>
        </w:numPr>
        <w:suppressLineNumbers w:val="0"/>
        <w:kinsoku/>
        <w:wordWrap/>
        <w:overflowPunct/>
        <w:topLinePunct w:val="0"/>
        <w:autoSpaceDN/>
        <w:bidi w:val="0"/>
        <w:adjustRightInd/>
        <w:snapToGrid/>
        <w:spacing w:line="600" w:lineRule="exact"/>
        <w:ind w:left="0" w:leftChars="0" w:right="0" w:rightChars="0" w:firstLine="640" w:firstLineChars="200"/>
        <w:rPr>
          <w:rFonts w:hint="eastAsia" w:ascii="仿宋" w:hAnsi="仿宋" w:eastAsia="仿宋" w:cs="仿宋"/>
          <w:spacing w:val="-2"/>
          <w:sz w:val="32"/>
          <w:szCs w:val="32"/>
          <w:highlight w:val="none"/>
        </w:rPr>
      </w:pPr>
      <w:r>
        <w:rPr>
          <w:rFonts w:hint="eastAsia" w:ascii="仿宋" w:hAnsi="仿宋" w:eastAsia="仿宋" w:cs="仿宋"/>
          <w:i w:val="0"/>
          <w:caps w:val="0"/>
          <w:color w:val="000000"/>
          <w:spacing w:val="0"/>
          <w:sz w:val="32"/>
          <w:szCs w:val="32"/>
          <w:highlight w:val="none"/>
        </w:rPr>
        <w:t>专项资金管理遵循公开、择优、规范、实效原则，资金分配和使用情况向社会公开，接受有关部门和社会监督。获得专项资金后，按照国家财务、会计制度的有关规定进行账务处理，严格按照预算管理及国库集中支付制度等有关规定，加强专项资金支付管理，确保专项资金及时、有效、安全支付。无挤占、截留、挪用、骗取、套取、浪费资金的行为。</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3、专项资金管理情况分析，主要包括管理制度、办法的制订及执行情况。</w:t>
      </w:r>
    </w:p>
    <w:p>
      <w:pPr>
        <w:spacing w:line="60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专项</w:t>
      </w:r>
      <w:r>
        <w:rPr>
          <w:rFonts w:hint="eastAsia" w:ascii="仿宋" w:hAnsi="仿宋" w:eastAsia="仿宋" w:cs="仿宋"/>
          <w:sz w:val="32"/>
          <w:szCs w:val="32"/>
          <w:highlight w:val="none"/>
        </w:rPr>
        <w:t>资</w:t>
      </w:r>
      <w:r>
        <w:rPr>
          <w:rFonts w:hint="eastAsia" w:ascii="仿宋" w:hAnsi="仿宋" w:eastAsia="仿宋" w:cs="仿宋"/>
          <w:sz w:val="32"/>
          <w:szCs w:val="32"/>
          <w:highlight w:val="none"/>
          <w:lang w:eastAsia="zh-CN"/>
        </w:rPr>
        <w:t>金都按照程序经</w:t>
      </w:r>
      <w:r>
        <w:rPr>
          <w:rFonts w:hint="eastAsia" w:ascii="仿宋" w:hAnsi="仿宋" w:eastAsia="仿宋" w:cs="仿宋"/>
          <w:sz w:val="32"/>
          <w:szCs w:val="32"/>
          <w:highlight w:val="none"/>
        </w:rPr>
        <w:t>过</w:t>
      </w:r>
      <w:r>
        <w:rPr>
          <w:rFonts w:hint="eastAsia" w:ascii="仿宋" w:hAnsi="仿宋" w:eastAsia="仿宋" w:cs="仿宋"/>
          <w:sz w:val="32"/>
          <w:szCs w:val="32"/>
          <w:highlight w:val="none"/>
          <w:lang w:eastAsia="zh-CN"/>
        </w:rPr>
        <w:t>财政</w:t>
      </w:r>
      <w:r>
        <w:rPr>
          <w:rFonts w:hint="eastAsia" w:ascii="仿宋" w:hAnsi="仿宋" w:eastAsia="仿宋" w:cs="仿宋"/>
          <w:sz w:val="32"/>
          <w:szCs w:val="32"/>
          <w:highlight w:val="none"/>
        </w:rPr>
        <w:t>审批</w:t>
      </w:r>
      <w:r>
        <w:rPr>
          <w:rFonts w:hint="eastAsia" w:ascii="仿宋" w:hAnsi="仿宋" w:eastAsia="仿宋" w:cs="仿宋"/>
          <w:sz w:val="32"/>
          <w:szCs w:val="32"/>
          <w:highlight w:val="none"/>
          <w:lang w:eastAsia="zh-CN"/>
        </w:rPr>
        <w:t>予以下拨，</w:t>
      </w:r>
      <w:r>
        <w:rPr>
          <w:rFonts w:hint="eastAsia" w:ascii="仿宋" w:hAnsi="仿宋" w:eastAsia="仿宋" w:cs="仿宋"/>
          <w:sz w:val="32"/>
          <w:szCs w:val="32"/>
          <w:highlight w:val="none"/>
        </w:rPr>
        <w:t>项目资金使用财务管理制度健全、管理规范，严格执行了财务管理制度。财务处理及时、会计核算规范；资金使用严格执行相关法律法规及项目管理相关制度。</w:t>
      </w:r>
    </w:p>
    <w:p>
      <w:pPr>
        <w:widowControl/>
        <w:shd w:val="clear" w:color="auto" w:fill="FFFFFF"/>
        <w:spacing w:line="600" w:lineRule="atLeast"/>
        <w:ind w:firstLine="640"/>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三、部门专项组织实施情况</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（一）专项组织情况分析，主要包括项目招投标、调整、竣工验收等情况。</w:t>
      </w:r>
    </w:p>
    <w:p>
      <w:pPr>
        <w:keepNext w:val="0"/>
        <w:keepLines w:val="0"/>
        <w:pageBreakBefore w:val="0"/>
        <w:widowControl/>
        <w:shd w:val="clear" w:color="auto" w:fill="FFFFFF"/>
        <w:kinsoku/>
        <w:wordWrap/>
        <w:overflowPunct/>
        <w:topLinePunct w:val="0"/>
        <w:autoSpaceDN/>
        <w:bidi w:val="0"/>
        <w:adjustRightInd/>
        <w:snapToGrid/>
        <w:spacing w:line="600" w:lineRule="exact"/>
        <w:ind w:left="0" w:leftChars="0" w:firstLine="632" w:firstLineChars="200"/>
        <w:rPr>
          <w:rFonts w:hint="eastAsia" w:ascii="仿宋" w:hAnsi="仿宋" w:eastAsia="仿宋" w:cs="仿宋"/>
          <w:sz w:val="32"/>
          <w:szCs w:val="32"/>
          <w:highlight w:val="none"/>
        </w:rPr>
      </w:pPr>
      <w:r>
        <w:rPr>
          <w:rFonts w:hint="eastAsia" w:ascii="仿宋" w:hAnsi="仿宋" w:eastAsia="仿宋" w:cs="仿宋"/>
          <w:spacing w:val="-2"/>
          <w:sz w:val="32"/>
          <w:szCs w:val="32"/>
          <w:highlight w:val="none"/>
          <w:lang w:eastAsia="zh-CN"/>
        </w:rPr>
        <w:t>严格执行政府采购招投标和完成验收工作，事前按照政府购买服务的规定申报采购计划，实施中对资金投向及年度资金调度进行详细规划，并及时将项目按预算科目编报财务决算。</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（二）专项管理情况分析，主要包括项目管理制度建设、日常检查监督管理等情况。</w:t>
      </w:r>
    </w:p>
    <w:p>
      <w:pPr>
        <w:keepNext w:val="0"/>
        <w:keepLines w:val="0"/>
        <w:pageBreakBefore w:val="0"/>
        <w:kinsoku/>
        <w:wordWrap/>
        <w:overflowPunct/>
        <w:topLinePunct w:val="0"/>
        <w:autoSpaceDE w:val="0"/>
        <w:autoSpaceDN/>
        <w:bidi w:val="0"/>
        <w:spacing w:beforeAutospacing="0" w:after="0" w:afterAutospacing="0" w:line="578" w:lineRule="exact"/>
        <w:ind w:firstLine="632" w:firstLineChars="200"/>
        <w:textAlignment w:val="auto"/>
        <w:rPr>
          <w:rFonts w:hint="eastAsia" w:ascii="仿宋" w:hAnsi="仿宋" w:eastAsia="仿宋" w:cs="仿宋"/>
          <w:color w:val="auto"/>
          <w:sz w:val="32"/>
          <w:szCs w:val="32"/>
          <w:highlight w:val="none"/>
        </w:rPr>
      </w:pPr>
      <w:r>
        <w:rPr>
          <w:rFonts w:hint="eastAsia" w:ascii="仿宋" w:hAnsi="仿宋" w:eastAsia="仿宋" w:cs="仿宋"/>
          <w:spacing w:val="-2"/>
          <w:sz w:val="32"/>
          <w:szCs w:val="32"/>
          <w:highlight w:val="none"/>
          <w:lang w:val="en-US" w:eastAsia="zh-CN"/>
        </w:rPr>
        <w:t>2022年专项支出无建设项目支出,</w:t>
      </w:r>
      <w:r>
        <w:rPr>
          <w:rFonts w:hint="eastAsia" w:ascii="仿宋" w:hAnsi="仿宋" w:eastAsia="仿宋" w:cs="仿宋"/>
          <w:sz w:val="32"/>
          <w:szCs w:val="32"/>
          <w:highlight w:val="none"/>
          <w:lang w:eastAsia="zh-CN"/>
        </w:rPr>
        <w:t>项目资金为业务工作经费。</w:t>
      </w: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22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项目支出</w:t>
      </w:r>
      <w:r>
        <w:rPr>
          <w:rFonts w:hint="eastAsia" w:ascii="仿宋" w:hAnsi="仿宋" w:eastAsia="仿宋" w:cs="仿宋"/>
          <w:sz w:val="32"/>
          <w:szCs w:val="32"/>
          <w:highlight w:val="none"/>
          <w:lang w:val="en-US" w:eastAsia="zh-CN"/>
        </w:rPr>
        <w:t>188.22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bCs/>
          <w:color w:val="auto"/>
          <w:sz w:val="32"/>
          <w:szCs w:val="32"/>
          <w:highlight w:val="none"/>
          <w:shd w:val="clear" w:color="auto" w:fill="FFFFFF"/>
        </w:rPr>
        <w:t>2022年计划完成省外到位48亿元</w:t>
      </w:r>
      <w:r>
        <w:rPr>
          <w:rFonts w:hint="eastAsia" w:ascii="仿宋" w:hAnsi="仿宋" w:eastAsia="仿宋" w:cs="仿宋"/>
          <w:bCs/>
          <w:color w:val="auto"/>
          <w:sz w:val="32"/>
          <w:szCs w:val="32"/>
          <w:highlight w:val="none"/>
          <w:shd w:val="clear" w:color="auto" w:fill="FFFFFF"/>
          <w:lang w:eastAsia="zh-CN"/>
        </w:rPr>
        <w:t>；</w:t>
      </w:r>
      <w:r>
        <w:rPr>
          <w:rFonts w:hint="eastAsia" w:ascii="仿宋" w:hAnsi="仿宋" w:eastAsia="仿宋" w:cs="仿宋"/>
          <w:color w:val="auto"/>
          <w:sz w:val="32"/>
          <w:szCs w:val="32"/>
          <w:highlight w:val="none"/>
        </w:rPr>
        <w:t>全区累计实现社会消费品零售总额231.25亿元，累计增速</w:t>
      </w:r>
      <w:r>
        <w:rPr>
          <w:rFonts w:hint="eastAsia" w:ascii="仿宋" w:hAnsi="仿宋" w:eastAsia="仿宋" w:cs="仿宋"/>
          <w:color w:val="auto"/>
          <w:sz w:val="32"/>
          <w:szCs w:val="32"/>
          <w:highlight w:val="none"/>
          <w:lang w:val="en-US" w:eastAsia="zh-CN"/>
        </w:rPr>
        <w:t>0.7</w:t>
      </w:r>
      <w:r>
        <w:rPr>
          <w:rFonts w:hint="eastAsia" w:ascii="仿宋" w:hAnsi="仿宋" w:eastAsia="仿宋" w:cs="仿宋"/>
          <w:color w:val="auto"/>
          <w:sz w:val="32"/>
          <w:szCs w:val="32"/>
          <w:highlight w:val="none"/>
        </w:rPr>
        <w:t>%，全市排名</w:t>
      </w:r>
      <w:r>
        <w:rPr>
          <w:rFonts w:hint="eastAsia" w:ascii="仿宋" w:hAnsi="仿宋" w:eastAsia="仿宋" w:cs="仿宋"/>
          <w:color w:val="auto"/>
          <w:sz w:val="32"/>
          <w:szCs w:val="32"/>
          <w:highlight w:val="none"/>
          <w:lang w:val="en-US" w:eastAsia="zh-CN"/>
        </w:rPr>
        <w:t>14位；</w:t>
      </w:r>
      <w:r>
        <w:rPr>
          <w:rFonts w:hint="eastAsia" w:ascii="仿宋" w:hAnsi="仿宋" w:eastAsia="仿宋" w:cs="仿宋"/>
          <w:color w:val="auto"/>
          <w:sz w:val="32"/>
          <w:szCs w:val="32"/>
          <w:highlight w:val="none"/>
        </w:rPr>
        <w:t>完成城北农贸市场标准化改造及15个试点社区便民生活区建设工作。</w:t>
      </w:r>
    </w:p>
    <w:p>
      <w:pPr>
        <w:widowControl/>
        <w:shd w:val="clear" w:color="auto" w:fill="FFFFFF"/>
        <w:spacing w:line="600" w:lineRule="atLeast"/>
        <w:ind w:firstLine="640"/>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四、资产管理情况</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32" w:firstLineChars="200"/>
        <w:jc w:val="left"/>
        <w:textAlignment w:val="auto"/>
        <w:outlineLvl w:val="9"/>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反映部门资产的配置、管理、处置等综合情况。包括制度建设、管理措施、配置处置的程序等。</w:t>
      </w:r>
    </w:p>
    <w:p>
      <w:pPr>
        <w:keepNext w:val="0"/>
        <w:keepLines w:val="0"/>
        <w:pageBreakBefore w:val="0"/>
        <w:widowControl/>
        <w:shd w:val="clear" w:color="auto" w:fill="FFFFFF"/>
        <w:kinsoku/>
        <w:wordWrap/>
        <w:overflowPunct/>
        <w:topLinePunct w:val="0"/>
        <w:autoSpaceDN/>
        <w:bidi w:val="0"/>
        <w:adjustRightInd/>
        <w:snapToGrid/>
        <w:spacing w:line="600" w:lineRule="exact"/>
        <w:ind w:left="0" w:leftChars="0" w:firstLine="632" w:firstLineChars="20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20</w:t>
      </w:r>
      <w:r>
        <w:rPr>
          <w:rFonts w:hint="eastAsia" w:ascii="仿宋" w:hAnsi="仿宋" w:eastAsia="仿宋" w:cs="仿宋"/>
          <w:spacing w:val="-2"/>
          <w:sz w:val="32"/>
          <w:szCs w:val="32"/>
          <w:highlight w:val="none"/>
          <w:lang w:val="en-US" w:eastAsia="zh-CN"/>
        </w:rPr>
        <w:t>22</w:t>
      </w:r>
      <w:r>
        <w:rPr>
          <w:rFonts w:hint="eastAsia" w:ascii="仿宋" w:hAnsi="仿宋" w:eastAsia="仿宋" w:cs="仿宋"/>
          <w:spacing w:val="-2"/>
          <w:sz w:val="32"/>
          <w:szCs w:val="32"/>
          <w:highlight w:val="none"/>
        </w:rPr>
        <w:t>年度新增固定资产和办公用品严格按照《资产管理办法》和《政府采购预算》进行配置管理。</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1、截至2022年12月31日，本部门无车辆，无50万元以上专用设备。</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b w:val="0"/>
          <w:bCs w:val="0"/>
          <w:sz w:val="32"/>
          <w:szCs w:val="32"/>
          <w:highlight w:val="none"/>
          <w:lang w:val="en-US" w:eastAsia="zh-CN"/>
        </w:rPr>
        <w:t>截至2022年</w:t>
      </w:r>
      <w:r>
        <w:rPr>
          <w:rFonts w:hint="eastAsia" w:ascii="仿宋" w:hAnsi="仿宋" w:eastAsia="仿宋" w:cs="仿宋"/>
          <w:sz w:val="32"/>
          <w:szCs w:val="32"/>
          <w:highlight w:val="none"/>
          <w:lang w:val="en-US" w:eastAsia="zh-CN"/>
        </w:rPr>
        <w:t>12月31日</w:t>
      </w:r>
      <w:r>
        <w:rPr>
          <w:rFonts w:hint="eastAsia" w:ascii="仿宋" w:hAnsi="仿宋" w:eastAsia="仿宋" w:cs="仿宋"/>
          <w:b w:val="0"/>
          <w:bCs w:val="0"/>
          <w:sz w:val="32"/>
          <w:szCs w:val="32"/>
          <w:highlight w:val="none"/>
          <w:lang w:val="en-US" w:eastAsia="zh-CN"/>
        </w:rPr>
        <w:t>，本部门无新增车辆，无新增50万元以上通用设备和专用设备。</w:t>
      </w:r>
    </w:p>
    <w:p>
      <w:pPr>
        <w:widowControl/>
        <w:shd w:val="clear" w:color="auto" w:fill="FFFFFF"/>
        <w:spacing w:line="600" w:lineRule="atLeast"/>
        <w:ind w:firstLine="640"/>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五、部门整体支出绩效情况</w:t>
      </w:r>
    </w:p>
    <w:p>
      <w:pPr>
        <w:widowControl/>
        <w:shd w:val="clear" w:color="auto" w:fill="FFFFFF"/>
        <w:spacing w:line="600" w:lineRule="atLeast"/>
        <w:ind w:firstLine="640"/>
        <w:rPr>
          <w:rFonts w:hint="eastAsia" w:ascii="仿宋" w:hAnsi="仿宋" w:eastAsia="仿宋" w:cs="仿宋"/>
          <w:spacing w:val="-2"/>
          <w:sz w:val="32"/>
          <w:szCs w:val="32"/>
          <w:highlight w:val="none"/>
        </w:rPr>
      </w:pPr>
      <w:r>
        <w:rPr>
          <w:rFonts w:hint="eastAsia" w:ascii="仿宋" w:hAnsi="仿宋" w:eastAsia="仿宋" w:cs="仿宋"/>
          <w:spacing w:val="-2"/>
          <w:sz w:val="32"/>
          <w:szCs w:val="32"/>
          <w:highlight w:val="none"/>
        </w:rPr>
        <w:t>反映部门履职及履职效益情况。主要从部门整体支出的经济性、效率性、有效性和可持续性等方面进行量化、具体分析。其中：经济性分析主要是对成本（预算）控制、节约等情况进行分析；效率性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bCs/>
          <w:color w:val="auto"/>
          <w:sz w:val="32"/>
          <w:szCs w:val="32"/>
          <w:highlight w:val="none"/>
          <w:shd w:val="clear" w:color="auto" w:fill="FFFFFF"/>
        </w:rPr>
      </w:pPr>
      <w:r>
        <w:rPr>
          <w:rFonts w:hint="eastAsia" w:ascii="仿宋" w:hAnsi="仿宋" w:eastAsia="仿宋" w:cs="仿宋"/>
          <w:b/>
          <w:color w:val="auto"/>
          <w:sz w:val="32"/>
          <w:szCs w:val="32"/>
          <w:highlight w:val="none"/>
          <w:shd w:val="clear" w:color="auto" w:fill="FFFFFF"/>
        </w:rPr>
        <w:t>1.招商引资到位资金。</w:t>
      </w:r>
      <w:r>
        <w:rPr>
          <w:rFonts w:hint="eastAsia" w:ascii="仿宋" w:hAnsi="仿宋" w:eastAsia="仿宋" w:cs="仿宋"/>
          <w:bCs/>
          <w:color w:val="auto"/>
          <w:sz w:val="32"/>
          <w:szCs w:val="32"/>
          <w:highlight w:val="none"/>
          <w:shd w:val="clear" w:color="auto" w:fill="FFFFFF"/>
        </w:rPr>
        <w:t>2022年计划完成省外到位48亿元。</w:t>
      </w:r>
      <w:r>
        <w:rPr>
          <w:rFonts w:hint="eastAsia" w:ascii="仿宋" w:hAnsi="仿宋" w:eastAsia="仿宋" w:cs="仿宋"/>
          <w:color w:val="auto"/>
          <w:sz w:val="32"/>
          <w:szCs w:val="32"/>
          <w:highlight w:val="none"/>
        </w:rPr>
        <w:t>1-11月，省外境内到位资金完成44.5亿元，完成</w:t>
      </w:r>
      <w:r>
        <w:rPr>
          <w:rFonts w:hint="eastAsia" w:ascii="仿宋" w:hAnsi="仿宋" w:eastAsia="仿宋" w:cs="仿宋"/>
          <w:color w:val="auto"/>
          <w:sz w:val="32"/>
          <w:szCs w:val="32"/>
          <w:highlight w:val="none"/>
          <w:lang w:eastAsia="zh-CN"/>
        </w:rPr>
        <w:t>年任务</w:t>
      </w:r>
      <w:r>
        <w:rPr>
          <w:rFonts w:hint="eastAsia" w:ascii="仿宋" w:hAnsi="仿宋" w:eastAsia="仿宋" w:cs="仿宋"/>
          <w:color w:val="auto"/>
          <w:sz w:val="32"/>
          <w:szCs w:val="32"/>
          <w:highlight w:val="none"/>
        </w:rPr>
        <w:t>93%。</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shd w:val="clear" w:color="auto" w:fill="FFFFFF"/>
        </w:rPr>
        <w:t>2.</w:t>
      </w:r>
      <w:r>
        <w:rPr>
          <w:rFonts w:hint="eastAsia" w:ascii="仿宋" w:hAnsi="仿宋" w:eastAsia="仿宋" w:cs="仿宋"/>
          <w:color w:val="auto"/>
          <w:sz w:val="32"/>
          <w:szCs w:val="32"/>
          <w:highlight w:val="none"/>
        </w:rPr>
        <w:t xml:space="preserve"> </w:t>
      </w:r>
      <w:r>
        <w:rPr>
          <w:rFonts w:hint="eastAsia" w:ascii="仿宋" w:hAnsi="仿宋" w:eastAsia="仿宋" w:cs="仿宋"/>
          <w:b/>
          <w:color w:val="auto"/>
          <w:sz w:val="32"/>
          <w:szCs w:val="32"/>
          <w:highlight w:val="none"/>
          <w:shd w:val="clear" w:color="auto" w:fill="FFFFFF"/>
        </w:rPr>
        <w:t>招大引强方面：</w:t>
      </w:r>
      <w:r>
        <w:rPr>
          <w:rFonts w:hint="eastAsia" w:ascii="仿宋" w:hAnsi="仿宋" w:eastAsia="仿宋" w:cs="仿宋"/>
          <w:color w:val="auto"/>
          <w:sz w:val="32"/>
          <w:szCs w:val="32"/>
          <w:highlight w:val="none"/>
        </w:rPr>
        <w:t>2-10亿元项目完成了中嘉电子、中国中车、中电国际、润兰上城、怀化市昌顺建筑工程有限公司等5个项目的签约，完成全年任务的100%；10亿元以上项目完成了盛世华都东区一期、哈电风能、宏润华府3个项目签约，完成年度任务150%；引进了国药控股、中电国际、哈电、中国中车、中国电建等5家“三类500强”企业</w:t>
      </w:r>
      <w:r>
        <w:rPr>
          <w:rFonts w:hint="eastAsia" w:ascii="仿宋" w:hAnsi="仿宋" w:eastAsia="仿宋" w:cs="仿宋"/>
          <w:color w:val="auto"/>
          <w:sz w:val="32"/>
          <w:szCs w:val="32"/>
          <w:highlight w:val="none"/>
          <w:lang w:eastAsia="zh-CN"/>
        </w:rPr>
        <w:t>（其中已注册</w:t>
      </w:r>
      <w:r>
        <w:rPr>
          <w:rFonts w:hint="eastAsia" w:ascii="仿宋" w:hAnsi="仿宋" w:eastAsia="仿宋" w:cs="仿宋"/>
          <w:color w:val="auto"/>
          <w:sz w:val="32"/>
          <w:szCs w:val="32"/>
          <w:highlight w:val="none"/>
          <w:lang w:val="en-US" w:eastAsia="zh-CN"/>
        </w:rPr>
        <w:t>3家，未注册2家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已超额完成年度任务</w:t>
      </w:r>
      <w:r>
        <w:rPr>
          <w:rFonts w:hint="eastAsia" w:ascii="仿宋" w:hAnsi="仿宋" w:eastAsia="仿宋" w:cs="仿宋"/>
          <w:color w:val="auto"/>
          <w:sz w:val="32"/>
          <w:szCs w:val="32"/>
          <w:highlight w:val="none"/>
        </w:rPr>
        <w:t>。1-11月完成湘商回归投资注册企业1</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目前湘商在谈项目</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家。其中，省级重大签约项目1家（方诺科技，投资额2亿元），“三类500强”企业</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家（国药控股，投资额1.1亿元</w:t>
      </w:r>
      <w:r>
        <w:rPr>
          <w:rFonts w:hint="eastAsia" w:ascii="仿宋" w:hAnsi="仿宋" w:eastAsia="仿宋" w:cs="仿宋"/>
          <w:color w:val="auto"/>
          <w:sz w:val="32"/>
          <w:szCs w:val="32"/>
          <w:highlight w:val="none"/>
          <w:lang w:val="en-US" w:eastAsia="zh-CN"/>
        </w:rPr>
        <w:t>；哈电风能，</w:t>
      </w:r>
      <w:r>
        <w:rPr>
          <w:rFonts w:hint="eastAsia" w:ascii="仿宋" w:hAnsi="仿宋" w:eastAsia="仿宋" w:cs="仿宋"/>
          <w:color w:val="auto"/>
          <w:sz w:val="32"/>
          <w:szCs w:val="32"/>
          <w:highlight w:val="none"/>
        </w:rPr>
        <w:t>投资额</w:t>
      </w:r>
      <w:r>
        <w:rPr>
          <w:rFonts w:hint="eastAsia" w:ascii="仿宋" w:hAnsi="仿宋" w:eastAsia="仿宋" w:cs="仿宋"/>
          <w:color w:val="auto"/>
          <w:sz w:val="32"/>
          <w:szCs w:val="32"/>
          <w:highlight w:val="none"/>
          <w:lang w:val="en-US" w:eastAsia="zh-CN"/>
        </w:rPr>
        <w:t>50</w:t>
      </w:r>
      <w:r>
        <w:rPr>
          <w:rFonts w:hint="eastAsia" w:ascii="仿宋" w:hAnsi="仿宋" w:eastAsia="仿宋" w:cs="仿宋"/>
          <w:color w:val="auto"/>
          <w:sz w:val="32"/>
          <w:szCs w:val="32"/>
          <w:highlight w:val="none"/>
        </w:rPr>
        <w:t>亿元</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中国中车</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投资额</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亿元</w:t>
      </w:r>
      <w:r>
        <w:rPr>
          <w:rFonts w:hint="eastAsia" w:ascii="仿宋" w:hAnsi="仿宋" w:eastAsia="仿宋" w:cs="仿宋"/>
          <w:color w:val="auto"/>
          <w:sz w:val="32"/>
          <w:szCs w:val="32"/>
          <w:highlight w:val="none"/>
          <w:lang w:val="en-US" w:eastAsia="zh-CN"/>
        </w:rPr>
        <w:t>；中国电建，</w:t>
      </w:r>
      <w:r>
        <w:rPr>
          <w:rFonts w:hint="eastAsia" w:ascii="仿宋" w:hAnsi="仿宋" w:eastAsia="仿宋" w:cs="仿宋"/>
          <w:color w:val="auto"/>
          <w:sz w:val="32"/>
          <w:szCs w:val="32"/>
          <w:highlight w:val="none"/>
        </w:rPr>
        <w:t>投资额</w:t>
      </w:r>
      <w:r>
        <w:rPr>
          <w:rFonts w:hint="eastAsia" w:ascii="仿宋" w:hAnsi="仿宋" w:eastAsia="仿宋" w:cs="仿宋"/>
          <w:color w:val="auto"/>
          <w:sz w:val="32"/>
          <w:szCs w:val="32"/>
          <w:highlight w:val="none"/>
          <w:lang w:val="en-US" w:eastAsia="zh-CN"/>
        </w:rPr>
        <w:t>0.02</w:t>
      </w:r>
      <w:r>
        <w:rPr>
          <w:rFonts w:hint="eastAsia" w:ascii="仿宋" w:hAnsi="仿宋" w:eastAsia="仿宋" w:cs="仿宋"/>
          <w:color w:val="auto"/>
          <w:sz w:val="32"/>
          <w:szCs w:val="32"/>
          <w:highlight w:val="none"/>
        </w:rPr>
        <w:t>亿元</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中电国际</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投资额</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亿元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项目合同引进总资金</w:t>
      </w:r>
      <w:r>
        <w:rPr>
          <w:rFonts w:hint="eastAsia" w:ascii="仿宋" w:hAnsi="仿宋" w:eastAsia="仿宋" w:cs="仿宋"/>
          <w:color w:val="auto"/>
          <w:sz w:val="32"/>
          <w:szCs w:val="32"/>
          <w:highlight w:val="none"/>
          <w:lang w:val="en-US" w:eastAsia="zh-CN"/>
        </w:rPr>
        <w:t>85.45</w:t>
      </w:r>
      <w:r>
        <w:rPr>
          <w:rFonts w:hint="eastAsia" w:ascii="仿宋" w:hAnsi="仿宋" w:eastAsia="仿宋" w:cs="仿宋"/>
          <w:color w:val="auto"/>
          <w:sz w:val="32"/>
          <w:szCs w:val="32"/>
          <w:highlight w:val="none"/>
        </w:rPr>
        <w:t>亿元，截止</w:t>
      </w:r>
      <w:r>
        <w:rPr>
          <w:rFonts w:hint="eastAsia" w:ascii="仿宋" w:hAnsi="仿宋" w:eastAsia="仿宋" w:cs="仿宋"/>
          <w:color w:val="auto"/>
          <w:sz w:val="32"/>
          <w:szCs w:val="32"/>
          <w:highlight w:val="none"/>
          <w:lang w:eastAsia="zh-CN"/>
        </w:rPr>
        <w:t>本</w:t>
      </w:r>
      <w:r>
        <w:rPr>
          <w:rFonts w:hint="eastAsia" w:ascii="仿宋" w:hAnsi="仿宋" w:eastAsia="仿宋" w:cs="仿宋"/>
          <w:color w:val="auto"/>
          <w:sz w:val="32"/>
          <w:szCs w:val="32"/>
          <w:highlight w:val="none"/>
        </w:rPr>
        <w:t>月底新增到位资金</w:t>
      </w:r>
      <w:r>
        <w:rPr>
          <w:rFonts w:hint="eastAsia" w:ascii="仿宋" w:hAnsi="仿宋" w:eastAsia="仿宋" w:cs="仿宋"/>
          <w:color w:val="auto"/>
          <w:sz w:val="32"/>
          <w:szCs w:val="32"/>
          <w:highlight w:val="none"/>
          <w:lang w:val="en-US" w:eastAsia="zh-CN"/>
        </w:rPr>
        <w:t>2.29</w:t>
      </w:r>
      <w:r>
        <w:rPr>
          <w:rFonts w:hint="eastAsia" w:ascii="仿宋" w:hAnsi="仿宋" w:eastAsia="仿宋" w:cs="仿宋"/>
          <w:color w:val="auto"/>
          <w:sz w:val="32"/>
          <w:szCs w:val="32"/>
          <w:highlight w:val="none"/>
        </w:rPr>
        <w:t>亿元，累计到位资金约</w:t>
      </w:r>
      <w:r>
        <w:rPr>
          <w:rFonts w:hint="eastAsia" w:ascii="仿宋" w:hAnsi="仿宋" w:eastAsia="仿宋" w:cs="仿宋"/>
          <w:color w:val="auto"/>
          <w:sz w:val="32"/>
          <w:szCs w:val="32"/>
          <w:highlight w:val="none"/>
          <w:lang w:val="en-US" w:eastAsia="zh-CN"/>
        </w:rPr>
        <w:t>12.57</w:t>
      </w:r>
      <w:r>
        <w:rPr>
          <w:rFonts w:hint="eastAsia" w:ascii="仿宋" w:hAnsi="仿宋" w:eastAsia="仿宋" w:cs="仿宋"/>
          <w:color w:val="auto"/>
          <w:sz w:val="32"/>
          <w:szCs w:val="32"/>
          <w:highlight w:val="none"/>
        </w:rPr>
        <w:t>亿元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完成年任务的</w:t>
      </w:r>
      <w:r>
        <w:rPr>
          <w:rFonts w:hint="eastAsia" w:ascii="仿宋" w:hAnsi="仿宋" w:eastAsia="仿宋" w:cs="仿宋"/>
          <w:color w:val="auto"/>
          <w:sz w:val="32"/>
          <w:szCs w:val="32"/>
          <w:highlight w:val="none"/>
          <w:lang w:val="en-US" w:eastAsia="zh-CN"/>
        </w:rPr>
        <w:t>193.38</w:t>
      </w:r>
      <w:r>
        <w:rPr>
          <w:rFonts w:hint="eastAsia" w:ascii="仿宋" w:hAnsi="仿宋" w:eastAsia="仿宋" w:cs="仿宋"/>
          <w:color w:val="auto"/>
          <w:sz w:val="32"/>
          <w:szCs w:val="32"/>
          <w:highlight w:val="none"/>
        </w:rPr>
        <w:t>%。</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shd w:val="clear" w:color="auto" w:fill="FFFFFF"/>
        </w:rPr>
        <w:t>3．外贸进出口总额。</w:t>
      </w:r>
      <w:r>
        <w:rPr>
          <w:rFonts w:hint="eastAsia" w:ascii="仿宋" w:hAnsi="仿宋" w:eastAsia="仿宋" w:cs="仿宋"/>
          <w:color w:val="auto"/>
          <w:sz w:val="32"/>
          <w:szCs w:val="32"/>
          <w:highlight w:val="none"/>
        </w:rPr>
        <w:t>2022年年度任务为完成外贸进出口总额1亿元。1-11月，我区（不含经开区）预计完成外贸进出口1.51亿元，完成年度任务的151%。(因11月正式数据海关暂未反馈，以上为预估值）全年新增亿莱斯贸易、威尔嘉贸易、容梓、宇昌供应链、豪乐梓等5家外贸破零企业。</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shd w:val="clear" w:color="auto" w:fill="FFFFFF"/>
        </w:rPr>
        <w:t>4.利用外资总额。</w:t>
      </w:r>
      <w:r>
        <w:rPr>
          <w:rFonts w:hint="eastAsia" w:ascii="仿宋" w:hAnsi="仿宋" w:eastAsia="仿宋" w:cs="仿宋"/>
          <w:color w:val="auto"/>
          <w:sz w:val="32"/>
          <w:szCs w:val="32"/>
          <w:highlight w:val="none"/>
        </w:rPr>
        <w:t>2022年计划完成350万美元。截止目前，外资到位资金489万美元，完成年任务的140%。</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shd w:val="clear" w:color="auto" w:fill="FFFFFF"/>
        </w:rPr>
        <w:t>5.固定资产投资方面。</w:t>
      </w:r>
      <w:r>
        <w:rPr>
          <w:rFonts w:hint="eastAsia" w:ascii="仿宋" w:hAnsi="仿宋" w:eastAsia="仿宋" w:cs="仿宋"/>
          <w:color w:val="auto"/>
          <w:sz w:val="32"/>
          <w:szCs w:val="32"/>
          <w:highlight w:val="none"/>
        </w:rPr>
        <w:t>2022年度商贸类固定资产投资计划完成10亿元，1-1</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月，已完成投资约5.</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亿元，完成年任务5</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shd w:val="clear" w:color="auto" w:fill="FFFFFF"/>
        </w:rPr>
        <w:t>6．社会消费品零售总额。</w:t>
      </w:r>
      <w:r>
        <w:rPr>
          <w:rFonts w:hint="eastAsia" w:ascii="仿宋" w:hAnsi="仿宋" w:eastAsia="仿宋" w:cs="仿宋"/>
          <w:color w:val="auto"/>
          <w:sz w:val="32"/>
          <w:szCs w:val="32"/>
          <w:highlight w:val="none"/>
        </w:rPr>
        <w:t>截至</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rPr>
        <w:t>月底，全区累计实现社会消费品零售总额231.25亿元，累计增速</w:t>
      </w:r>
      <w:r>
        <w:rPr>
          <w:rFonts w:hint="eastAsia" w:ascii="仿宋" w:hAnsi="仿宋" w:eastAsia="仿宋" w:cs="仿宋"/>
          <w:color w:val="auto"/>
          <w:sz w:val="32"/>
          <w:szCs w:val="32"/>
          <w:highlight w:val="none"/>
          <w:lang w:val="en-US" w:eastAsia="zh-CN"/>
        </w:rPr>
        <w:t>0.7</w:t>
      </w:r>
      <w:r>
        <w:rPr>
          <w:rFonts w:hint="eastAsia" w:ascii="仿宋" w:hAnsi="仿宋" w:eastAsia="仿宋" w:cs="仿宋"/>
          <w:color w:val="auto"/>
          <w:sz w:val="32"/>
          <w:szCs w:val="32"/>
          <w:highlight w:val="none"/>
        </w:rPr>
        <w:t>%，全市排名</w:t>
      </w:r>
      <w:r>
        <w:rPr>
          <w:rFonts w:hint="eastAsia" w:ascii="仿宋" w:hAnsi="仿宋" w:eastAsia="仿宋" w:cs="仿宋"/>
          <w:color w:val="auto"/>
          <w:sz w:val="32"/>
          <w:szCs w:val="32"/>
          <w:highlight w:val="none"/>
          <w:lang w:val="en-US" w:eastAsia="zh-CN"/>
        </w:rPr>
        <w:t>14位</w:t>
      </w:r>
      <w:r>
        <w:rPr>
          <w:rFonts w:hint="eastAsia" w:ascii="仿宋" w:hAnsi="仿宋" w:eastAsia="仿宋" w:cs="仿宋"/>
          <w:color w:val="auto"/>
          <w:sz w:val="32"/>
          <w:szCs w:val="32"/>
          <w:highlight w:val="none"/>
        </w:rPr>
        <w:t>。</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shd w:val="clear" w:color="auto" w:fill="FFFFFF"/>
        </w:rPr>
        <w:t>7.电子商务交易总额。</w:t>
      </w:r>
      <w:r>
        <w:rPr>
          <w:rFonts w:hint="eastAsia" w:ascii="仿宋" w:hAnsi="仿宋" w:eastAsia="仿宋" w:cs="仿宋"/>
          <w:color w:val="auto"/>
          <w:sz w:val="32"/>
          <w:szCs w:val="32"/>
          <w:highlight w:val="none"/>
          <w:shd w:val="clear" w:color="auto" w:fill="FFFFFF"/>
        </w:rPr>
        <w:t>2022年计划完成电子商务交易额30亿元。1-1</w:t>
      </w:r>
      <w:r>
        <w:rPr>
          <w:rFonts w:hint="eastAsia" w:ascii="仿宋" w:hAnsi="仿宋" w:eastAsia="仿宋" w:cs="仿宋"/>
          <w:color w:val="auto"/>
          <w:sz w:val="32"/>
          <w:szCs w:val="32"/>
          <w:highlight w:val="none"/>
          <w:shd w:val="clear" w:color="auto" w:fill="FFFFFF"/>
          <w:lang w:val="en-US" w:eastAsia="zh-CN"/>
        </w:rPr>
        <w:t>1</w:t>
      </w:r>
      <w:r>
        <w:rPr>
          <w:rFonts w:hint="eastAsia" w:ascii="仿宋" w:hAnsi="仿宋" w:eastAsia="仿宋" w:cs="仿宋"/>
          <w:color w:val="auto"/>
          <w:sz w:val="32"/>
          <w:szCs w:val="32"/>
          <w:highlight w:val="none"/>
          <w:shd w:val="clear" w:color="auto" w:fill="FFFFFF"/>
        </w:rPr>
        <w:t>月，预计实现电子商务交易额2</w:t>
      </w:r>
      <w:r>
        <w:rPr>
          <w:rFonts w:hint="eastAsia" w:ascii="仿宋" w:hAnsi="仿宋" w:eastAsia="仿宋" w:cs="仿宋"/>
          <w:color w:val="auto"/>
          <w:sz w:val="32"/>
          <w:szCs w:val="32"/>
          <w:highlight w:val="none"/>
          <w:shd w:val="clear" w:color="auto" w:fill="FFFFFF"/>
          <w:lang w:val="en-US" w:eastAsia="zh-CN"/>
        </w:rPr>
        <w:t>7</w:t>
      </w:r>
      <w:r>
        <w:rPr>
          <w:rFonts w:hint="eastAsia" w:ascii="仿宋" w:hAnsi="仿宋" w:eastAsia="仿宋" w:cs="仿宋"/>
          <w:color w:val="auto"/>
          <w:sz w:val="32"/>
          <w:szCs w:val="32"/>
          <w:highlight w:val="none"/>
          <w:shd w:val="clear" w:color="auto" w:fill="FFFFFF"/>
        </w:rPr>
        <w:t>亿元，完成年计划的90%。</w:t>
      </w:r>
      <w:r>
        <w:rPr>
          <w:rFonts w:hint="eastAsia" w:ascii="仿宋" w:hAnsi="仿宋" w:eastAsia="仿宋" w:cs="仿宋"/>
          <w:color w:val="auto"/>
          <w:sz w:val="32"/>
          <w:szCs w:val="32"/>
          <w:highlight w:val="none"/>
        </w:rPr>
        <w:t>计划完成湖南省“数商兴农”电商销售农产品零售额1.95亿元，目前已完成</w:t>
      </w:r>
      <w:r>
        <w:rPr>
          <w:rFonts w:hint="eastAsia" w:ascii="仿宋" w:hAnsi="仿宋" w:eastAsia="仿宋" w:cs="仿宋"/>
          <w:color w:val="auto"/>
          <w:sz w:val="32"/>
          <w:szCs w:val="32"/>
          <w:highlight w:val="none"/>
          <w:lang w:val="en-US" w:eastAsia="zh-CN"/>
        </w:rPr>
        <w:t>2.12</w:t>
      </w:r>
      <w:r>
        <w:rPr>
          <w:rFonts w:hint="eastAsia" w:ascii="仿宋" w:hAnsi="仿宋" w:eastAsia="仿宋" w:cs="仿宋"/>
          <w:color w:val="auto"/>
          <w:sz w:val="32"/>
          <w:szCs w:val="32"/>
          <w:highlight w:val="none"/>
        </w:rPr>
        <w:t>亿元，完成年任务的</w:t>
      </w:r>
      <w:r>
        <w:rPr>
          <w:rFonts w:hint="eastAsia" w:ascii="仿宋" w:hAnsi="仿宋" w:eastAsia="仿宋" w:cs="仿宋"/>
          <w:color w:val="auto"/>
          <w:sz w:val="32"/>
          <w:szCs w:val="32"/>
          <w:highlight w:val="none"/>
          <w:lang w:val="en-US" w:eastAsia="zh-CN"/>
        </w:rPr>
        <w:t>108.72</w:t>
      </w:r>
      <w:r>
        <w:rPr>
          <w:rFonts w:hint="eastAsia" w:ascii="仿宋" w:hAnsi="仿宋" w:eastAsia="仿宋" w:cs="仿宋"/>
          <w:color w:val="auto"/>
          <w:sz w:val="32"/>
          <w:szCs w:val="32"/>
          <w:highlight w:val="none"/>
        </w:rPr>
        <w:t>%。</w:t>
      </w:r>
    </w:p>
    <w:p>
      <w:pPr>
        <w:keepNext w:val="0"/>
        <w:keepLines w:val="0"/>
        <w:pageBreakBefore w:val="0"/>
        <w:kinsoku/>
        <w:wordWrap/>
        <w:overflowPunct/>
        <w:topLinePunct w:val="0"/>
        <w:autoSpaceDE w:val="0"/>
        <w:autoSpaceDN/>
        <w:bidi w:val="0"/>
        <w:spacing w:beforeAutospacing="0" w:after="0" w:afterAutospacing="0" w:line="578" w:lineRule="exact"/>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shd w:val="clear" w:color="auto" w:fill="FFFFFF"/>
        </w:rPr>
        <w:t>8.民生实事项目完成情况。</w:t>
      </w:r>
      <w:r>
        <w:rPr>
          <w:rFonts w:hint="eastAsia" w:ascii="仿宋" w:hAnsi="仿宋" w:eastAsia="仿宋" w:cs="仿宋"/>
          <w:color w:val="auto"/>
          <w:sz w:val="32"/>
          <w:szCs w:val="32"/>
          <w:highlight w:val="none"/>
        </w:rPr>
        <w:t>2022年市政府下达的民生实事任务为：完成城北农贸市场标准化改造及15个试点社区便民生活区建设工作。截至</w:t>
      </w:r>
      <w:r>
        <w:rPr>
          <w:rFonts w:hint="eastAsia" w:ascii="仿宋" w:hAnsi="仿宋" w:eastAsia="仿宋" w:cs="仿宋"/>
          <w:color w:val="auto"/>
          <w:sz w:val="32"/>
          <w:szCs w:val="32"/>
          <w:highlight w:val="none"/>
          <w:lang w:val="en-US" w:eastAsia="zh-CN"/>
        </w:rPr>
        <w:t>11</w:t>
      </w:r>
      <w:r>
        <w:rPr>
          <w:rFonts w:hint="eastAsia" w:ascii="仿宋" w:hAnsi="仿宋" w:eastAsia="仿宋" w:cs="仿宋"/>
          <w:color w:val="auto"/>
          <w:sz w:val="32"/>
          <w:szCs w:val="32"/>
          <w:highlight w:val="none"/>
        </w:rPr>
        <w:t>月底，城北农贸市场已完成标准化改造，完成投资230万元；15个试点社区已完成建设任务的</w:t>
      </w:r>
      <w:r>
        <w:rPr>
          <w:rFonts w:hint="eastAsia" w:ascii="仿宋" w:hAnsi="仿宋" w:eastAsia="仿宋" w:cs="仿宋"/>
          <w:color w:val="auto"/>
          <w:sz w:val="32"/>
          <w:szCs w:val="32"/>
          <w:highlight w:val="none"/>
          <w:lang w:val="en-US" w:eastAsia="zh-CN"/>
        </w:rPr>
        <w:t>93</w:t>
      </w:r>
      <w:r>
        <w:rPr>
          <w:rFonts w:hint="eastAsia" w:ascii="仿宋" w:hAnsi="仿宋" w:eastAsia="仿宋" w:cs="仿宋"/>
          <w:color w:val="auto"/>
          <w:sz w:val="32"/>
          <w:szCs w:val="32"/>
          <w:highlight w:val="none"/>
        </w:rPr>
        <w:t>%，因疫情影响，</w:t>
      </w:r>
      <w:r>
        <w:rPr>
          <w:rFonts w:hint="eastAsia" w:ascii="仿宋" w:hAnsi="仿宋" w:eastAsia="仿宋" w:cs="仿宋"/>
          <w:color w:val="auto"/>
          <w:sz w:val="32"/>
          <w:szCs w:val="32"/>
          <w:highlight w:val="none"/>
          <w:lang w:eastAsia="zh-CN"/>
        </w:rPr>
        <w:t>各街道</w:t>
      </w:r>
      <w:r>
        <w:rPr>
          <w:rFonts w:hint="eastAsia" w:ascii="仿宋" w:hAnsi="仿宋" w:eastAsia="仿宋" w:cs="仿宋"/>
          <w:color w:val="auto"/>
          <w:sz w:val="32"/>
          <w:szCs w:val="32"/>
          <w:highlight w:val="none"/>
        </w:rPr>
        <w:t>社区</w:t>
      </w:r>
      <w:r>
        <w:rPr>
          <w:rFonts w:hint="eastAsia" w:ascii="仿宋" w:hAnsi="仿宋" w:eastAsia="仿宋" w:cs="仿宋"/>
          <w:color w:val="auto"/>
          <w:sz w:val="32"/>
          <w:szCs w:val="32"/>
          <w:highlight w:val="none"/>
          <w:lang w:eastAsia="zh-CN"/>
        </w:rPr>
        <w:t>忙于</w:t>
      </w:r>
      <w:r>
        <w:rPr>
          <w:rFonts w:hint="eastAsia" w:ascii="仿宋" w:hAnsi="仿宋" w:eastAsia="仿宋" w:cs="仿宋"/>
          <w:color w:val="auto"/>
          <w:sz w:val="32"/>
          <w:szCs w:val="32"/>
          <w:highlight w:val="none"/>
        </w:rPr>
        <w:t>防疫，部分试点社区项目建设序时进度未按时完成，市级考核验收</w:t>
      </w:r>
      <w:r>
        <w:rPr>
          <w:rFonts w:hint="eastAsia" w:ascii="仿宋" w:hAnsi="仿宋" w:eastAsia="仿宋" w:cs="仿宋"/>
          <w:color w:val="auto"/>
          <w:sz w:val="32"/>
          <w:szCs w:val="32"/>
          <w:highlight w:val="none"/>
          <w:lang w:eastAsia="zh-CN"/>
        </w:rPr>
        <w:t>已推迟至</w:t>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eastAsia="zh-CN"/>
        </w:rPr>
        <w:t>中旬</w:t>
      </w:r>
      <w:r>
        <w:rPr>
          <w:rFonts w:hint="eastAsia" w:ascii="仿宋" w:hAnsi="仿宋" w:eastAsia="仿宋" w:cs="仿宋"/>
          <w:color w:val="auto"/>
          <w:sz w:val="32"/>
          <w:szCs w:val="32"/>
          <w:highlight w:val="none"/>
        </w:rPr>
        <w:t>。</w:t>
      </w:r>
    </w:p>
    <w:p>
      <w:pPr>
        <w:keepNext w:val="0"/>
        <w:keepLines w:val="0"/>
        <w:pageBreakBefore w:val="0"/>
        <w:kinsoku/>
        <w:wordWrap/>
        <w:overflowPunct/>
        <w:topLinePunct w:val="0"/>
        <w:autoSpaceDN/>
        <w:bidi w:val="0"/>
        <w:spacing w:beforeAutospacing="0" w:after="0" w:afterAutospacing="0" w:line="578"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二、主要工作及成效</w:t>
      </w:r>
    </w:p>
    <w:p>
      <w:pPr>
        <w:keepNext w:val="0"/>
        <w:keepLines w:val="0"/>
        <w:pageBreakBefore w:val="0"/>
        <w:kinsoku/>
        <w:wordWrap/>
        <w:overflowPunct/>
        <w:topLinePunct w:val="0"/>
        <w:autoSpaceDE w:val="0"/>
        <w:autoSpaceDN/>
        <w:bidi w:val="0"/>
        <w:spacing w:beforeAutospacing="0" w:after="0" w:afterAutospacing="0" w:line="578"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区商务局主要负责拟定全区内外贸发展规划及政策措施、推进流通产业结构调整和指导和管理全区招商引资等18项职能职责。</w:t>
      </w:r>
    </w:p>
    <w:p>
      <w:pPr>
        <w:keepNext w:val="0"/>
        <w:keepLines w:val="0"/>
        <w:pageBreakBefore w:val="0"/>
        <w:kinsoku/>
        <w:wordWrap/>
        <w:overflowPunct/>
        <w:topLinePunct w:val="0"/>
        <w:autoSpaceDN/>
        <w:bidi w:val="0"/>
        <w:spacing w:beforeAutospacing="0" w:after="0" w:afterAutospacing="0" w:line="578"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2022年指标完成情况</w:t>
      </w:r>
    </w:p>
    <w:p>
      <w:pPr>
        <w:keepNext w:val="0"/>
        <w:keepLines w:val="0"/>
        <w:pageBreakBefore w:val="0"/>
        <w:kinsoku/>
        <w:wordWrap/>
        <w:overflowPunct/>
        <w:topLinePunct w:val="0"/>
        <w:autoSpaceDN/>
        <w:bidi w:val="0"/>
        <w:spacing w:beforeAutospacing="0" w:after="0" w:afterAutospacing="0" w:line="578" w:lineRule="exact"/>
        <w:ind w:firstLine="643" w:firstLineChars="200"/>
        <w:textAlignment w:val="auto"/>
        <w:rPr>
          <w:rStyle w:val="18"/>
          <w:rFonts w:hint="eastAsia" w:ascii="仿宋" w:hAnsi="仿宋" w:eastAsia="仿宋" w:cs="仿宋"/>
          <w:sz w:val="32"/>
          <w:szCs w:val="32"/>
          <w:highlight w:val="none"/>
        </w:rPr>
      </w:pPr>
      <w:r>
        <w:rPr>
          <w:rFonts w:hint="eastAsia" w:ascii="仿宋" w:hAnsi="仿宋" w:eastAsia="仿宋" w:cs="仿宋"/>
          <w:b/>
          <w:kern w:val="2"/>
          <w:sz w:val="32"/>
          <w:szCs w:val="32"/>
          <w:highlight w:val="none"/>
        </w:rPr>
        <w:t>1.全力稳消费恢复。一是落实政策方面。</w:t>
      </w:r>
      <w:r>
        <w:rPr>
          <w:rFonts w:hint="eastAsia" w:ascii="仿宋" w:hAnsi="仿宋" w:eastAsia="仿宋" w:cs="仿宋"/>
          <w:sz w:val="32"/>
          <w:szCs w:val="32"/>
          <w:highlight w:val="none"/>
        </w:rPr>
        <w:t>根据市商务局相关文件精神，1月份拨付万达、通程等8家商超促消费资金共8万元；支持汽车协会承办汽车展销节经费10万元。</w:t>
      </w:r>
      <w:r>
        <w:rPr>
          <w:rFonts w:hint="eastAsia" w:ascii="仿宋" w:hAnsi="仿宋" w:eastAsia="仿宋" w:cs="仿宋"/>
          <w:b/>
          <w:kern w:val="2"/>
          <w:sz w:val="32"/>
          <w:szCs w:val="32"/>
          <w:highlight w:val="none"/>
        </w:rPr>
        <w:t>二是协助举办促销活动</w:t>
      </w:r>
      <w:r>
        <w:rPr>
          <w:rFonts w:hint="eastAsia" w:ascii="仿宋" w:hAnsi="仿宋" w:eastAsia="仿宋" w:cs="仿宋"/>
          <w:kern w:val="2"/>
          <w:sz w:val="32"/>
          <w:szCs w:val="32"/>
          <w:highlight w:val="none"/>
        </w:rPr>
        <w:t>。</w:t>
      </w:r>
      <w:r>
        <w:rPr>
          <w:rFonts w:hint="eastAsia" w:ascii="仿宋" w:hAnsi="仿宋" w:eastAsia="仿宋" w:cs="仿宋"/>
          <w:sz w:val="32"/>
          <w:szCs w:val="32"/>
          <w:highlight w:val="none"/>
        </w:rPr>
        <w:t>6月下旬，联合市商务局、万达商业举办消费季启动仪式、首届网络抖神音乐节、武陵山片区第三届美食文化艺术节和“嗨GO怀化、越夜越精彩”夜经济主题促消费活动；7月，举办《怀化榜样》品牌推荐消费节、美团“外卖消费节”活动，联合居然之家、红星美凯龙开展家居建材促销专场，联合苏宁易购、国美电器开展家电嗨购促销专场，引导佳惠、步步高、万达等商贸企业开展常规促销活动42场次。</w:t>
      </w:r>
      <w:r>
        <w:rPr>
          <w:rFonts w:hint="eastAsia" w:ascii="仿宋" w:hAnsi="仿宋" w:eastAsia="仿宋" w:cs="仿宋"/>
          <w:b/>
          <w:kern w:val="2"/>
          <w:sz w:val="32"/>
          <w:szCs w:val="32"/>
          <w:highlight w:val="none"/>
        </w:rPr>
        <w:t>三是联合举办汽车展销会。</w:t>
      </w:r>
      <w:r>
        <w:rPr>
          <w:rStyle w:val="18"/>
          <w:rFonts w:hint="eastAsia" w:ascii="仿宋" w:hAnsi="仿宋" w:eastAsia="仿宋" w:cs="仿宋"/>
          <w:sz w:val="32"/>
          <w:szCs w:val="32"/>
          <w:highlight w:val="none"/>
        </w:rPr>
        <w:t>6月3日-5日，联合市汽车协会、万达举办了“怀化市夏季•汽车嘉年华”汽车展销节，共销售汽车630余台，销售额达8000万元；9月10日-12日，联合市汽车协会、市商务局开展了怀化惠民购车节暨 2022（第十九届）百强县市汽车巡展，共销售汽车512台，销售额达7000万元。</w:t>
      </w:r>
      <w:r>
        <w:rPr>
          <w:rFonts w:hint="eastAsia" w:ascii="仿宋" w:hAnsi="仿宋" w:eastAsia="仿宋" w:cs="仿宋"/>
          <w:b/>
          <w:kern w:val="2"/>
          <w:sz w:val="32"/>
          <w:szCs w:val="32"/>
          <w:highlight w:val="none"/>
        </w:rPr>
        <w:t>四是企业培育方面。</w:t>
      </w:r>
      <w:r>
        <w:rPr>
          <w:rStyle w:val="18"/>
          <w:rFonts w:hint="eastAsia" w:ascii="仿宋" w:hAnsi="仿宋" w:eastAsia="仿宋" w:cs="仿宋"/>
          <w:sz w:val="32"/>
          <w:szCs w:val="32"/>
          <w:highlight w:val="none"/>
        </w:rPr>
        <w:t>2022年商贸企业年度入统21家，经过前期对全区商贸流通企业调研摸底、上门走访等方式，</w:t>
      </w:r>
      <w:r>
        <w:rPr>
          <w:rStyle w:val="18"/>
          <w:rFonts w:hint="eastAsia" w:ascii="仿宋" w:hAnsi="仿宋" w:eastAsia="仿宋" w:cs="仿宋"/>
          <w:sz w:val="32"/>
          <w:szCs w:val="32"/>
          <w:highlight w:val="none"/>
          <w:lang w:eastAsia="zh-CN"/>
        </w:rPr>
        <w:t>目前已</w:t>
      </w:r>
      <w:r>
        <w:rPr>
          <w:rStyle w:val="18"/>
          <w:rFonts w:hint="eastAsia" w:ascii="仿宋" w:hAnsi="仿宋" w:eastAsia="仿宋" w:cs="仿宋"/>
          <w:sz w:val="32"/>
          <w:szCs w:val="32"/>
          <w:highlight w:val="none"/>
        </w:rPr>
        <w:t>完成</w:t>
      </w:r>
      <w:r>
        <w:rPr>
          <w:rStyle w:val="18"/>
          <w:rFonts w:hint="eastAsia" w:ascii="仿宋" w:hAnsi="仿宋" w:eastAsia="仿宋" w:cs="仿宋"/>
          <w:sz w:val="32"/>
          <w:szCs w:val="32"/>
          <w:highlight w:val="none"/>
          <w:lang w:val="en-US" w:eastAsia="zh-CN"/>
        </w:rPr>
        <w:t>28家企业入统，完成年任务的133%</w:t>
      </w:r>
      <w:r>
        <w:rPr>
          <w:rStyle w:val="18"/>
          <w:rFonts w:hint="eastAsia" w:ascii="仿宋" w:hAnsi="仿宋" w:eastAsia="仿宋" w:cs="仿宋"/>
          <w:sz w:val="32"/>
          <w:szCs w:val="32"/>
          <w:highlight w:val="none"/>
        </w:rPr>
        <w:t>。</w:t>
      </w:r>
    </w:p>
    <w:p>
      <w:pPr>
        <w:pStyle w:val="10"/>
        <w:keepNext w:val="0"/>
        <w:keepLines w:val="0"/>
        <w:pageBreakBefore w:val="0"/>
        <w:kinsoku/>
        <w:wordWrap/>
        <w:overflowPunct/>
        <w:topLinePunct w:val="0"/>
        <w:autoSpaceDN/>
        <w:bidi w:val="0"/>
        <w:spacing w:beforeAutospacing="0" w:afterAutospacing="0" w:line="578" w:lineRule="exact"/>
        <w:ind w:firstLine="710" w:firstLineChars="221"/>
        <w:textAlignment w:val="auto"/>
        <w:rPr>
          <w:rStyle w:val="18"/>
          <w:rFonts w:hint="eastAsia" w:ascii="仿宋" w:hAnsi="仿宋" w:eastAsia="仿宋" w:cs="仿宋"/>
          <w:kern w:val="0"/>
          <w:sz w:val="32"/>
          <w:szCs w:val="32"/>
          <w:highlight w:val="none"/>
        </w:rPr>
      </w:pPr>
      <w:r>
        <w:rPr>
          <w:rFonts w:hint="eastAsia" w:ascii="仿宋" w:hAnsi="仿宋" w:eastAsia="仿宋" w:cs="仿宋"/>
          <w:b/>
          <w:sz w:val="32"/>
          <w:szCs w:val="32"/>
          <w:highlight w:val="none"/>
        </w:rPr>
        <w:t>2.着力促招商引资。一是拟定考核细则分解下达招商任务。</w:t>
      </w:r>
      <w:r>
        <w:rPr>
          <w:rStyle w:val="18"/>
          <w:rFonts w:hint="eastAsia" w:ascii="仿宋" w:hAnsi="仿宋" w:eastAsia="仿宋" w:cs="仿宋"/>
          <w:kern w:val="0"/>
          <w:sz w:val="32"/>
          <w:szCs w:val="32"/>
          <w:highlight w:val="none"/>
        </w:rPr>
        <w:t>出台了《2022年怀化市鹤城区招商引资及开放型经济工作考核实施细则》，将外资引进任务纳入到全区绩效考核工作。</w:t>
      </w:r>
      <w:r>
        <w:rPr>
          <w:rFonts w:hint="eastAsia" w:ascii="仿宋" w:hAnsi="仿宋" w:eastAsia="仿宋" w:cs="仿宋"/>
          <w:b/>
          <w:sz w:val="32"/>
          <w:szCs w:val="32"/>
          <w:highlight w:val="none"/>
        </w:rPr>
        <w:t>二是召开全区招商工作培训班。</w:t>
      </w:r>
      <w:r>
        <w:rPr>
          <w:rStyle w:val="18"/>
          <w:rFonts w:hint="eastAsia" w:ascii="仿宋" w:hAnsi="仿宋" w:eastAsia="仿宋" w:cs="仿宋"/>
          <w:kern w:val="0"/>
          <w:sz w:val="32"/>
          <w:szCs w:val="32"/>
          <w:highlight w:val="none"/>
        </w:rPr>
        <w:t>组织产业链牵头单位、重点招商引资部门等单位开展业务培训班，全面提高招商队伍的业务水平。</w:t>
      </w:r>
      <w:r>
        <w:rPr>
          <w:rFonts w:hint="eastAsia" w:ascii="仿宋" w:hAnsi="仿宋" w:eastAsia="仿宋" w:cs="仿宋"/>
          <w:b/>
          <w:sz w:val="32"/>
          <w:szCs w:val="32"/>
          <w:highlight w:val="none"/>
        </w:rPr>
        <w:t>三是紧密调度联络项目。</w:t>
      </w:r>
      <w:r>
        <w:rPr>
          <w:rStyle w:val="18"/>
          <w:rFonts w:hint="eastAsia" w:ascii="仿宋" w:hAnsi="仿宋" w:eastAsia="仿宋" w:cs="仿宋"/>
          <w:kern w:val="0"/>
          <w:sz w:val="32"/>
          <w:szCs w:val="32"/>
          <w:highlight w:val="none"/>
        </w:rPr>
        <w:t>区级领导多次调度衔接怀商智能科技、华自科技格莱特等项目；持续跟踪或洽商德锐、浙江万民、台州鑫联诚生物</w:t>
      </w:r>
      <w:r>
        <w:rPr>
          <w:rStyle w:val="18"/>
          <w:rFonts w:hint="eastAsia" w:ascii="仿宋" w:hAnsi="仿宋" w:eastAsia="仿宋" w:cs="仿宋"/>
          <w:kern w:val="0"/>
          <w:sz w:val="32"/>
          <w:szCs w:val="32"/>
          <w:highlight w:val="none"/>
          <w:lang w:eastAsia="zh-CN"/>
        </w:rPr>
        <w:t>、</w:t>
      </w:r>
      <w:r>
        <w:rPr>
          <w:rStyle w:val="18"/>
          <w:rFonts w:hint="eastAsia" w:ascii="仿宋" w:hAnsi="仿宋" w:eastAsia="仿宋" w:cs="仿宋"/>
          <w:kern w:val="0"/>
          <w:sz w:val="32"/>
          <w:szCs w:val="32"/>
          <w:highlight w:val="none"/>
        </w:rPr>
        <w:t>心里程和佰润包装等项目；协调九三学社、鹤城民建等党派正开展东盟物流、“五定班列”和供应链基地等融入RCEP调研工作，努力实现外商投资和进出口贸易取得新突破。</w:t>
      </w:r>
      <w:r>
        <w:rPr>
          <w:rFonts w:hint="eastAsia" w:ascii="仿宋" w:hAnsi="仿宋" w:eastAsia="仿宋" w:cs="仿宋"/>
          <w:b/>
          <w:sz w:val="32"/>
          <w:szCs w:val="32"/>
          <w:highlight w:val="none"/>
        </w:rPr>
        <w:t>四是包装整理招商项目。</w:t>
      </w:r>
      <w:r>
        <w:rPr>
          <w:rStyle w:val="18"/>
          <w:rFonts w:hint="eastAsia" w:ascii="仿宋" w:hAnsi="仿宋" w:eastAsia="仿宋" w:cs="仿宋"/>
          <w:kern w:val="0"/>
          <w:sz w:val="32"/>
          <w:szCs w:val="32"/>
          <w:highlight w:val="none"/>
        </w:rPr>
        <w:t>加强部门协调调度，重新梳理、筛选一批优质招商项目列2022年度重点招商引资项目库，并做好新项目发布等前期工作，衔接上位规划，对接相关部门，正在进行项目的落地性和可能性论证工作。</w:t>
      </w:r>
    </w:p>
    <w:p>
      <w:pPr>
        <w:pStyle w:val="10"/>
        <w:keepNext w:val="0"/>
        <w:keepLines w:val="0"/>
        <w:pageBreakBefore w:val="0"/>
        <w:kinsoku/>
        <w:wordWrap/>
        <w:overflowPunct/>
        <w:topLinePunct w:val="0"/>
        <w:autoSpaceDN/>
        <w:bidi w:val="0"/>
        <w:spacing w:beforeAutospacing="0" w:afterAutospacing="0" w:line="578" w:lineRule="exact"/>
        <w:ind w:firstLine="710" w:firstLineChars="221"/>
        <w:textAlignment w:val="auto"/>
        <w:rPr>
          <w:rFonts w:hint="eastAsia" w:ascii="仿宋" w:hAnsi="仿宋" w:eastAsia="仿宋" w:cs="仿宋"/>
          <w:sz w:val="32"/>
          <w:szCs w:val="32"/>
          <w:highlight w:val="none"/>
        </w:rPr>
      </w:pPr>
      <w:r>
        <w:rPr>
          <w:rFonts w:hint="eastAsia" w:ascii="仿宋" w:hAnsi="仿宋" w:eastAsia="仿宋" w:cs="仿宋"/>
          <w:b/>
          <w:sz w:val="32"/>
          <w:szCs w:val="32"/>
          <w:highlight w:val="none"/>
        </w:rPr>
        <w:t>3.</w:t>
      </w:r>
      <w:r>
        <w:rPr>
          <w:rFonts w:hint="eastAsia" w:ascii="仿宋" w:hAnsi="仿宋" w:eastAsia="仿宋" w:cs="仿宋"/>
          <w:b/>
          <w:bCs/>
          <w:kern w:val="0"/>
          <w:sz w:val="32"/>
          <w:szCs w:val="32"/>
          <w:highlight w:val="none"/>
        </w:rPr>
        <w:t>推进现代流通</w:t>
      </w:r>
      <w:r>
        <w:rPr>
          <w:rFonts w:hint="eastAsia" w:ascii="仿宋" w:hAnsi="仿宋" w:eastAsia="仿宋" w:cs="仿宋"/>
          <w:b/>
          <w:bCs/>
          <w:kern w:val="0"/>
          <w:sz w:val="32"/>
          <w:szCs w:val="32"/>
          <w:highlight w:val="none"/>
          <w:lang w:eastAsia="zh-CN"/>
        </w:rPr>
        <w:t>更新</w:t>
      </w:r>
      <w:r>
        <w:rPr>
          <w:rFonts w:hint="eastAsia" w:ascii="仿宋" w:hAnsi="仿宋" w:eastAsia="仿宋" w:cs="仿宋"/>
          <w:b/>
          <w:bCs/>
          <w:kern w:val="0"/>
          <w:sz w:val="32"/>
          <w:szCs w:val="32"/>
          <w:highlight w:val="none"/>
        </w:rPr>
        <w:t>。</w:t>
      </w:r>
      <w:r>
        <w:rPr>
          <w:rFonts w:hint="eastAsia" w:ascii="仿宋" w:hAnsi="仿宋" w:eastAsia="仿宋" w:cs="仿宋"/>
          <w:b/>
          <w:bCs/>
          <w:kern w:val="0"/>
          <w:sz w:val="32"/>
          <w:szCs w:val="32"/>
          <w:highlight w:val="none"/>
          <w:lang w:eastAsia="zh-CN"/>
        </w:rPr>
        <w:t>一方面，推进县域商业体系更新。</w:t>
      </w:r>
      <w:r>
        <w:rPr>
          <w:rFonts w:hint="eastAsia" w:ascii="仿宋" w:hAnsi="仿宋" w:eastAsia="仿宋" w:cs="仿宋"/>
          <w:sz w:val="32"/>
          <w:szCs w:val="32"/>
          <w:highlight w:val="none"/>
        </w:rPr>
        <w:t>截至1</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月底，我区已组织10家企业申报省级县域商业建设，指导新优果商贸、好伴天福、佳惠新零售、惠农物流和黄岩旅游等8个企业，争取到县域商业体系建设、农产品冷链体系建设和疫情保供等10个项目，预计省级支持资金560万元。</w:t>
      </w:r>
      <w:r>
        <w:rPr>
          <w:rFonts w:hint="eastAsia" w:ascii="仿宋" w:hAnsi="仿宋" w:eastAsia="仿宋" w:cs="仿宋"/>
          <w:b/>
          <w:bCs/>
          <w:kern w:val="0"/>
          <w:sz w:val="32"/>
          <w:szCs w:val="32"/>
          <w:highlight w:val="none"/>
          <w:lang w:eastAsia="zh-CN"/>
        </w:rPr>
        <w:t>另一方面，推动流通现代化升级。</w:t>
      </w:r>
      <w:r>
        <w:rPr>
          <w:rFonts w:hint="eastAsia" w:ascii="仿宋" w:hAnsi="仿宋" w:eastAsia="仿宋" w:cs="仿宋"/>
          <w:sz w:val="32"/>
          <w:szCs w:val="32"/>
          <w:highlight w:val="none"/>
        </w:rPr>
        <w:t>指导协调佳惠供应链、桐森供应链等10多家企业申报省物流业发展三年行动计划项目10余项，预计资金600多万元。后续，我区将进一步开展辖区内企业摸底调研，为明年现代流通及县域商业体系建设奠定基础。</w:t>
      </w:r>
    </w:p>
    <w:p>
      <w:pPr>
        <w:keepNext w:val="0"/>
        <w:keepLines w:val="0"/>
        <w:pageBreakBefore w:val="0"/>
        <w:kinsoku/>
        <w:wordWrap/>
        <w:overflowPunct/>
        <w:topLinePunct w:val="0"/>
        <w:autoSpaceDE w:val="0"/>
        <w:autoSpaceDN/>
        <w:bidi w:val="0"/>
        <w:spacing w:beforeAutospacing="0" w:afterAutospacing="0" w:line="578" w:lineRule="exact"/>
        <w:ind w:firstLine="643" w:firstLineChars="200"/>
        <w:jc w:val="left"/>
        <w:textAlignment w:val="auto"/>
        <w:rPr>
          <w:rFonts w:hint="eastAsia" w:ascii="仿宋" w:hAnsi="仿宋" w:eastAsia="仿宋" w:cs="仿宋"/>
          <w:color w:val="000000"/>
          <w:sz w:val="32"/>
          <w:szCs w:val="32"/>
          <w:highlight w:val="none"/>
          <w:shd w:val="clear" w:color="auto" w:fill="FFFFFF"/>
        </w:rPr>
      </w:pPr>
      <w:r>
        <w:rPr>
          <w:rFonts w:hint="eastAsia" w:ascii="仿宋" w:hAnsi="仿宋" w:eastAsia="仿宋" w:cs="仿宋"/>
          <w:b/>
          <w:color w:val="000000"/>
          <w:sz w:val="32"/>
          <w:szCs w:val="32"/>
          <w:highlight w:val="none"/>
          <w:shd w:val="clear" w:color="auto" w:fill="FFFFFF"/>
        </w:rPr>
        <w:t>4.</w:t>
      </w:r>
      <w:r>
        <w:rPr>
          <w:rFonts w:hint="eastAsia" w:ascii="仿宋" w:hAnsi="仿宋" w:eastAsia="仿宋" w:cs="仿宋"/>
          <w:b/>
          <w:color w:val="000000"/>
          <w:sz w:val="32"/>
          <w:szCs w:val="32"/>
          <w:highlight w:val="none"/>
          <w:shd w:val="clear" w:color="auto" w:fill="FFFFFF"/>
          <w:lang w:eastAsia="zh-CN"/>
        </w:rPr>
        <w:t>全力做好疫情防控</w:t>
      </w:r>
      <w:r>
        <w:rPr>
          <w:rFonts w:hint="eastAsia" w:ascii="仿宋" w:hAnsi="仿宋" w:eastAsia="仿宋" w:cs="仿宋"/>
          <w:b/>
          <w:color w:val="000000"/>
          <w:sz w:val="32"/>
          <w:szCs w:val="32"/>
          <w:highlight w:val="none"/>
          <w:shd w:val="clear" w:color="auto" w:fill="FFFFFF"/>
        </w:rPr>
        <w:t>。</w:t>
      </w:r>
      <w:r>
        <w:rPr>
          <w:rFonts w:hint="eastAsia" w:ascii="仿宋" w:hAnsi="仿宋" w:eastAsia="仿宋" w:cs="仿宋"/>
          <w:color w:val="000000"/>
          <w:sz w:val="32"/>
          <w:szCs w:val="32"/>
          <w:highlight w:val="none"/>
          <w:shd w:val="clear" w:color="auto" w:fill="FFFFFF"/>
        </w:rPr>
        <w:t>区商务局按照中央及省市区疫情防控要求，多措并举保障市场稳定。</w:t>
      </w:r>
      <w:r>
        <w:rPr>
          <w:rFonts w:hint="eastAsia" w:ascii="仿宋" w:hAnsi="仿宋" w:eastAsia="仿宋" w:cs="仿宋"/>
          <w:b/>
          <w:bCs/>
          <w:color w:val="000000"/>
          <w:kern w:val="0"/>
          <w:sz w:val="32"/>
          <w:szCs w:val="32"/>
          <w:highlight w:val="none"/>
          <w:shd w:val="clear" w:color="auto" w:fill="FFFFFF"/>
        </w:rPr>
        <w:t>一是科学统筹保市场安全。</w:t>
      </w:r>
      <w:r>
        <w:rPr>
          <w:rFonts w:hint="eastAsia" w:ascii="仿宋" w:hAnsi="仿宋" w:eastAsia="仿宋" w:cs="仿宋"/>
          <w:color w:val="000000"/>
          <w:sz w:val="32"/>
          <w:szCs w:val="32"/>
          <w:highlight w:val="none"/>
          <w:shd w:val="clear" w:color="auto" w:fill="FFFFFF"/>
        </w:rPr>
        <w:t>区商务局牵头制定了《关于有序解除鹤城区主城区临时管控后鹤城区商贸领域常态化疫情防控工作方案》、《鹤城区城区农贸市场复市防控工作方案》、《关于做好商贸流通企业有序稳妥复工复产准备的提示》、《鹤城区商贸流通行业疫情防控承诺书》等方案措施，明确职能单位、乡镇街道及保供企业职能职责，提示市场主体做好复工复产备案、消杀、宣传、货源储备、购物秩序等工作，防止出现群众扎堆聚集、哄抢货物等情况，严防疫情风险传播；督导商贸企业做好复工保障措施，保供企业做好生活物资供应，提前备货。市场主体负责人要组织好员工做好防疫培训，做好“一企一策”应急方案，明确重点行业、企业和区域，明确防控任务及职责分工，把好人员、进货、消杀3个关口，确保市场稳定安全。</w:t>
      </w:r>
      <w:r>
        <w:rPr>
          <w:rFonts w:hint="eastAsia" w:ascii="仿宋" w:hAnsi="仿宋" w:eastAsia="仿宋" w:cs="仿宋"/>
          <w:b/>
          <w:bCs/>
          <w:color w:val="000000"/>
          <w:kern w:val="0"/>
          <w:sz w:val="32"/>
          <w:szCs w:val="32"/>
          <w:highlight w:val="none"/>
          <w:shd w:val="clear" w:color="auto" w:fill="FFFFFF"/>
        </w:rPr>
        <w:t>二是定期督导落实防疫政策。</w:t>
      </w:r>
      <w:r>
        <w:rPr>
          <w:rFonts w:hint="eastAsia" w:ascii="仿宋" w:hAnsi="仿宋" w:eastAsia="仿宋" w:cs="仿宋"/>
          <w:color w:val="000000"/>
          <w:sz w:val="32"/>
          <w:szCs w:val="32"/>
          <w:highlight w:val="none"/>
          <w:shd w:val="clear" w:color="auto" w:fill="FFFFFF"/>
        </w:rPr>
        <w:t>负责督导</w:t>
      </w:r>
      <w:r>
        <w:rPr>
          <w:rFonts w:hint="eastAsia" w:ascii="仿宋" w:hAnsi="仿宋" w:eastAsia="仿宋" w:cs="仿宋"/>
          <w:color w:val="000000"/>
          <w:sz w:val="32"/>
          <w:szCs w:val="32"/>
          <w:highlight w:val="none"/>
          <w:shd w:val="clear" w:color="auto" w:fill="FFFFFF"/>
          <w:lang w:eastAsia="zh-CN"/>
        </w:rPr>
        <w:t>商场超市</w:t>
      </w:r>
      <w:r>
        <w:rPr>
          <w:rFonts w:hint="eastAsia" w:ascii="仿宋" w:hAnsi="仿宋" w:eastAsia="仿宋" w:cs="仿宋"/>
          <w:color w:val="000000"/>
          <w:sz w:val="32"/>
          <w:szCs w:val="32"/>
          <w:highlight w:val="none"/>
          <w:shd w:val="clear" w:color="auto" w:fill="FFFFFF"/>
          <w:lang w:val="en-US" w:eastAsia="zh-CN"/>
        </w:rPr>
        <w:t>21家、</w:t>
      </w:r>
      <w:r>
        <w:rPr>
          <w:rFonts w:hint="eastAsia" w:ascii="仿宋" w:hAnsi="仿宋" w:eastAsia="仿宋" w:cs="仿宋"/>
          <w:color w:val="000000"/>
          <w:sz w:val="32"/>
          <w:szCs w:val="32"/>
          <w:highlight w:val="none"/>
          <w:shd w:val="clear" w:color="auto" w:fill="FFFFFF"/>
        </w:rPr>
        <w:t>限额以上规模企业133家、加油站52家、限额以上个体户46家市场主体常态化疫情防控，持续推进核酸检测工作，定期巡查主城区各大农贸市场，督促企业张贴《鹤城区商贸流通行业疫情防控承诺书》、循环播放疫情防控宣传音频、排查员工核酸检测情况等，就落实不到位的地方立即下发整改通知，要求市场主体立行立改。全年，我局共组织大型商超巡查</w:t>
      </w:r>
      <w:r>
        <w:rPr>
          <w:rFonts w:hint="eastAsia" w:ascii="仿宋" w:hAnsi="仿宋" w:eastAsia="仿宋" w:cs="仿宋"/>
          <w:color w:val="000000"/>
          <w:sz w:val="32"/>
          <w:szCs w:val="32"/>
          <w:highlight w:val="none"/>
          <w:shd w:val="clear" w:color="auto" w:fill="FFFFFF"/>
          <w:lang w:val="en-US" w:eastAsia="zh-CN"/>
        </w:rPr>
        <w:t>3</w:t>
      </w:r>
      <w:r>
        <w:rPr>
          <w:rFonts w:hint="eastAsia" w:ascii="仿宋" w:hAnsi="仿宋" w:eastAsia="仿宋" w:cs="仿宋"/>
          <w:color w:val="000000"/>
          <w:sz w:val="32"/>
          <w:szCs w:val="32"/>
          <w:highlight w:val="none"/>
          <w:shd w:val="clear" w:color="auto" w:fill="FFFFFF"/>
        </w:rPr>
        <w:t>00余次，全局干部职工组成6个定点巡查小组，按照“专人负责制”巡查督导，共出动人员</w:t>
      </w:r>
      <w:r>
        <w:rPr>
          <w:rFonts w:hint="eastAsia" w:ascii="仿宋" w:hAnsi="仿宋" w:eastAsia="仿宋" w:cs="仿宋"/>
          <w:color w:val="000000"/>
          <w:sz w:val="32"/>
          <w:szCs w:val="32"/>
          <w:highlight w:val="none"/>
          <w:shd w:val="clear" w:color="auto" w:fill="FFFFFF"/>
          <w:lang w:val="en-US" w:eastAsia="zh-CN"/>
        </w:rPr>
        <w:t>20</w:t>
      </w:r>
      <w:r>
        <w:rPr>
          <w:rFonts w:hint="eastAsia" w:ascii="仿宋" w:hAnsi="仿宋" w:eastAsia="仿宋" w:cs="仿宋"/>
          <w:color w:val="000000"/>
          <w:sz w:val="32"/>
          <w:szCs w:val="32"/>
          <w:highlight w:val="none"/>
          <w:shd w:val="clear" w:color="auto" w:fill="FFFFFF"/>
        </w:rPr>
        <w:t>00人（次），车辆</w:t>
      </w:r>
      <w:r>
        <w:rPr>
          <w:rFonts w:hint="eastAsia" w:ascii="仿宋" w:hAnsi="仿宋" w:eastAsia="仿宋" w:cs="仿宋"/>
          <w:color w:val="000000"/>
          <w:sz w:val="32"/>
          <w:szCs w:val="32"/>
          <w:highlight w:val="none"/>
          <w:shd w:val="clear" w:color="auto" w:fill="FFFFFF"/>
          <w:lang w:val="en-US" w:eastAsia="zh-CN"/>
        </w:rPr>
        <w:t>6</w:t>
      </w:r>
      <w:r>
        <w:rPr>
          <w:rFonts w:hint="eastAsia" w:ascii="仿宋" w:hAnsi="仿宋" w:eastAsia="仿宋" w:cs="仿宋"/>
          <w:color w:val="000000"/>
          <w:sz w:val="32"/>
          <w:szCs w:val="32"/>
          <w:highlight w:val="none"/>
          <w:shd w:val="clear" w:color="auto" w:fill="FFFFFF"/>
        </w:rPr>
        <w:t>00余台（次），填写巡查表8000余份，发放政策宣传、防疫指导等各类资料6000余份。</w:t>
      </w:r>
    </w:p>
    <w:p>
      <w:pPr>
        <w:keepNext w:val="0"/>
        <w:keepLines w:val="0"/>
        <w:pageBreakBefore w:val="0"/>
        <w:kinsoku/>
        <w:wordWrap/>
        <w:overflowPunct/>
        <w:topLinePunct w:val="0"/>
        <w:autoSpaceDE w:val="0"/>
        <w:autoSpaceDN/>
        <w:bidi w:val="0"/>
        <w:spacing w:beforeAutospacing="0" w:afterAutospacing="0" w:line="578" w:lineRule="exact"/>
        <w:ind w:firstLine="643" w:firstLineChars="200"/>
        <w:jc w:val="left"/>
        <w:textAlignment w:val="auto"/>
        <w:rPr>
          <w:rFonts w:hint="eastAsia" w:ascii="仿宋" w:hAnsi="仿宋" w:eastAsia="仿宋" w:cs="仿宋"/>
          <w:sz w:val="32"/>
          <w:szCs w:val="32"/>
          <w:highlight w:val="none"/>
        </w:rPr>
      </w:pPr>
      <w:r>
        <w:rPr>
          <w:rFonts w:hint="eastAsia" w:ascii="仿宋" w:hAnsi="仿宋" w:eastAsia="仿宋" w:cs="仿宋"/>
          <w:b/>
          <w:color w:val="000000"/>
          <w:sz w:val="32"/>
          <w:szCs w:val="32"/>
          <w:highlight w:val="none"/>
          <w:shd w:val="clear" w:color="auto" w:fill="FFFFFF"/>
        </w:rPr>
        <w:t>5.</w:t>
      </w:r>
      <w:r>
        <w:rPr>
          <w:rFonts w:hint="eastAsia" w:ascii="仿宋" w:hAnsi="仿宋" w:eastAsia="仿宋" w:cs="仿宋"/>
          <w:b/>
          <w:color w:val="000000"/>
          <w:sz w:val="32"/>
          <w:szCs w:val="32"/>
          <w:highlight w:val="none"/>
          <w:shd w:val="clear" w:color="auto" w:fill="FFFFFF"/>
          <w:lang w:eastAsia="zh-CN"/>
        </w:rPr>
        <w:t>做好</w:t>
      </w:r>
      <w:r>
        <w:rPr>
          <w:rFonts w:hint="eastAsia" w:ascii="仿宋" w:hAnsi="仿宋" w:eastAsia="仿宋" w:cs="仿宋"/>
          <w:b/>
          <w:color w:val="000000"/>
          <w:sz w:val="32"/>
          <w:szCs w:val="32"/>
          <w:highlight w:val="none"/>
          <w:shd w:val="clear" w:color="auto" w:fill="FFFFFF"/>
        </w:rPr>
        <w:t>疫情物资</w:t>
      </w:r>
      <w:r>
        <w:rPr>
          <w:rFonts w:hint="eastAsia" w:ascii="仿宋" w:hAnsi="仿宋" w:eastAsia="仿宋" w:cs="仿宋"/>
          <w:b/>
          <w:color w:val="000000"/>
          <w:sz w:val="32"/>
          <w:szCs w:val="32"/>
          <w:highlight w:val="none"/>
          <w:shd w:val="clear" w:color="auto" w:fill="FFFFFF"/>
          <w:lang w:eastAsia="zh-CN"/>
        </w:rPr>
        <w:t>保供</w:t>
      </w:r>
      <w:r>
        <w:rPr>
          <w:rFonts w:hint="eastAsia" w:ascii="仿宋" w:hAnsi="仿宋" w:eastAsia="仿宋" w:cs="仿宋"/>
          <w:b/>
          <w:color w:val="000000"/>
          <w:sz w:val="32"/>
          <w:szCs w:val="32"/>
          <w:highlight w:val="none"/>
          <w:shd w:val="clear" w:color="auto" w:fill="FFFFFF"/>
        </w:rPr>
        <w:t>。</w:t>
      </w:r>
      <w:r>
        <w:rPr>
          <w:rFonts w:hint="eastAsia" w:ascii="仿宋" w:hAnsi="仿宋" w:eastAsia="仿宋" w:cs="仿宋"/>
          <w:b/>
          <w:sz w:val="32"/>
          <w:szCs w:val="32"/>
          <w:highlight w:val="none"/>
        </w:rPr>
        <w:t>一是成立工作专班。</w:t>
      </w:r>
      <w:r>
        <w:rPr>
          <w:rFonts w:hint="eastAsia" w:ascii="仿宋" w:hAnsi="仿宋" w:eastAsia="仿宋" w:cs="仿宋"/>
          <w:sz w:val="32"/>
          <w:szCs w:val="32"/>
          <w:highlight w:val="none"/>
        </w:rPr>
        <w:t>优化调整了区委疫情防控指挥部市场保供专班，区人大主任万里任组长，</w:t>
      </w:r>
      <w:r>
        <w:rPr>
          <w:rFonts w:hint="eastAsia" w:ascii="仿宋" w:hAnsi="仿宋" w:eastAsia="仿宋" w:cs="仿宋"/>
          <w:sz w:val="32"/>
          <w:szCs w:val="32"/>
          <w:highlight w:val="none"/>
          <w:lang w:eastAsia="zh-CN"/>
        </w:rPr>
        <w:t>原</w:t>
      </w:r>
      <w:r>
        <w:rPr>
          <w:rFonts w:hint="eastAsia" w:ascii="仿宋" w:hAnsi="仿宋" w:eastAsia="仿宋" w:cs="仿宋"/>
          <w:sz w:val="32"/>
          <w:szCs w:val="32"/>
          <w:highlight w:val="none"/>
        </w:rPr>
        <w:t>区人民政府副区长李志杰任副组长，区商务局牵头保供工作，区市场监管、农贸市场服务中心及各乡镇等近20余个部门负责人为成员，统筹生活物资保供大盘，</w:t>
      </w:r>
      <w:r>
        <w:rPr>
          <w:rFonts w:hint="eastAsia" w:ascii="仿宋" w:hAnsi="仿宋" w:eastAsia="仿宋" w:cs="仿宋"/>
          <w:color w:val="000000"/>
          <w:sz w:val="32"/>
          <w:szCs w:val="32"/>
          <w:highlight w:val="none"/>
        </w:rPr>
        <w:t>坚持保供日调度机制，确保保供工作有序实施</w:t>
      </w:r>
      <w:r>
        <w:rPr>
          <w:rFonts w:hint="eastAsia" w:ascii="仿宋" w:hAnsi="仿宋" w:eastAsia="仿宋" w:cs="仿宋"/>
          <w:sz w:val="32"/>
          <w:szCs w:val="32"/>
          <w:highlight w:val="none"/>
        </w:rPr>
        <w:t>。</w:t>
      </w:r>
      <w:r>
        <w:rPr>
          <w:rFonts w:hint="eastAsia" w:ascii="仿宋" w:hAnsi="仿宋" w:eastAsia="仿宋" w:cs="仿宋"/>
          <w:b/>
          <w:sz w:val="32"/>
          <w:szCs w:val="32"/>
          <w:highlight w:val="none"/>
        </w:rPr>
        <w:t>二是确定保供支撑。</w:t>
      </w:r>
      <w:r>
        <w:rPr>
          <w:rFonts w:hint="eastAsia" w:ascii="仿宋" w:hAnsi="仿宋" w:eastAsia="仿宋" w:cs="仿宋"/>
          <w:color w:val="000000"/>
          <w:sz w:val="32"/>
          <w:szCs w:val="32"/>
          <w:highlight w:val="none"/>
          <w:lang w:eastAsia="zh-CN"/>
        </w:rPr>
        <w:t>协助</w:t>
      </w:r>
      <w:r>
        <w:rPr>
          <w:rFonts w:hint="eastAsia" w:ascii="仿宋" w:hAnsi="仿宋" w:eastAsia="仿宋" w:cs="仿宋"/>
          <w:color w:val="000000"/>
          <w:sz w:val="32"/>
          <w:szCs w:val="32"/>
          <w:highlight w:val="none"/>
        </w:rPr>
        <w:t>市</w:t>
      </w:r>
      <w:r>
        <w:rPr>
          <w:rFonts w:hint="eastAsia" w:ascii="仿宋" w:hAnsi="仿宋" w:eastAsia="仿宋" w:cs="仿宋"/>
          <w:color w:val="000000"/>
          <w:sz w:val="32"/>
          <w:szCs w:val="32"/>
          <w:highlight w:val="none"/>
          <w:lang w:eastAsia="zh-CN"/>
        </w:rPr>
        <w:t>商务局</w:t>
      </w:r>
      <w:r>
        <w:rPr>
          <w:rFonts w:hint="eastAsia" w:ascii="仿宋" w:hAnsi="仿宋" w:eastAsia="仿宋" w:cs="仿宋"/>
          <w:color w:val="000000"/>
          <w:sz w:val="32"/>
          <w:szCs w:val="32"/>
          <w:highlight w:val="none"/>
        </w:rPr>
        <w:t>确定城区保供企业38家，为佳惠等重点保供企业协调办理车辆通行证660余张，保障城外生活必需品补给调得进，同时引导保供企业主动对接</w:t>
      </w:r>
      <w:r>
        <w:rPr>
          <w:rFonts w:hint="eastAsia" w:ascii="仿宋" w:hAnsi="仿宋" w:eastAsia="仿宋" w:cs="仿宋"/>
          <w:sz w:val="32"/>
          <w:szCs w:val="32"/>
          <w:highlight w:val="none"/>
        </w:rPr>
        <w:t>黄金坳、凉亭坳蔬菜基地直供；</w:t>
      </w:r>
      <w:r>
        <w:rPr>
          <w:rFonts w:hint="eastAsia" w:ascii="仿宋" w:hAnsi="仿宋" w:eastAsia="仿宋" w:cs="仿宋"/>
          <w:color w:val="000000"/>
          <w:sz w:val="32"/>
          <w:szCs w:val="32"/>
          <w:highlight w:val="none"/>
        </w:rPr>
        <w:t>“线上+线下”双线供应模式，“套餐+个性化”物资定购，全力保障供应。</w:t>
      </w:r>
      <w:r>
        <w:rPr>
          <w:rFonts w:hint="eastAsia" w:ascii="仿宋" w:hAnsi="仿宋" w:eastAsia="仿宋" w:cs="仿宋"/>
          <w:b/>
          <w:sz w:val="32"/>
          <w:szCs w:val="32"/>
          <w:highlight w:val="none"/>
        </w:rPr>
        <w:t>三是规范保供运行。</w:t>
      </w:r>
      <w:r>
        <w:rPr>
          <w:rFonts w:hint="eastAsia" w:ascii="仿宋" w:hAnsi="仿宋" w:eastAsia="仿宋" w:cs="仿宋"/>
          <w:color w:val="000000"/>
          <w:sz w:val="32"/>
          <w:szCs w:val="32"/>
          <w:highlight w:val="none"/>
          <w:lang w:eastAsia="zh-CN"/>
        </w:rPr>
        <w:t>在市局指导下，</w:t>
      </w:r>
      <w:r>
        <w:rPr>
          <w:rFonts w:hint="eastAsia" w:ascii="仿宋" w:hAnsi="仿宋" w:eastAsia="仿宋" w:cs="仿宋"/>
          <w:color w:val="000000"/>
          <w:sz w:val="32"/>
          <w:szCs w:val="32"/>
          <w:highlight w:val="none"/>
        </w:rPr>
        <w:t>制定了《怀化市鹤城区疫情防控期间“公交超市”配送生活物资保障工作方案》，确定 “四定”保供模式，在61个社区（不含河西街道）及城南街道、坨院街道、盈口乡等地城郊村设置708个网格点进行物资统一配送。“10.17”</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lang w:val="en-US" w:eastAsia="zh-CN"/>
        </w:rPr>
        <w:t>11.25</w:t>
      </w:r>
      <w:r>
        <w:rPr>
          <w:rFonts w:hint="eastAsia" w:ascii="仿宋" w:hAnsi="仿宋" w:eastAsia="仿宋" w:cs="仿宋"/>
          <w:color w:val="000000"/>
          <w:sz w:val="32"/>
          <w:szCs w:val="32"/>
          <w:highlight w:val="none"/>
          <w:lang w:eastAsia="zh-CN"/>
        </w:rPr>
        <w:t>”两次</w:t>
      </w:r>
      <w:r>
        <w:rPr>
          <w:rFonts w:hint="eastAsia" w:ascii="仿宋" w:hAnsi="仿宋" w:eastAsia="仿宋" w:cs="仿宋"/>
          <w:color w:val="000000"/>
          <w:sz w:val="32"/>
          <w:szCs w:val="32"/>
          <w:highlight w:val="none"/>
        </w:rPr>
        <w:t>突发疫情期间，</w:t>
      </w:r>
      <w:r>
        <w:rPr>
          <w:rFonts w:hint="eastAsia" w:ascii="仿宋" w:hAnsi="仿宋" w:eastAsia="仿宋" w:cs="仿宋"/>
          <w:sz w:val="32"/>
          <w:szCs w:val="32"/>
          <w:highlight w:val="none"/>
        </w:rPr>
        <w:t>14家生活必需品物资保供企业，累计接单</w:t>
      </w:r>
      <w:r>
        <w:rPr>
          <w:rFonts w:hint="eastAsia" w:ascii="仿宋" w:hAnsi="仿宋" w:eastAsia="仿宋" w:cs="仿宋"/>
          <w:sz w:val="32"/>
          <w:szCs w:val="32"/>
          <w:highlight w:val="none"/>
          <w:lang w:val="en-US" w:eastAsia="zh-CN"/>
        </w:rPr>
        <w:t>1218176</w:t>
      </w:r>
      <w:r>
        <w:rPr>
          <w:rFonts w:hint="eastAsia" w:ascii="仿宋" w:hAnsi="仿宋" w:eastAsia="仿宋" w:cs="仿宋"/>
          <w:sz w:val="32"/>
          <w:szCs w:val="32"/>
          <w:highlight w:val="none"/>
        </w:rPr>
        <w:t>单，累计配送量</w:t>
      </w:r>
      <w:r>
        <w:rPr>
          <w:rFonts w:hint="eastAsia" w:ascii="仿宋" w:hAnsi="仿宋" w:eastAsia="仿宋" w:cs="仿宋"/>
          <w:sz w:val="32"/>
          <w:szCs w:val="32"/>
          <w:highlight w:val="none"/>
          <w:lang w:val="en-US" w:eastAsia="zh-CN"/>
        </w:rPr>
        <w:t>1139676</w:t>
      </w:r>
      <w:r>
        <w:rPr>
          <w:rFonts w:hint="eastAsia" w:ascii="仿宋" w:hAnsi="仿宋" w:eastAsia="仿宋" w:cs="仿宋"/>
          <w:sz w:val="32"/>
          <w:szCs w:val="32"/>
          <w:highlight w:val="none"/>
        </w:rPr>
        <w:t>单，配送及时率</w:t>
      </w:r>
      <w:r>
        <w:rPr>
          <w:rFonts w:hint="eastAsia" w:ascii="仿宋" w:hAnsi="仿宋" w:eastAsia="仿宋" w:cs="仿宋"/>
          <w:sz w:val="32"/>
          <w:szCs w:val="32"/>
          <w:highlight w:val="none"/>
          <w:lang w:val="en-US" w:eastAsia="zh-CN"/>
        </w:rPr>
        <w:t>93.56</w:t>
      </w:r>
      <w:r>
        <w:rPr>
          <w:rFonts w:hint="eastAsia" w:ascii="仿宋" w:hAnsi="仿宋" w:eastAsia="仿宋" w:cs="仿宋"/>
          <w:sz w:val="32"/>
          <w:szCs w:val="32"/>
          <w:highlight w:val="none"/>
        </w:rPr>
        <w:t>%，货值</w:t>
      </w:r>
      <w:r>
        <w:rPr>
          <w:rFonts w:hint="eastAsia" w:ascii="仿宋" w:hAnsi="仿宋" w:eastAsia="仿宋" w:cs="仿宋"/>
          <w:sz w:val="32"/>
          <w:szCs w:val="32"/>
          <w:highlight w:val="none"/>
          <w:lang w:val="en-US" w:eastAsia="zh-CN"/>
        </w:rPr>
        <w:t>5664.44</w:t>
      </w:r>
      <w:r>
        <w:rPr>
          <w:rFonts w:hint="eastAsia" w:ascii="仿宋" w:hAnsi="仿宋" w:eastAsia="仿宋" w:cs="仿宋"/>
          <w:sz w:val="32"/>
          <w:szCs w:val="32"/>
          <w:highlight w:val="none"/>
        </w:rPr>
        <w:t>万元。</w:t>
      </w:r>
    </w:p>
    <w:p>
      <w:pPr>
        <w:widowControl/>
        <w:shd w:val="clear" w:color="auto" w:fill="FFFFFF"/>
        <w:spacing w:line="600" w:lineRule="atLeast"/>
        <w:ind w:firstLine="640"/>
        <w:rPr>
          <w:rFonts w:hint="eastAsia" w:ascii="仿宋" w:hAnsi="仿宋" w:eastAsia="仿宋" w:cs="仿宋"/>
          <w:b/>
          <w:spacing w:val="-2"/>
          <w:sz w:val="32"/>
          <w:szCs w:val="32"/>
          <w:highlight w:val="none"/>
        </w:rPr>
      </w:pPr>
    </w:p>
    <w:p>
      <w:pPr>
        <w:widowControl/>
        <w:shd w:val="clear" w:color="auto" w:fill="FFFFFF"/>
        <w:spacing w:line="600" w:lineRule="atLeast"/>
        <w:ind w:firstLine="640"/>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六、存在的主要问题</w:t>
      </w:r>
    </w:p>
    <w:p>
      <w:pPr>
        <w:pStyle w:val="2"/>
        <w:keepNext w:val="0"/>
        <w:keepLines w:val="0"/>
        <w:pageBreakBefore w:val="0"/>
        <w:kinsoku/>
        <w:wordWrap/>
        <w:overflowPunct/>
        <w:topLinePunct w:val="0"/>
        <w:autoSpaceDN/>
        <w:bidi w:val="0"/>
        <w:adjustRightInd/>
        <w:snapToGrid/>
        <w:spacing w:line="600" w:lineRule="exact"/>
        <w:ind w:left="0" w:leftChars="0" w:firstLine="640" w:firstLineChars="200"/>
        <w:rPr>
          <w:rFonts w:hint="eastAsia" w:ascii="仿宋" w:hAnsi="仿宋" w:eastAsia="仿宋" w:cs="仿宋"/>
          <w:sz w:val="32"/>
          <w:szCs w:val="32"/>
          <w:highlight w:val="none"/>
          <w:lang w:val="en-US" w:eastAsia="zh-CN"/>
        </w:rPr>
      </w:pPr>
      <w:r>
        <w:rPr>
          <w:rFonts w:hint="eastAsia" w:ascii="仿宋" w:hAnsi="仿宋" w:eastAsia="仿宋" w:cs="仿宋"/>
          <w:kern w:val="0"/>
          <w:sz w:val="32"/>
          <w:szCs w:val="32"/>
          <w:highlight w:val="none"/>
        </w:rPr>
        <w:t>预算控制率</w:t>
      </w:r>
      <w:r>
        <w:rPr>
          <w:rFonts w:hint="eastAsia" w:ascii="仿宋" w:hAnsi="仿宋" w:eastAsia="仿宋" w:cs="仿宋"/>
          <w:kern w:val="0"/>
          <w:sz w:val="32"/>
          <w:szCs w:val="32"/>
          <w:highlight w:val="none"/>
          <w:lang w:eastAsia="zh-CN"/>
        </w:rPr>
        <w:t>。预算控制率较高，主要原因是因年初预算严重不足，单位工作有本年追加预算。</w:t>
      </w:r>
    </w:p>
    <w:p>
      <w:pPr>
        <w:widowControl/>
        <w:shd w:val="clear" w:color="auto" w:fill="FFFFFF"/>
        <w:spacing w:line="600" w:lineRule="atLeast"/>
        <w:ind w:firstLine="640"/>
        <w:rPr>
          <w:rFonts w:hint="eastAsia" w:ascii="仿宋" w:hAnsi="仿宋" w:eastAsia="仿宋" w:cs="仿宋"/>
          <w:b/>
          <w:spacing w:val="-2"/>
          <w:sz w:val="32"/>
          <w:szCs w:val="32"/>
          <w:highlight w:val="none"/>
        </w:rPr>
      </w:pPr>
      <w:r>
        <w:rPr>
          <w:rFonts w:hint="eastAsia" w:ascii="仿宋" w:hAnsi="仿宋" w:eastAsia="仿宋" w:cs="仿宋"/>
          <w:b/>
          <w:spacing w:val="-2"/>
          <w:sz w:val="32"/>
          <w:szCs w:val="32"/>
          <w:highlight w:val="none"/>
        </w:rPr>
        <w:t>七、改进措施和有关建议</w:t>
      </w:r>
    </w:p>
    <w:p>
      <w:pPr>
        <w:pStyle w:val="2"/>
        <w:keepNext w:val="0"/>
        <w:keepLines w:val="0"/>
        <w:pageBreakBefore w:val="0"/>
        <w:kinsoku/>
        <w:wordWrap/>
        <w:overflowPunct/>
        <w:topLinePunct w:val="0"/>
        <w:autoSpaceDN/>
        <w:bidi w:val="0"/>
        <w:adjustRightInd/>
        <w:snapToGrid/>
        <w:spacing w:line="600" w:lineRule="exact"/>
        <w:ind w:left="0" w:leftChars="0" w:firstLine="632" w:firstLineChars="200"/>
        <w:rPr>
          <w:rFonts w:hint="eastAsia" w:ascii="仿宋" w:hAnsi="仿宋" w:eastAsia="仿宋" w:cs="仿宋"/>
          <w:b w:val="0"/>
          <w:bCs/>
          <w:sz w:val="32"/>
          <w:szCs w:val="32"/>
          <w:highlight w:val="none"/>
          <w:lang w:eastAsia="zh-CN"/>
        </w:rPr>
      </w:pPr>
      <w:r>
        <w:rPr>
          <w:rFonts w:hint="eastAsia" w:ascii="仿宋" w:hAnsi="仿宋" w:eastAsia="仿宋" w:cs="仿宋"/>
          <w:b w:val="0"/>
          <w:bCs/>
          <w:spacing w:val="-2"/>
          <w:sz w:val="32"/>
          <w:szCs w:val="32"/>
          <w:highlight w:val="none"/>
          <w:lang w:eastAsia="zh-CN"/>
        </w:rPr>
        <w:t>严格执行区委、区政府相关规定，按照财政程序适时调整下年年初预算。</w:t>
      </w:r>
    </w:p>
    <w:p>
      <w:pPr>
        <w:keepNext w:val="0"/>
        <w:keepLines w:val="0"/>
        <w:pageBreakBefore w:val="0"/>
        <w:kinsoku/>
        <w:wordWrap/>
        <w:overflowPunct/>
        <w:topLinePunct w:val="0"/>
        <w:autoSpaceDN/>
        <w:bidi w:val="0"/>
        <w:adjustRightInd/>
        <w:snapToGrid/>
        <w:spacing w:line="600" w:lineRule="exact"/>
        <w:ind w:left="0" w:leftChars="0" w:firstLine="640" w:firstLineChars="200"/>
        <w:rPr>
          <w:rFonts w:hint="eastAsia" w:ascii="仿宋" w:hAnsi="仿宋" w:eastAsia="仿宋" w:cs="仿宋"/>
          <w:sz w:val="32"/>
          <w:szCs w:val="32"/>
          <w:highlight w:val="none"/>
        </w:rPr>
      </w:pPr>
    </w:p>
    <w:p>
      <w:pPr>
        <w:pStyle w:val="2"/>
        <w:rPr>
          <w:rFonts w:eastAsia="黑体"/>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p>
    <w:p>
      <w:pPr>
        <w:spacing w:line="560" w:lineRule="exact"/>
        <w:rPr>
          <w:rFonts w:hint="eastAsia" w:ascii="黑体" w:hAnsi="宋体" w:eastAsia="黑体" w:cs="宋体"/>
          <w:kern w:val="0"/>
          <w:sz w:val="32"/>
          <w:szCs w:val="32"/>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1</w:t>
      </w:r>
    </w:p>
    <w:p>
      <w:pPr>
        <w:spacing w:line="560" w:lineRule="exact"/>
        <w:jc w:val="center"/>
        <w:rPr>
          <w:rFonts w:ascii="宋体" w:hAnsi="宋体" w:cs="宋体"/>
          <w:kern w:val="0"/>
          <w:sz w:val="24"/>
        </w:rPr>
      </w:pPr>
      <w:r>
        <w:rPr>
          <w:rFonts w:hint="eastAsia" w:ascii="方正小标宋_GBK" w:hAnsi="宋体" w:eastAsia="方正小标宋_GBK" w:cs="宋体"/>
          <w:kern w:val="0"/>
          <w:sz w:val="36"/>
          <w:szCs w:val="36"/>
        </w:rPr>
        <w:t>部门整体支出绩效评价</w:t>
      </w:r>
      <w:r>
        <w:rPr>
          <w:rFonts w:hint="eastAsia" w:ascii="方正小标宋_GBK" w:hAnsi="宋体" w:eastAsia="方正小标宋_GBK" w:cs="宋体"/>
          <w:kern w:val="0"/>
          <w:sz w:val="36"/>
          <w:szCs w:val="36"/>
          <w:lang w:eastAsia="zh-CN"/>
        </w:rPr>
        <w:t>共性</w:t>
      </w:r>
      <w:r>
        <w:rPr>
          <w:rFonts w:hint="eastAsia" w:ascii="方正小标宋_GBK" w:hAnsi="宋体" w:eastAsia="方正小标宋_GBK" w:cs="宋体"/>
          <w:kern w:val="0"/>
          <w:sz w:val="36"/>
          <w:szCs w:val="36"/>
        </w:rPr>
        <w:t>指标表</w:t>
      </w:r>
    </w:p>
    <w:tbl>
      <w:tblPr>
        <w:tblStyle w:val="11"/>
        <w:tblW w:w="10600" w:type="dxa"/>
        <w:jc w:val="center"/>
        <w:tblLayout w:type="fixed"/>
        <w:tblCellMar>
          <w:top w:w="0" w:type="dxa"/>
          <w:left w:w="108" w:type="dxa"/>
          <w:bottom w:w="0" w:type="dxa"/>
          <w:right w:w="108" w:type="dxa"/>
        </w:tblCellMar>
      </w:tblPr>
      <w:tblGrid>
        <w:gridCol w:w="518"/>
        <w:gridCol w:w="470"/>
        <w:gridCol w:w="623"/>
        <w:gridCol w:w="416"/>
        <w:gridCol w:w="1015"/>
        <w:gridCol w:w="416"/>
        <w:gridCol w:w="3016"/>
        <w:gridCol w:w="3489"/>
        <w:gridCol w:w="637"/>
      </w:tblGrid>
      <w:tr>
        <w:tblPrEx>
          <w:tblCellMar>
            <w:top w:w="0" w:type="dxa"/>
            <w:left w:w="108" w:type="dxa"/>
            <w:bottom w:w="0" w:type="dxa"/>
            <w:right w:w="108" w:type="dxa"/>
          </w:tblCellMar>
        </w:tblPrEx>
        <w:trPr>
          <w:tblHeader/>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一级指标</w:t>
            </w:r>
          </w:p>
        </w:tc>
        <w:tc>
          <w:tcPr>
            <w:tcW w:w="470"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623"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二级指标</w:t>
            </w:r>
          </w:p>
        </w:tc>
        <w:tc>
          <w:tcPr>
            <w:tcW w:w="416"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101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三级</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w:t>
            </w:r>
          </w:p>
        </w:tc>
        <w:tc>
          <w:tcPr>
            <w:tcW w:w="416"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3016"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评价标准</w:t>
            </w:r>
          </w:p>
        </w:tc>
        <w:tc>
          <w:tcPr>
            <w:tcW w:w="3489"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指标说明</w:t>
            </w:r>
          </w:p>
        </w:tc>
        <w:tc>
          <w:tcPr>
            <w:tcW w:w="637"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r>
      <w:tr>
        <w:tblPrEx>
          <w:tblCellMar>
            <w:top w:w="0" w:type="dxa"/>
            <w:left w:w="108" w:type="dxa"/>
            <w:bottom w:w="0" w:type="dxa"/>
            <w:right w:w="108" w:type="dxa"/>
          </w:tblCellMar>
        </w:tblPrEx>
        <w:trPr>
          <w:trHeight w:val="1814" w:hRule="atLeast"/>
          <w:jc w:val="center"/>
        </w:trPr>
        <w:tc>
          <w:tcPr>
            <w:tcW w:w="518"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投入</w:t>
            </w:r>
          </w:p>
        </w:tc>
        <w:tc>
          <w:tcPr>
            <w:tcW w:w="47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预算配置</w:t>
            </w:r>
          </w:p>
        </w:tc>
        <w:tc>
          <w:tcPr>
            <w:tcW w:w="41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nil"/>
              <w:right w:val="nil"/>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以100%为标准。在职人员控制率</w:t>
            </w:r>
            <w:r>
              <w:rPr>
                <w:rFonts w:hint="eastAsia" w:ascii="宋体" w:hAnsi="宋体" w:cs="宋体"/>
                <w:kern w:val="0"/>
                <w:sz w:val="20"/>
                <w:szCs w:val="20"/>
              </w:rPr>
              <w:t>≦</w:t>
            </w:r>
            <w:r>
              <w:rPr>
                <w:rFonts w:hint="eastAsia" w:ascii="仿宋_GB2312" w:hAnsi="宋体" w:eastAsia="仿宋_GB2312" w:cs="宋体"/>
                <w:kern w:val="0"/>
                <w:sz w:val="20"/>
                <w:szCs w:val="20"/>
              </w:rPr>
              <w:t>100%，计5分；每超过一个百分点扣0.5分，扣完为止。</w:t>
            </w:r>
          </w:p>
        </w:tc>
        <w:tc>
          <w:tcPr>
            <w:tcW w:w="3489" w:type="dxa"/>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在职人员控制率=（在职人员数/编制数）×100%，在职人员数：部门（单位）实际在职人数，以财政确定的部门决算编制口径为准。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编制数：机构编制部门核定批复的部门（单位）的人员编制数。</w:t>
            </w:r>
          </w:p>
        </w:tc>
        <w:tc>
          <w:tcPr>
            <w:tcW w:w="637"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5</w:t>
            </w:r>
          </w:p>
        </w:tc>
      </w:tr>
      <w:tr>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p>
        </w:tc>
        <w:tc>
          <w:tcPr>
            <w:tcW w:w="416"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5</w:t>
            </w:r>
          </w:p>
        </w:tc>
        <w:tc>
          <w:tcPr>
            <w:tcW w:w="3016" w:type="dxa"/>
            <w:tcBorders>
              <w:top w:val="single" w:color="auto" w:sz="4" w:space="0"/>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r>
              <w:rPr>
                <w:rFonts w:hint="eastAsia" w:ascii="宋体" w:hAnsi="宋体" w:cs="宋体"/>
                <w:kern w:val="0"/>
                <w:sz w:val="20"/>
                <w:szCs w:val="20"/>
              </w:rPr>
              <w:t>≦</w:t>
            </w:r>
            <w:r>
              <w:rPr>
                <w:rFonts w:hint="eastAsia" w:ascii="仿宋_GB2312" w:hAnsi="宋体" w:eastAsia="仿宋_GB2312" w:cs="宋体"/>
                <w:kern w:val="0"/>
                <w:sz w:val="20"/>
                <w:szCs w:val="20"/>
              </w:rPr>
              <w:t>0,计</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分；“三公经费”＞0，每超过一个百分点扣0.</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分，扣完为止。</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“三公经费”变动率=[（本年度“三公经费”预算数-上年度“三公经费”预算数）/上年度“三公经费”预算数]×100%</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预算执行</w:t>
            </w:r>
          </w:p>
        </w:tc>
        <w:tc>
          <w:tcPr>
            <w:tcW w:w="41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20</w:t>
            </w: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100%计满分，每低于5%扣2分，扣完为止。</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预算完成率=（上年结转+年初预算+本年追加预算-年末结余）/（上年结转+年初预算+本年追加预算）×100%。</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tblPrEx>
          <w:tblCellMar>
            <w:top w:w="0" w:type="dxa"/>
            <w:left w:w="108" w:type="dxa"/>
            <w:bottom w:w="0" w:type="dxa"/>
            <w:right w:w="108" w:type="dxa"/>
          </w:tblCellMar>
        </w:tblPrEx>
        <w:trPr>
          <w:trHeight w:val="12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预算控制率=0，计5分；0-10%（含），计4分；10-20%（含），计3分；20-30%（含），计2分；大于30%不得分。</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预算控制率=（本年追加预算/年初预算）×100%。</w:t>
            </w:r>
          </w:p>
        </w:tc>
        <w:tc>
          <w:tcPr>
            <w:tcW w:w="63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lang w:val="en-US" w:eastAsia="zh-CN"/>
              </w:rPr>
              <w:t>5</w:t>
            </w:r>
          </w:p>
        </w:tc>
      </w:tr>
      <w:tr>
        <w:tblPrEx>
          <w:tblCellMar>
            <w:top w:w="0" w:type="dxa"/>
            <w:left w:w="108" w:type="dxa"/>
            <w:bottom w:w="0" w:type="dxa"/>
            <w:right w:w="108" w:type="dxa"/>
          </w:tblCellMar>
        </w:tblPrEx>
        <w:trPr>
          <w:trHeight w:val="1160"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新建楼堂馆所面积控制率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100%以下（含）计满分，每超出5%扣2分，扣完为止。没有楼堂馆所项目的部门按满分计算。</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楼堂馆所面积控制率=实际建设面积/批准建设面积×100%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w:t>
            </w:r>
            <w:r>
              <w:rPr>
                <w:rFonts w:hint="eastAsia" w:ascii="仿宋_GB2312" w:hAnsi="宋体" w:eastAsia="仿宋_GB2312" w:cs="宋体"/>
                <w:kern w:val="0"/>
                <w:sz w:val="20"/>
                <w:szCs w:val="20"/>
                <w:lang w:val="en-US" w:eastAsia="zh-CN"/>
              </w:rPr>
              <w:t>2021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tblPrEx>
          <w:tblCellMar>
            <w:top w:w="0" w:type="dxa"/>
            <w:left w:w="108" w:type="dxa"/>
            <w:bottom w:w="0" w:type="dxa"/>
            <w:right w:w="108" w:type="dxa"/>
          </w:tblCellMar>
        </w:tblPrEx>
        <w:trPr>
          <w:trHeight w:val="154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新建楼堂馆所投资概算控制率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楼堂馆所投资预算控制率=实际投资金额/批准投资金额×100%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该指标以2</w:t>
            </w:r>
            <w:r>
              <w:rPr>
                <w:rFonts w:hint="eastAsia" w:ascii="仿宋_GB2312" w:hAnsi="宋体" w:eastAsia="仿宋_GB2312" w:cs="宋体"/>
                <w:kern w:val="0"/>
                <w:sz w:val="20"/>
                <w:szCs w:val="20"/>
                <w:lang w:val="en-US" w:eastAsia="zh-CN"/>
              </w:rPr>
              <w:t>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lang w:val="en-US" w:eastAsia="zh-CN"/>
              </w:rPr>
              <w:t>5</w:t>
            </w:r>
          </w:p>
        </w:tc>
      </w:tr>
      <w:tr>
        <w:tblPrEx>
          <w:tblCellMar>
            <w:top w:w="0" w:type="dxa"/>
            <w:left w:w="108" w:type="dxa"/>
            <w:bottom w:w="0" w:type="dxa"/>
            <w:right w:w="108" w:type="dxa"/>
          </w:tblCellMar>
        </w:tblPrEx>
        <w:trPr>
          <w:trHeight w:val="1562"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40</w:t>
            </w: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公用经费控制率=（实际支出公用经费总额/预算安排公用经费总额）×100%。</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公用经费支出是指部门基本支出中的一般商品和服务支出。</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CellMar>
            <w:top w:w="0" w:type="dxa"/>
            <w:left w:w="108" w:type="dxa"/>
            <w:bottom w:w="0" w:type="dxa"/>
            <w:right w:w="108" w:type="dxa"/>
          </w:tblCellMar>
        </w:tblPrEx>
        <w:trPr>
          <w:trHeight w:val="10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w:t>
            </w:r>
          </w:p>
        </w:tc>
        <w:tc>
          <w:tcPr>
            <w:tcW w:w="416"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7</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“三公经费”控制率-（“三公经费”实际支出数/“三公经费”预算安排数）×100%。</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7</w:t>
            </w:r>
          </w:p>
        </w:tc>
      </w:tr>
      <w:tr>
        <w:tblPrEx>
          <w:tblCellMar>
            <w:top w:w="0" w:type="dxa"/>
            <w:left w:w="108" w:type="dxa"/>
            <w:bottom w:w="0" w:type="dxa"/>
            <w:right w:w="108" w:type="dxa"/>
          </w:tblCellMar>
        </w:tblPrEx>
        <w:trPr>
          <w:trHeight w:val="918" w:hRule="atLeast"/>
          <w:jc w:val="center"/>
        </w:trPr>
        <w:tc>
          <w:tcPr>
            <w:tcW w:w="518"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100%计满分，每超过（降低）5%扣2分。扣完为止。</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政府采购执行率=（实际政府采购金额/政府采购预算数）×100%</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tblPrEx>
          <w:tblCellMar>
            <w:top w:w="0" w:type="dxa"/>
            <w:left w:w="108" w:type="dxa"/>
            <w:bottom w:w="0" w:type="dxa"/>
            <w:right w:w="108" w:type="dxa"/>
          </w:tblCellMar>
        </w:tblPrEx>
        <w:trPr>
          <w:jc w:val="center"/>
        </w:trPr>
        <w:tc>
          <w:tcPr>
            <w:tcW w:w="518" w:type="dxa"/>
            <w:vMerge w:val="restart"/>
            <w:tcBorders>
              <w:top w:val="single" w:color="auto" w:sz="4" w:space="0"/>
              <w:left w:val="single" w:color="auto" w:sz="4" w:space="0"/>
              <w:bottom w:val="single" w:color="000000" w:sz="4" w:space="0"/>
              <w:right w:val="single" w:color="auto" w:sz="4" w:space="0"/>
            </w:tcBorders>
            <w:noWrap w:val="0"/>
            <w:vAlign w:val="center"/>
          </w:tcPr>
          <w:p>
            <w:pPr>
              <w:jc w:val="left"/>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single" w:color="auto" w:sz="4" w:space="0"/>
              <w:left w:val="single" w:color="auto" w:sz="4" w:space="0"/>
              <w:bottom w:val="single" w:color="000000" w:sz="4" w:space="0"/>
              <w:right w:val="single" w:color="auto" w:sz="4" w:space="0"/>
            </w:tcBorders>
            <w:noWrap w:val="0"/>
            <w:vAlign w:val="center"/>
          </w:tcPr>
          <w:p>
            <w:pPr>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管理制度健全性</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①有内部财务管理制度、会计核算制度等管理制度，2分；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②有本部门厉行节约制度,2分；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③相关管理制度合法、合规、完整，2分；④相关管理制度得到有效执行，2分。</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资金使用合规性</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以上情况每出现一例不符合要求的扣1分，扣完为止。</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预决算信息公开性</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①按规定内容公开预决算信息，1分；②按规定时限公开预决算信息，1分；③基础数据信息和会计信息资料真实，1分；④基础数据信息和会计信息资料完整，1分；⑤基础数据信息和汇集信息资料准确，1分。  </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预决算信息是指与部门预算、执行、决算、监督、绩效等管理相关的信息。</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产出及效率</w:t>
            </w:r>
          </w:p>
        </w:tc>
        <w:tc>
          <w:tcPr>
            <w:tcW w:w="47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w:t>
            </w:r>
          </w:p>
        </w:tc>
        <w:tc>
          <w:tcPr>
            <w:tcW w:w="623"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职责履行</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1015" w:type="dxa"/>
            <w:tcBorders>
              <w:top w:val="nil"/>
              <w:left w:val="nil"/>
              <w:bottom w:val="nil"/>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重点工作实际完成率</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根据绩效办20</w:t>
            </w:r>
            <w:r>
              <w:rPr>
                <w:rFonts w:hint="eastAsia" w:ascii="仿宋_GB2312" w:hAnsi="宋体" w:eastAsia="仿宋_GB2312" w:cs="宋体"/>
                <w:kern w:val="0"/>
                <w:sz w:val="20"/>
                <w:szCs w:val="20"/>
                <w:lang w:val="en-US" w:eastAsia="zh-CN"/>
              </w:rPr>
              <w:t>21</w:t>
            </w:r>
            <w:r>
              <w:rPr>
                <w:rFonts w:hint="eastAsia" w:ascii="仿宋_GB2312" w:hAnsi="宋体" w:eastAsia="仿宋_GB2312" w:cs="宋体"/>
                <w:kern w:val="0"/>
                <w:sz w:val="20"/>
                <w:szCs w:val="20"/>
              </w:rPr>
              <w:t>年对各部门为民办实事和部门重点工程与重点工作考核分数折算。</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该项得分=（绩效办对应部分考核得分/</w:t>
            </w:r>
            <w:r>
              <w:rPr>
                <w:rFonts w:hint="eastAsia" w:ascii="仿宋_GB2312" w:hAnsi="宋体" w:eastAsia="仿宋_GB2312" w:cs="宋体"/>
                <w:kern w:val="0"/>
                <w:sz w:val="20"/>
                <w:szCs w:val="20"/>
                <w:lang w:eastAsia="zh-CN"/>
              </w:rPr>
              <w:t>该部分总分</w:t>
            </w:r>
            <w:r>
              <w:rPr>
                <w:rFonts w:hint="eastAsia" w:ascii="仿宋_GB2312" w:hAnsi="宋体" w:eastAsia="仿宋_GB2312" w:cs="宋体"/>
                <w:kern w:val="0"/>
                <w:sz w:val="20"/>
                <w:szCs w:val="20"/>
              </w:rPr>
              <w:t>）*8</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履职 效益</w:t>
            </w:r>
          </w:p>
        </w:tc>
        <w:tc>
          <w:tcPr>
            <w:tcW w:w="41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1015"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经济效益</w:t>
            </w:r>
          </w:p>
        </w:tc>
        <w:tc>
          <w:tcPr>
            <w:tcW w:w="416" w:type="dxa"/>
            <w:vMerge w:val="restart"/>
            <w:tcBorders>
              <w:top w:val="nil"/>
              <w:left w:val="single" w:color="auto" w:sz="4" w:space="0"/>
              <w:bottom w:val="nil"/>
              <w:right w:val="single" w:color="auto" w:sz="4" w:space="0"/>
            </w:tcBorders>
            <w:noWrap w:val="0"/>
            <w:vAlign w:val="center"/>
          </w:tcPr>
          <w:p>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6505" w:type="dxa"/>
            <w:gridSpan w:val="2"/>
            <w:vMerge w:val="restart"/>
            <w:tcBorders>
              <w:top w:val="single" w:color="auto" w:sz="4" w:space="0"/>
              <w:left w:val="single" w:color="auto" w:sz="4" w:space="0"/>
              <w:bottom w:val="nil"/>
              <w:right w:val="single" w:color="000000"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此两项指标为设置部门整体支出绩效评价指标时必须考虑的共性要素，可根据部门实际情况有选择的进行设置，并将其细化为相应的个性化指标。</w:t>
            </w:r>
          </w:p>
        </w:tc>
        <w:tc>
          <w:tcPr>
            <w:tcW w:w="637" w:type="dxa"/>
            <w:tcBorders>
              <w:top w:val="nil"/>
              <w:left w:val="nil"/>
              <w:bottom w:val="nil"/>
              <w:right w:val="single" w:color="auto" w:sz="4" w:space="0"/>
            </w:tcBorders>
            <w:noWrap w:val="0"/>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10</w:t>
            </w:r>
          </w:p>
        </w:tc>
      </w:tr>
      <w:tr>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社会效益</w:t>
            </w:r>
          </w:p>
        </w:tc>
        <w:tc>
          <w:tcPr>
            <w:tcW w:w="416" w:type="dxa"/>
            <w:vMerge w:val="continue"/>
            <w:tcBorders>
              <w:top w:val="nil"/>
              <w:left w:val="single" w:color="auto" w:sz="4" w:space="0"/>
              <w:bottom w:val="nil"/>
              <w:right w:val="single" w:color="auto" w:sz="4" w:space="0"/>
            </w:tcBorders>
            <w:noWrap w:val="0"/>
            <w:vAlign w:val="center"/>
          </w:tcPr>
          <w:p>
            <w:pPr>
              <w:widowControl/>
              <w:jc w:val="left"/>
              <w:rPr>
                <w:rFonts w:ascii="仿宋_GB2312" w:hAnsi="宋体" w:eastAsia="仿宋_GB2312" w:cs="宋体"/>
                <w:kern w:val="0"/>
                <w:sz w:val="20"/>
                <w:szCs w:val="20"/>
              </w:rPr>
            </w:pPr>
          </w:p>
        </w:tc>
        <w:tc>
          <w:tcPr>
            <w:tcW w:w="6505" w:type="dxa"/>
            <w:gridSpan w:val="2"/>
            <w:vMerge w:val="continue"/>
            <w:tcBorders>
              <w:top w:val="single" w:color="auto" w:sz="4" w:space="0"/>
              <w:left w:val="single" w:color="auto" w:sz="4" w:space="0"/>
              <w:bottom w:val="nil"/>
              <w:right w:val="single" w:color="000000" w:sz="4" w:space="0"/>
            </w:tcBorders>
            <w:noWrap w:val="0"/>
            <w:vAlign w:val="center"/>
          </w:tcPr>
          <w:p>
            <w:pPr>
              <w:widowControl/>
              <w:jc w:val="left"/>
              <w:rPr>
                <w:rFonts w:ascii="仿宋_GB2312" w:hAnsi="宋体" w:eastAsia="仿宋_GB2312" w:cs="宋体"/>
                <w:kern w:val="0"/>
                <w:sz w:val="20"/>
                <w:szCs w:val="20"/>
              </w:rPr>
            </w:pPr>
          </w:p>
        </w:tc>
        <w:tc>
          <w:tcPr>
            <w:tcW w:w="637" w:type="dxa"/>
            <w:tcBorders>
              <w:top w:val="nil"/>
              <w:left w:val="nil"/>
              <w:bottom w:val="nil"/>
              <w:right w:val="single" w:color="auto" w:sz="4" w:space="0"/>
            </w:tcBorders>
            <w:noWrap w:val="0"/>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w:t>
            </w: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行政效能</w:t>
            </w:r>
          </w:p>
        </w:tc>
        <w:tc>
          <w:tcPr>
            <w:tcW w:w="416"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single" w:color="auto" w:sz="4" w:space="0"/>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促进部门改进文风会风，加强经费及资产管理，推动网上办事，提高行政效率，降低行政成本效果较好的计6分；一般3分；无效果或者效果不明显0分。</w:t>
            </w:r>
          </w:p>
        </w:tc>
        <w:tc>
          <w:tcPr>
            <w:tcW w:w="3489" w:type="dxa"/>
            <w:tcBorders>
              <w:top w:val="single" w:color="auto" w:sz="4" w:space="0"/>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根据部门自评材料评定。</w:t>
            </w:r>
          </w:p>
        </w:tc>
        <w:tc>
          <w:tcPr>
            <w:tcW w:w="637"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社会公众或服务对象满意度</w:t>
            </w:r>
          </w:p>
        </w:tc>
        <w:tc>
          <w:tcPr>
            <w:tcW w:w="416"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90%（含）以上计6分；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80%（含）-90%，计4分；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70%（含）-80%，计2分；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低于70%计0分。</w:t>
            </w:r>
          </w:p>
        </w:tc>
        <w:tc>
          <w:tcPr>
            <w:tcW w:w="3489"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社会公众或服务对象是指部门（单位）履行职责而影响到的部门、群体或个人，一般采取社会调查的方式。</w:t>
            </w:r>
          </w:p>
        </w:tc>
        <w:tc>
          <w:tcPr>
            <w:tcW w:w="63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lang w:val="en-US" w:eastAsia="zh-CN"/>
              </w:rPr>
              <w:t>6</w:t>
            </w:r>
          </w:p>
        </w:tc>
      </w:tr>
    </w:tbl>
    <w:p>
      <w:pPr>
        <w:widowControl/>
        <w:spacing w:line="600" w:lineRule="exact"/>
        <w:ind w:firstLine="645"/>
        <w:jc w:val="left"/>
        <w:rPr>
          <w:rFonts w:eastAsia="仿宋_GB2312"/>
          <w:sz w:val="32"/>
          <w:szCs w:val="32"/>
        </w:rPr>
      </w:pPr>
    </w:p>
    <w:sectPr>
      <w:footerReference r:id="rId3" w:type="default"/>
      <w:pgSz w:w="11906" w:h="16838"/>
      <w:pgMar w:top="85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zYTUzOTZiZTYzMzIyODFjOTM0ZGVkNzEwY2FjNTkifQ=="/>
  </w:docVars>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ED0475"/>
    <w:rsid w:val="00F55CD7"/>
    <w:rsid w:val="00FB4547"/>
    <w:rsid w:val="00FC7FE9"/>
    <w:rsid w:val="016F551B"/>
    <w:rsid w:val="01704DFC"/>
    <w:rsid w:val="01E658C9"/>
    <w:rsid w:val="0215400D"/>
    <w:rsid w:val="02D94456"/>
    <w:rsid w:val="04D01847"/>
    <w:rsid w:val="062A43C9"/>
    <w:rsid w:val="06581AF4"/>
    <w:rsid w:val="065C003A"/>
    <w:rsid w:val="078660CC"/>
    <w:rsid w:val="07D86362"/>
    <w:rsid w:val="085A33ED"/>
    <w:rsid w:val="0C1C35C4"/>
    <w:rsid w:val="0C3B5596"/>
    <w:rsid w:val="0CB41A4E"/>
    <w:rsid w:val="0DDA6490"/>
    <w:rsid w:val="0E056A05"/>
    <w:rsid w:val="0ECA3786"/>
    <w:rsid w:val="0FB252BC"/>
    <w:rsid w:val="11DF7EEF"/>
    <w:rsid w:val="124A70DD"/>
    <w:rsid w:val="133C4B4F"/>
    <w:rsid w:val="13520775"/>
    <w:rsid w:val="140570F6"/>
    <w:rsid w:val="14BE438E"/>
    <w:rsid w:val="14D26A01"/>
    <w:rsid w:val="1A330456"/>
    <w:rsid w:val="1E2E5C48"/>
    <w:rsid w:val="1EDE1F06"/>
    <w:rsid w:val="1EE510F2"/>
    <w:rsid w:val="1F3C5FFF"/>
    <w:rsid w:val="212C6F36"/>
    <w:rsid w:val="22F90A6F"/>
    <w:rsid w:val="230D3C6E"/>
    <w:rsid w:val="23960C12"/>
    <w:rsid w:val="2466358E"/>
    <w:rsid w:val="246F02E5"/>
    <w:rsid w:val="247E7606"/>
    <w:rsid w:val="24A116F7"/>
    <w:rsid w:val="24C148B0"/>
    <w:rsid w:val="24EE4147"/>
    <w:rsid w:val="25B04809"/>
    <w:rsid w:val="27076EF2"/>
    <w:rsid w:val="276F6846"/>
    <w:rsid w:val="28D15A0A"/>
    <w:rsid w:val="28E13594"/>
    <w:rsid w:val="291D3AB4"/>
    <w:rsid w:val="2AF43C32"/>
    <w:rsid w:val="2C7C7A3B"/>
    <w:rsid w:val="2CE50B3E"/>
    <w:rsid w:val="2D8A198D"/>
    <w:rsid w:val="2E00644A"/>
    <w:rsid w:val="3069477A"/>
    <w:rsid w:val="31336B36"/>
    <w:rsid w:val="31BB1005"/>
    <w:rsid w:val="31D13F78"/>
    <w:rsid w:val="32E40718"/>
    <w:rsid w:val="33A41CA9"/>
    <w:rsid w:val="340053A6"/>
    <w:rsid w:val="342111EA"/>
    <w:rsid w:val="34AF2977"/>
    <w:rsid w:val="356910D3"/>
    <w:rsid w:val="367C059B"/>
    <w:rsid w:val="371C0798"/>
    <w:rsid w:val="39253208"/>
    <w:rsid w:val="39AA3A3B"/>
    <w:rsid w:val="39AE1450"/>
    <w:rsid w:val="39D76BF8"/>
    <w:rsid w:val="39EE7A9E"/>
    <w:rsid w:val="3AA872FE"/>
    <w:rsid w:val="3B800BCA"/>
    <w:rsid w:val="3D2D1F6F"/>
    <w:rsid w:val="3D9D3CB5"/>
    <w:rsid w:val="3DC323D7"/>
    <w:rsid w:val="3F406FEE"/>
    <w:rsid w:val="43806A43"/>
    <w:rsid w:val="448D14FC"/>
    <w:rsid w:val="44DC59FC"/>
    <w:rsid w:val="4594599D"/>
    <w:rsid w:val="464873A9"/>
    <w:rsid w:val="46B50266"/>
    <w:rsid w:val="47186814"/>
    <w:rsid w:val="477D5A14"/>
    <w:rsid w:val="49BC3570"/>
    <w:rsid w:val="4A7C2C73"/>
    <w:rsid w:val="4AC85502"/>
    <w:rsid w:val="4B1E568F"/>
    <w:rsid w:val="4BFE0015"/>
    <w:rsid w:val="4C9B1D07"/>
    <w:rsid w:val="4EDE7C89"/>
    <w:rsid w:val="4F292EA2"/>
    <w:rsid w:val="4F4B17C3"/>
    <w:rsid w:val="4FAA4B63"/>
    <w:rsid w:val="50FE74CF"/>
    <w:rsid w:val="51BB2504"/>
    <w:rsid w:val="522E0F28"/>
    <w:rsid w:val="52AC60B3"/>
    <w:rsid w:val="531C4FC4"/>
    <w:rsid w:val="539A0A48"/>
    <w:rsid w:val="53A45945"/>
    <w:rsid w:val="54F36FF9"/>
    <w:rsid w:val="57D6726A"/>
    <w:rsid w:val="59592D2E"/>
    <w:rsid w:val="5CC579CC"/>
    <w:rsid w:val="5CCF4C0A"/>
    <w:rsid w:val="5D997B9D"/>
    <w:rsid w:val="5DD60DF1"/>
    <w:rsid w:val="5F35266D"/>
    <w:rsid w:val="5F4B4EC7"/>
    <w:rsid w:val="6054424F"/>
    <w:rsid w:val="60665259"/>
    <w:rsid w:val="60C03693"/>
    <w:rsid w:val="61C35311"/>
    <w:rsid w:val="62CB5347"/>
    <w:rsid w:val="62D84CC4"/>
    <w:rsid w:val="631133BC"/>
    <w:rsid w:val="641E2BAA"/>
    <w:rsid w:val="64D8481E"/>
    <w:rsid w:val="64E2007C"/>
    <w:rsid w:val="66D1294E"/>
    <w:rsid w:val="671409BA"/>
    <w:rsid w:val="67AA28C3"/>
    <w:rsid w:val="68880F3A"/>
    <w:rsid w:val="69320EA6"/>
    <w:rsid w:val="693E5A9D"/>
    <w:rsid w:val="6A310A8E"/>
    <w:rsid w:val="6A592E24"/>
    <w:rsid w:val="6A7F203A"/>
    <w:rsid w:val="6BA13361"/>
    <w:rsid w:val="6BE515D1"/>
    <w:rsid w:val="6C1B20C5"/>
    <w:rsid w:val="6D0D6AE8"/>
    <w:rsid w:val="6D714B6E"/>
    <w:rsid w:val="6D8A27AE"/>
    <w:rsid w:val="6E0077C5"/>
    <w:rsid w:val="6EE844E0"/>
    <w:rsid w:val="70721569"/>
    <w:rsid w:val="749E5641"/>
    <w:rsid w:val="75C23374"/>
    <w:rsid w:val="78D32916"/>
    <w:rsid w:val="78D43611"/>
    <w:rsid w:val="7AD63D87"/>
    <w:rsid w:val="7B285865"/>
    <w:rsid w:val="7BA875A6"/>
    <w:rsid w:val="7BE27D1D"/>
    <w:rsid w:val="7C3136E3"/>
    <w:rsid w:val="7D036989"/>
    <w:rsid w:val="7D23702C"/>
    <w:rsid w:val="7D382604"/>
    <w:rsid w:val="7D9F66B2"/>
    <w:rsid w:val="7E2E5C88"/>
    <w:rsid w:val="7E5F1783"/>
    <w:rsid w:val="7E7F4735"/>
    <w:rsid w:val="7F785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99"/>
    <w:pPr>
      <w:spacing w:line="481" w:lineRule="atLeast"/>
      <w:ind w:firstLine="623"/>
      <w:textAlignment w:val="baseline"/>
    </w:pPr>
    <w:rPr>
      <w:color w:val="000000"/>
      <w:sz w:val="31"/>
      <w:szCs w:val="31"/>
    </w:rPr>
  </w:style>
  <w:style w:type="paragraph" w:styleId="3">
    <w:name w:val="Body Text"/>
    <w:basedOn w:val="1"/>
    <w:next w:val="4"/>
    <w:qFormat/>
    <w:uiPriority w:val="0"/>
    <w:pPr>
      <w:spacing w:after="120"/>
    </w:pPr>
    <w:rPr>
      <w:rFonts w:ascii="Calibri" w:hAnsi="Calibri" w:eastAsia="宋体" w:cs="Times New Roman"/>
    </w:rPr>
  </w:style>
  <w:style w:type="paragraph" w:styleId="4">
    <w:name w:val="toc 5"/>
    <w:basedOn w:val="1"/>
    <w:next w:val="1"/>
    <w:qFormat/>
    <w:uiPriority w:val="99"/>
    <w:pPr>
      <w:spacing w:line="600" w:lineRule="exact"/>
      <w:jc w:val="center"/>
    </w:pPr>
    <w:rPr>
      <w:rFonts w:ascii="仿宋_GB2312" w:eastAsia="仿宋_GB2312" w:cs="仿宋_GB2312"/>
      <w:b/>
      <w:bCs/>
      <w:sz w:val="32"/>
      <w:szCs w:val="32"/>
    </w:rPr>
  </w:style>
  <w:style w:type="paragraph" w:styleId="5">
    <w:name w:val="Body Text Indent"/>
    <w:basedOn w:val="1"/>
    <w:qFormat/>
    <w:uiPriority w:val="99"/>
    <w:pPr>
      <w:ind w:left="359" w:leftChars="171" w:firstLine="524" w:firstLineChars="187"/>
    </w:pPr>
  </w:style>
  <w:style w:type="paragraph" w:styleId="6">
    <w:name w:val="Plain Text"/>
    <w:basedOn w:val="1"/>
    <w:next w:val="1"/>
    <w:qFormat/>
    <w:uiPriority w:val="0"/>
    <w:pPr>
      <w:jc w:val="left"/>
      <w:outlineLvl w:val="2"/>
    </w:pPr>
    <w:rPr>
      <w:rFonts w:ascii="宋体" w:hAnsi="Courier New" w:cs="Courier New"/>
      <w:b/>
      <w:kern w:val="0"/>
      <w:szCs w:val="21"/>
    </w:rPr>
  </w:style>
  <w:style w:type="paragraph" w:styleId="7">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qFormat/>
    <w:uiPriority w:val="0"/>
    <w:pPr>
      <w:spacing w:before="0" w:beforeAutospacing="0" w:after="0" w:afterAutospacing="0"/>
      <w:ind w:left="0" w:right="0"/>
      <w:jc w:val="left"/>
    </w:pPr>
    <w:rPr>
      <w:kern w:val="0"/>
      <w:sz w:val="24"/>
      <w:lang w:val="en-US" w:eastAsia="zh-CN" w:bidi="ar"/>
    </w:rPr>
  </w:style>
  <w:style w:type="paragraph" w:styleId="10">
    <w:name w:val="Body Text First Indent 2"/>
    <w:basedOn w:val="5"/>
    <w:qFormat/>
    <w:uiPriority w:val="99"/>
    <w:pPr>
      <w:autoSpaceDE w:val="0"/>
      <w:autoSpaceDN w:val="0"/>
      <w:adjustRightInd w:val="0"/>
      <w:ind w:firstLine="420"/>
      <w:jc w:val="left"/>
    </w:pPr>
    <w:rPr>
      <w:kern w:val="0"/>
    </w:rPr>
  </w:style>
  <w:style w:type="character" w:customStyle="1" w:styleId="13">
    <w:name w:val="页眉 Char"/>
    <w:basedOn w:val="12"/>
    <w:link w:val="8"/>
    <w:semiHidden/>
    <w:qFormat/>
    <w:uiPriority w:val="99"/>
    <w:rPr>
      <w:sz w:val="18"/>
      <w:szCs w:val="18"/>
    </w:rPr>
  </w:style>
  <w:style w:type="character" w:customStyle="1" w:styleId="14">
    <w:name w:val="页脚 Char"/>
    <w:basedOn w:val="12"/>
    <w:link w:val="7"/>
    <w:semiHidden/>
    <w:qFormat/>
    <w:uiPriority w:val="99"/>
    <w:rPr>
      <w:sz w:val="18"/>
      <w:szCs w:val="18"/>
    </w:rPr>
  </w:style>
  <w:style w:type="paragraph" w:styleId="15">
    <w:name w:val="List Paragraph"/>
    <w:basedOn w:val="1"/>
    <w:qFormat/>
    <w:uiPriority w:val="99"/>
    <w:pPr>
      <w:ind w:firstLine="420" w:firstLineChars="200"/>
    </w:pPr>
    <w:rPr>
      <w:rFonts w:ascii="Calibri" w:hAnsi="Calibri"/>
      <w:szCs w:val="22"/>
    </w:rPr>
  </w:style>
  <w:style w:type="paragraph" w:customStyle="1" w:styleId="16">
    <w:name w:val="无间隔"/>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paragraph"/>
    <w:basedOn w:val="1"/>
    <w:qFormat/>
    <w:uiPriority w:val="0"/>
    <w:pPr>
      <w:adjustRightInd/>
      <w:snapToGrid/>
      <w:spacing w:before="100" w:beforeAutospacing="1" w:after="100" w:afterAutospacing="1"/>
    </w:pPr>
    <w:rPr>
      <w:rFonts w:ascii="宋体" w:hAnsi="宋体" w:eastAsia="宋体" w:cs="宋体"/>
      <w:sz w:val="24"/>
      <w:szCs w:val="24"/>
    </w:rPr>
  </w:style>
  <w:style w:type="character" w:customStyle="1" w:styleId="18">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7584</Words>
  <Characters>8091</Characters>
  <Lines>61</Lines>
  <Paragraphs>17</Paragraphs>
  <TotalTime>9</TotalTime>
  <ScaleCrop>false</ScaleCrop>
  <LinksUpToDate>false</LinksUpToDate>
  <CharactersWithSpaces>8375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亭</cp:lastModifiedBy>
  <cp:lastPrinted>2023-09-20T01:53:00Z</cp:lastPrinted>
  <dcterms:modified xsi:type="dcterms:W3CDTF">2023-10-09T00:29:40Z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ECFC8DC4D99A46A2A2444F14D9B7C349_13</vt:lpwstr>
  </property>
</Properties>
</file>