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7F2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怀化市鹤城区林业局</w:t>
      </w:r>
      <w:r>
        <w:rPr>
          <w:rFonts w:ascii="黑体" w:hAnsi="黑体" w:eastAsia="黑体" w:cs="宋体"/>
          <w:b/>
          <w:color w:val="000000"/>
          <w:sz w:val="36"/>
        </w:rPr>
        <w:t>部门决算</w:t>
      </w:r>
    </w:p>
    <w:p w14:paraId="036A59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95787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怀化市鹤城区林业局单位概况</w:t>
      </w:r>
    </w:p>
    <w:p w14:paraId="09AEAA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73CF4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5E00A2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17BC36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32F284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1AF479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C1146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0737D9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404A2D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1231A1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26C5E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F5D5B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42DFE0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3281D9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6BE19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2EE221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1E45A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3C831B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09D83C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D67AE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5F6E8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4333D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47D01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A2352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06121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F70F7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CEF7D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3472B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3288FA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2487AED">
      <w:pPr>
        <w:rPr>
          <w:rFonts w:ascii="黑体" w:hAnsi="黑体" w:eastAsia="黑体" w:cs="宋体"/>
          <w:b/>
          <w:color w:val="000000"/>
          <w:sz w:val="33"/>
        </w:rPr>
      </w:pPr>
      <w:r>
        <w:rPr>
          <w:rFonts w:ascii="黑体" w:hAnsi="黑体" w:eastAsia="黑体" w:cs="宋体"/>
          <w:b/>
          <w:color w:val="000000"/>
          <w:sz w:val="33"/>
        </w:rPr>
        <w:br w:type="page"/>
      </w:r>
    </w:p>
    <w:p w14:paraId="461712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怀化市鹤城区林业局</w:t>
      </w:r>
      <w:r>
        <w:rPr>
          <w:rFonts w:ascii="黑体" w:hAnsi="黑体" w:eastAsia="黑体" w:cs="宋体"/>
          <w:b/>
          <w:color w:val="000000"/>
          <w:sz w:val="33"/>
        </w:rPr>
        <w:t>单位概况</w:t>
      </w:r>
    </w:p>
    <w:p w14:paraId="310ACA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27D712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w:t>
      </w:r>
      <w:r>
        <w:rPr>
          <w:rFonts w:hint="eastAsia" w:ascii="宋体" w:hAnsi="宋体" w:eastAsia="宋体" w:cs="宋体"/>
          <w:color w:val="000000"/>
          <w:sz w:val="28"/>
          <w:lang w:eastAsia="zh-CN"/>
        </w:rPr>
        <w:t>、</w:t>
      </w:r>
      <w:r>
        <w:rPr>
          <w:rFonts w:ascii="宋体" w:hAnsi="宋体" w:eastAsia="宋体" w:cs="宋体"/>
          <w:color w:val="000000"/>
          <w:sz w:val="28"/>
        </w:rPr>
        <w:t>负责全区林业和草原及其生态保护修复的监督管理。贯彻执行林业和草原及其生态保护修复的政策、规划、标准，拟订全区林业和草原及其生态建设的中长期规划并监督实施。组织开展森林、草原、湿地、荒漠和陆生野生动植物资源动态监测与评估，并发布相关信息。承担林业和草原生态文明建设的有关工作。</w:t>
      </w:r>
    </w:p>
    <w:p w14:paraId="6AD14A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组织、协调、指导、监督全区林业和草原生态保护修复和造林绿化工作。组织实施林业和草原重点生态保护修复工程；组织、监督各类公益林和商品林的培育；组织、指导植树造林、封山育林工作和以植树种草等生物措施防治水土流失和防沙、治沙工作；组织、指导、监督全民义务植树、城乡绿化工作；组织指导林木花卉工作；组织、指导、监督林业有害生物防治、检疫工作。承担林业和草原应对气候变化的相关工作。承担区绿化委会员的具体工作。</w:t>
      </w:r>
    </w:p>
    <w:p w14:paraId="184DCE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3、</w:t>
      </w:r>
      <w:r>
        <w:rPr>
          <w:rFonts w:ascii="宋体" w:hAnsi="宋体" w:eastAsia="宋体" w:cs="宋体"/>
          <w:color w:val="000000"/>
          <w:sz w:val="28"/>
        </w:rPr>
        <w:t>负责森林、草原、湿地资源的监督管理。组织编制并监督执行全区森林采伐限额，监督检查木竹的凭证采伐、运输、经营加工。负责林地管理，拟订全区林地保护利用规划并组织实施，承担全区范围内的林地征占用的审核、审批、上报，监督林地开发利用工作；承担公益林划定、保护和管理工作，按权限负责管理国有森林资源。负责草原禁牧、草畜平衡和草原生态修复治理工作，监督管理草原的开发利用。负责湿地生态保护修复工作，拟订全区湿地保护规划。组织实施建立湿地保护小区、湿地公园等保护管理工作。监督、管理湿地的合理利用。</w:t>
      </w:r>
    </w:p>
    <w:p w14:paraId="51E489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4、</w:t>
      </w:r>
      <w:r>
        <w:rPr>
          <w:rFonts w:ascii="宋体" w:hAnsi="宋体" w:eastAsia="宋体" w:cs="宋体"/>
          <w:color w:val="000000"/>
          <w:sz w:val="28"/>
        </w:rPr>
        <w:t>负责监督管理石漠化防治工作。组织开展荒漠调查，组织拟订防沙治沙、石漠化防治及沙化土地封禁保护区建设规划，监督管理沙化土地的开发利用，组织、指导建设项目对土地沙化影响的审核，组织沙化灾害预测预报和应急处置。</w:t>
      </w:r>
    </w:p>
    <w:p w14:paraId="5B37AC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5、</w:t>
      </w:r>
      <w:r>
        <w:rPr>
          <w:rFonts w:ascii="宋体" w:hAnsi="宋体" w:eastAsia="宋体" w:cs="宋体"/>
          <w:color w:val="000000"/>
          <w:sz w:val="28"/>
        </w:rPr>
        <w:t>负责陆生野生动植物资源监督管理。组织指导陆生野生动植物资源的保护和合理开发利用；组织开展全区陆生野生动植物资源调查；组织指导陆生野生动植物的救护繁殖、栖息地恢复发展、疫源疫病监测；监督管理全区陆生野生动植物猎捕或采集、驯养繁殖或培植、经营利用，按分工监督管理野生动植物进出口。</w:t>
      </w:r>
    </w:p>
    <w:p w14:paraId="2640FE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6、</w:t>
      </w:r>
      <w:r>
        <w:rPr>
          <w:rFonts w:ascii="宋体" w:hAnsi="宋体" w:eastAsia="宋体" w:cs="宋体"/>
          <w:color w:val="000000"/>
          <w:sz w:val="28"/>
        </w:rPr>
        <w:t>负责各类自然保护地的监督管理。负责各类自然保护地的规划、建设和实施工作。按照中央和省、市、区要求对区内自然保护地的自然资源和国土空间用途进行监督管理。提出新建、调整各类自然保护地、自然遗产的审核建议并按程序报批。会同有关部门审核自然与文化双重遗产的申报。负责生物多样性保护相关工作。</w:t>
      </w:r>
    </w:p>
    <w:p w14:paraId="400EB0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7、</w:t>
      </w:r>
      <w:r>
        <w:rPr>
          <w:rFonts w:ascii="宋体" w:hAnsi="宋体" w:eastAsia="宋体" w:cs="宋体"/>
          <w:color w:val="000000"/>
          <w:sz w:val="28"/>
        </w:rPr>
        <w:t>负责推进林业和草原改革相关工作。监督实施集体林权制度等重大林业改革。</w:t>
      </w:r>
    </w:p>
    <w:p w14:paraId="2B6EAE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197991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（一）内设机构设置。怀化市鹤城区林业局单位内设机构包括：</w:t>
      </w:r>
      <w:r>
        <w:rPr>
          <w:rFonts w:ascii="宋体" w:hAnsi="宋体" w:eastAsia="宋体" w:cs="宋体"/>
          <w:color w:val="000000"/>
          <w:sz w:val="28"/>
        </w:rPr>
        <w:t>办公室、规划财务股、造林绿化股、森林资源管理股、自然保护地和野生动植物保护股、政策法规和行政审批股、人事股共7个内设股室和6个二级事业单位（林业综合执法大队、林业调查规划设计队、山林纠纷调处中心、森林防火指挥中心、林地产业服务中心、公益林服务中心）组成，其中林业综合执法大队和山林纠纷调处中心为副科级单位。人员情况：鹤城区林业局所属事业单位共3个，区林业行政执法大队1个副科级事业单位。林业局机关在职人员95人。</w:t>
      </w:r>
    </w:p>
    <w:p w14:paraId="2EAB7A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（二）决算单位构成。怀化市鹤城区林业局单位2022年部门决算汇总公开单位构成包括：怀化市鹤城区林业局本级</w:t>
      </w:r>
      <w:r>
        <w:rPr>
          <w:rFonts w:ascii="宋体" w:hAnsi="宋体" w:eastAsia="宋体" w:cs="宋体"/>
          <w:color w:val="000000"/>
          <w:sz w:val="28"/>
        </w:rPr>
        <w:t>。</w:t>
      </w:r>
    </w:p>
    <w:p w14:paraId="255C5C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3904FC1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3277F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0D93875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43ACB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5162EF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EA794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373A44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E42D9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9D6408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1DA91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02F7269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0" w:type="auto"/>
            <w:gridSpan w:val="2"/>
            <w:tcBorders>
              <w:top w:val="nil"/>
              <w:left w:val="nil"/>
              <w:bottom w:val="nil"/>
              <w:right w:val="nil"/>
              <w:tl2br w:val="nil"/>
              <w:tr2bl w:val="nil"/>
            </w:tcBorders>
            <w:shd w:val="clear" w:color="auto" w:fill="FFFFFF"/>
            <w:noWrap/>
            <w:vAlign w:val="bottom"/>
          </w:tcPr>
          <w:p w14:paraId="29A09F7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4AA2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37EF0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3020A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702DE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4E5C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1899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C97D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AB3A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E2E4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2E8D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12AA8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2AD9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FA09C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ACFA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1C3F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EEC54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0C6C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66487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9D3D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9F9E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7E28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7D0F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A6F7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818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D56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78B4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C0E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0F4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1BC9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66A6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336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D50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B834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9AB7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F6E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536D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0826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E1B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C5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F5E2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024E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EAD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74E1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ADCD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0D0D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4F0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F650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667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D9F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F5E2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8FF4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1307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684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87AC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2C22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251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EC4B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5DC6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A747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D6A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6D9C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5D2E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80C9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5C23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4946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9D9D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C56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BB6C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DCC8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1FE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6FA9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6E2E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26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50.18</w:t>
            </w:r>
          </w:p>
        </w:tc>
      </w:tr>
      <w:tr w14:paraId="19398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A3437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2359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00A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78CA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DD42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7B1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r>
      <w:tr w14:paraId="36DDF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B2DC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A7E6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0E73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2830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06DD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C19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r>
      <w:tr w14:paraId="3C004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39C2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4321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C93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48BF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FCEC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256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0DD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0F58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119B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8170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C912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B186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2C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1,875.40</w:t>
            </w:r>
          </w:p>
        </w:tc>
      </w:tr>
      <w:tr w14:paraId="5B37D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6A36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37AE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2B1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7E1B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EDA2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654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r>
      <w:tr w14:paraId="2BCB3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A6D90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6458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363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2B44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3ACF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78A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E7F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F413B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B73C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8876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E750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6F67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A0D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821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BAC68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375C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BAE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994A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95D0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4ED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7CB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0922E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50DC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A33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806D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AB1A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200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EDC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324EE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E386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6A1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818E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87B6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90E6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BF5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8D132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EAB1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606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85AE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48EB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28A0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CD5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ADAB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62D4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4DAF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3207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80C0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B4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3BB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FF912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A84F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5CBA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7BB1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BF95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A48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D87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E43E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9C89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206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E063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9795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C5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2E9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2829E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29B9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C2C4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6138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347D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3DA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r>
      <w:tr w14:paraId="189B5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77DAA5">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46048C">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AE79C">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AE73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5BA3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1D5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333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96841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1DCC67">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E5DA79">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8FB7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9A7B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A9F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16E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8950E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33A0BE">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D59EFA">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866B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B011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35C0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FAF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59919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70CA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94F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9B035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9B61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3F5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r>
      <w:tr w14:paraId="4D1FF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471B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8B4A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33C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911A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04A4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BA5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F48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9911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180E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15D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464C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5A1C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51C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4D2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B1D7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DEB3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2C44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5E90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8A71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C281A">
            <w:pPr>
              <w:spacing w:beforeLines="0" w:afterLines="0"/>
              <w:jc w:val="left"/>
              <w:rPr>
                <w:rFonts w:hint="eastAsia" w:ascii="宋体" w:hAnsi="宋体" w:eastAsia="宋体" w:cs="宋体"/>
                <w:color w:val="000000"/>
                <w:sz w:val="22"/>
                <w:szCs w:val="22"/>
              </w:rPr>
            </w:pPr>
          </w:p>
        </w:tc>
      </w:tr>
      <w:tr w14:paraId="2D02D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980CA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F0CA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E416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D404A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2AE8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9E0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r>
      <w:tr w14:paraId="1D7EF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45122A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24615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D4C2B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3868C15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69721C1">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7979D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44D5D96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71A23837">
        <w:tblPrEx>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6845100E">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36533151">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76084311">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2E6876BF">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3C419F52">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08F9EE45">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2DBB4073">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1D5CBC27">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07DA2E25">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38BDE60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748AC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040124C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902" w:type="pct"/>
            <w:gridSpan w:val="2"/>
            <w:tcBorders>
              <w:top w:val="nil"/>
              <w:left w:val="nil"/>
              <w:bottom w:val="nil"/>
              <w:right w:val="nil"/>
              <w:tl2br w:val="nil"/>
              <w:tr2bl w:val="nil"/>
            </w:tcBorders>
            <w:shd w:val="clear" w:color="auto" w:fill="FFFFFF"/>
            <w:noWrap/>
            <w:vAlign w:val="bottom"/>
          </w:tcPr>
          <w:p w14:paraId="0033DCD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0602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3C29B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A3EB6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801CD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64045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5F3FC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B457B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5279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2952A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11FDC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B103E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700BF0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4120C8">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C5E4C8">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7D1182">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F291A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DF8CB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C750E2">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353A88">
            <w:pPr>
              <w:spacing w:beforeLines="0" w:afterLines="0"/>
              <w:jc w:val="center"/>
              <w:rPr>
                <w:rFonts w:hint="eastAsia" w:ascii="宋体" w:hAnsi="宋体" w:eastAsia="宋体" w:cs="宋体"/>
                <w:color w:val="000000"/>
                <w:sz w:val="22"/>
                <w:szCs w:val="22"/>
              </w:rPr>
            </w:pPr>
          </w:p>
        </w:tc>
      </w:tr>
      <w:tr w14:paraId="0668B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D6C4530">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FBA3E48">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FBD18A">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65A27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3BB135">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95A58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82785F">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CE0E47">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F82068">
            <w:pPr>
              <w:spacing w:beforeLines="0" w:afterLines="0"/>
              <w:jc w:val="center"/>
              <w:rPr>
                <w:rFonts w:hint="eastAsia" w:ascii="宋体" w:hAnsi="宋体" w:eastAsia="宋体" w:cs="宋体"/>
                <w:color w:val="000000"/>
                <w:sz w:val="22"/>
                <w:szCs w:val="22"/>
              </w:rPr>
            </w:pPr>
          </w:p>
        </w:tc>
      </w:tr>
      <w:tr w14:paraId="57292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BFE0F35">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CC65946">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4B6F71">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7366C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A9679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5F6414">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8AADC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4574B9">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7E1C4D">
            <w:pPr>
              <w:spacing w:beforeLines="0" w:afterLines="0"/>
              <w:jc w:val="center"/>
              <w:rPr>
                <w:rFonts w:hint="eastAsia" w:ascii="宋体" w:hAnsi="宋体" w:eastAsia="宋体" w:cs="宋体"/>
                <w:color w:val="000000"/>
                <w:sz w:val="22"/>
                <w:szCs w:val="22"/>
              </w:rPr>
            </w:pPr>
          </w:p>
        </w:tc>
      </w:tr>
      <w:tr w14:paraId="232E3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474D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14783B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5CF9E2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553165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453F05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747D8F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5AA505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2AB1EE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12D6C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BBC0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F5F232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2,103.20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78F75F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2,103.20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BB59BA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AD5D0F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77C71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E86C51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9A2410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CE0B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BF73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F62E9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32BF9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00051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04A6B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774D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2A2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C5F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10DFC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7EB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FEE2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1D04F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2807E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F9A9C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24152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0918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D3FD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D540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32766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397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060B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CBE60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B953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2185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58E6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6EEAB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4A79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F3A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7DE93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E32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EBB3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1D165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5AE80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37F4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A718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FEDF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EB56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7B90A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74405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40F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3302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2A45B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C8C5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2011D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A468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5B46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3AF3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FC9E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EE9AE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A3F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520D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FA826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F7ED3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1F8C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1FF4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8E3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6DBAE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6B0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05AB2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DC5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04C1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207AD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89317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C425A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98DD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694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999AB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5CE61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B9298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909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4766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FA186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96DD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6B1BF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7DA77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F088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F44D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6D0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829C3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DCF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5697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8B545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A5C21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EBC76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B0116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A8652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F61E3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42EE4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21774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7FB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2E0D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B304A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800A0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279DB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8D51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1DF1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E8074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A9790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B1AD1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64E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CD59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687A3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BB0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890F1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06B04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064E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975E7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E5ED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6493C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B2E10A">
        <w:tblPrEx>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22BB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8328B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863D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3AFE7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B17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88C6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7EBD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ABE35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B995A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2EC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0199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4F93C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59F6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739F7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114D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7816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FAA3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0EA1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FE9A5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502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B272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7DE8F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自然生态保护</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E4197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420B5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99E0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3E33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DF30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D69E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77445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20D702">
        <w:tblPrEx>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BEDB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D82BA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其他自然生态保护支出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F5B5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138DB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0D0E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CA10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37BFE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BAA0D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8A7C3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A8C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B7DA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FEE55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C382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1,875.40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3458B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1,875.40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3DB6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E21B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AC0E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E36EE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C2C14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FCA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7567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62E51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3FD6A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0D6C9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CE28B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D6A43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EA1FF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74877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76BB2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1F8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B02D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BAD49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农垦运行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09E64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E81FC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BF7AB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DB27B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027C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0A59C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E9ADB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E52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D093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17877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林业和草原</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A866F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1,865.14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CFD95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1,865.14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CEDC2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AAE18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BFDF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AA2A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E4D92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296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DA44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A1049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8FFE7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1,109.56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C07CF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1,109.56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1963D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636D9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D213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8022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1DA68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F95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255C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7A7B3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C0E49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155.14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C3D36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155.14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194F6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6D16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E555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E078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5F51D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65A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F8B9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2D385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森林资源培育</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A7000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496.30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A1449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496.30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9DDD6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1F1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6BAE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8AB8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7B9A2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6CF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EF2F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0C522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森林生态效益补偿</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DD117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1EC47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8F37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EFCF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A6D3A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73E0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A06F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2EF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4BAA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2130213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7E8D3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执法与监督</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D7D3C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74.98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9C060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74.98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685D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A06CB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199B4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ADCEF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6B230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B52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9C3F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76340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其他林业和草原支出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7A032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0233A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67E89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15FDE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960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66DC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B158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C6C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5F3E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87860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E3D1F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77E83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651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D1C4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E01E3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808F0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10617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085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6FF6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7EB4E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2CE3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6891C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6740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EA5B7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2DD6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AFEC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E0399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66D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2BF4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BB169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98957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C8A16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AA601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9C7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50F5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7B8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770E5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489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5C90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CF804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86D95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C50A1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13015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36E1C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0D28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97740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E2B0B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200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D005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D099A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9E83F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778AE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8C16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0D2D6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9E5E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16298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748F4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3D7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8538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92589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D6353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7D5C8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6E79A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60DC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C8434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9110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5D726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3BA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0CA124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549F485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71A8E54">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31"/>
        <w:gridCol w:w="1878"/>
        <w:gridCol w:w="1878"/>
        <w:gridCol w:w="1738"/>
        <w:gridCol w:w="1597"/>
        <w:gridCol w:w="1597"/>
        <w:gridCol w:w="1600"/>
      </w:tblGrid>
      <w:tr w14:paraId="15845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0075E99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00C0C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5A1A24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36DD2E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194F6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D02D7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0D189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7381B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BD762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A11143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FB35AE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52F00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1695E5E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0" w:type="auto"/>
            <w:gridSpan w:val="2"/>
            <w:tcBorders>
              <w:top w:val="nil"/>
              <w:left w:val="nil"/>
              <w:bottom w:val="nil"/>
              <w:right w:val="nil"/>
              <w:tl2br w:val="nil"/>
              <w:tr2bl w:val="nil"/>
            </w:tcBorders>
            <w:shd w:val="clear" w:color="auto" w:fill="FFFFFF"/>
            <w:noWrap/>
            <w:vAlign w:val="bottom"/>
          </w:tcPr>
          <w:p w14:paraId="483D5DF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4EE5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87242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E436C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6346D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E5119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8D6C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D99E3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A9DDA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248EA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EC0BD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B39FC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C1F6F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1C0B6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F9E71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12136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2AB2C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F7078A">
            <w:pPr>
              <w:spacing w:beforeLines="0" w:afterLines="0"/>
              <w:jc w:val="center"/>
              <w:rPr>
                <w:rFonts w:hint="eastAsia" w:ascii="宋体" w:hAnsi="宋体" w:eastAsia="宋体" w:cs="宋体"/>
                <w:color w:val="000000"/>
                <w:sz w:val="22"/>
                <w:szCs w:val="22"/>
              </w:rPr>
            </w:pPr>
          </w:p>
        </w:tc>
      </w:tr>
      <w:tr w14:paraId="57284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5D55E7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07120E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F982C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6897F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07E76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7BE65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3ACE7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225279">
            <w:pPr>
              <w:spacing w:beforeLines="0" w:afterLines="0"/>
              <w:jc w:val="center"/>
              <w:rPr>
                <w:rFonts w:hint="eastAsia" w:ascii="宋体" w:hAnsi="宋体" w:eastAsia="宋体" w:cs="宋体"/>
                <w:color w:val="000000"/>
                <w:sz w:val="22"/>
                <w:szCs w:val="22"/>
              </w:rPr>
            </w:pPr>
          </w:p>
        </w:tc>
      </w:tr>
      <w:tr w14:paraId="0A59E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D410C4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96614A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A720A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E3B4B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36B118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B8E3E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A5F53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2052BF">
            <w:pPr>
              <w:spacing w:beforeLines="0" w:afterLines="0"/>
              <w:jc w:val="center"/>
              <w:rPr>
                <w:rFonts w:hint="eastAsia" w:ascii="宋体" w:hAnsi="宋体" w:eastAsia="宋体" w:cs="宋体"/>
                <w:color w:val="000000"/>
                <w:sz w:val="22"/>
                <w:szCs w:val="22"/>
              </w:rPr>
            </w:pPr>
          </w:p>
        </w:tc>
      </w:tr>
      <w:tr w14:paraId="3C3CE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3503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07996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DD344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E933D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9D2C1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00694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245B6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7734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F87A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9E35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1E04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1,276.79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A42D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826.41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4E00A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361D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2D5CB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232F3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FBA0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0174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805A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98F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690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83F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27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AB3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09E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0E3E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BB0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2884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FF6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016D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54A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CF3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64F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092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F4E1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FFAE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7D9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FE8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186F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63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EEC7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06E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2D4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DFF1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723B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474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F340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EB2D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027E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3B13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BD67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D2C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858B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44E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B290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F7C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1C21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CDC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47EF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EAC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FA6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78C9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0CB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BAD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6127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874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965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31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7BE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B1E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9D57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983B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2B2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F5CA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F6C6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F598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857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377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28F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DB14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015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0E21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C5E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0A2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C29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5A0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13B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92A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2B09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964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1E5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348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B56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141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ABF2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4709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353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741F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4ACB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3661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CF7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8EA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C7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F33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4D3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400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3392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593A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BB0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4D6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7EE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719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9FA1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FF8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1A5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B7A6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4CD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ED4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ED9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2F9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FFE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0C4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156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9A4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0568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9F9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9BEE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229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B91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80AC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986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DA2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6EC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74F8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9B9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自然生态保护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0BD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030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1A3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36F2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8DB9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07B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AF0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A2AD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AE1C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其他自然生态保护支出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7CFD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45E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DB7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06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6B5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622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A63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2627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F33D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492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1,875.40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3E8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1,184.54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F0F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690.86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75D3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3908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8B7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55D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CE8C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FAE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D128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EB4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894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662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AF1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20F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699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5704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649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农垦运行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20F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3A9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D15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B6F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353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6AA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0AF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0DAE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E9E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林业和草原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1D20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1,865.14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742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1,184.54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A4C8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680.60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8B2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41C1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757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1BF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A751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114C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770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1,109.56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C39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1,109.56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1BD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65D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4D1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A17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8EB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6B6C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BCFC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DD5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D5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740B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EEF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884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6ECA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1C3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62B8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E19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森林资源培育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5E5E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B5B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E25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CCBC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9D7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E25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963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4A85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291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森林生态效益补偿</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D73B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282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C6A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BC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927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1314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623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0AE6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D48E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执法与监督</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DFE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3F3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50A6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123B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0CD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35F0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30F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6DA0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BBE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其他林业和草原支出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BEC1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0E49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63B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2EE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C0A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0CD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620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2C79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4E97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20A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E3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DF3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12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CA21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FBC3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C17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DCC7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E55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6DC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1D0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CCB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89A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D5CB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D71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2BF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F056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50F4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F52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6E5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47B0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6132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B6B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E5C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918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9C5E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538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D39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0AE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6158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67F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593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8880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061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993A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911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C6A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28A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8C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5FBC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87A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9782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353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1524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36F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049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184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8505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E5F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807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D78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541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BCA28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7333A9D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23D3C7F">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142BB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5A36CBD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1F933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709C9A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918284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C4864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C0D3F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E54E8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225CB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384A2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903C0A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7DF85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4F803E8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0" w:type="auto"/>
            <w:gridSpan w:val="2"/>
            <w:tcBorders>
              <w:top w:val="nil"/>
              <w:left w:val="nil"/>
              <w:bottom w:val="nil"/>
              <w:right w:val="nil"/>
              <w:tl2br w:val="nil"/>
              <w:tr2bl w:val="nil"/>
            </w:tcBorders>
            <w:shd w:val="clear" w:color="auto" w:fill="FFFFFF"/>
            <w:noWrap/>
            <w:vAlign w:val="bottom"/>
          </w:tcPr>
          <w:p w14:paraId="0337261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B51B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1B864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E8DDB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342DF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73627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A3C8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E5B6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AADF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9DE6C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8C9A7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098D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A1CFF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9C7F4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568F8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A78A25A">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EBB83E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7B1323">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97E88B">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4CA44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777125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43366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C5CD1D">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FEC066">
            <w:pPr>
              <w:spacing w:beforeLines="0" w:afterLines="0"/>
              <w:jc w:val="center"/>
              <w:rPr>
                <w:rFonts w:hint="eastAsia" w:ascii="宋体" w:hAnsi="宋体" w:eastAsia="宋体" w:cs="宋体"/>
                <w:color w:val="000000"/>
                <w:sz w:val="22"/>
                <w:szCs w:val="22"/>
              </w:rPr>
            </w:pPr>
          </w:p>
        </w:tc>
      </w:tr>
      <w:tr w14:paraId="43AAA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BC97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6850D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BDD9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875C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263CD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6B1D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46E5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9EF3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8536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57E39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6BEB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FDD2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B962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BD3F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0778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30D5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9CDA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346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A767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4E9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773E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3B9A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41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104C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7288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442F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A0C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7BAB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2B1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9ED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AA91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D057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010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919B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3B82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99B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CC8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FF9C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173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D46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4AD2B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C8F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6BB3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64AD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0EE0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B9A7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A58B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3014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9A2C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D3C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89E8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F180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0AB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D22E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8846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DFE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28C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A3CC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160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828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561B2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BA8B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98E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CBE1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24C3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D2AC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2E0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5ED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BAA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FA8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33F1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1EE1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997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FC5A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717A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F51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E7E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59B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5F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B51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5D32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46AF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44B0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D0B6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22B9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9E7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208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B3A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91B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0BF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630C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476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9C8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CC09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1AE4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EC38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025D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2B5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A4C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CCC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B812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E571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BB5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3DF5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BB09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8A87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12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16D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A12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F0D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BD0E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BD9A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0DA4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DA68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9BF5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286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5A9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E43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9C5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A3D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A873D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CA92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3D8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EBAB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D597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A4F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1,875.40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E1B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1,875.40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D0F9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7EF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062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80B7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D595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523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570F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EADD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8D1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545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F26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FE2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B43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1476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8AF1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D05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0823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0D53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0450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9A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A69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4CD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DBB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3E78E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9C26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E126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DF0A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0AD5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CFB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33B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BD7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4A43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C37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8DC6C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B59C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E316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E274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BB50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E12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B34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0318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64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4CB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95D0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8A83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B76B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1038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C674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F0B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6CA6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E27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26C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1CB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11DF3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E0A6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6FFE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009B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E467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8CC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A9A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B20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F86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51B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4545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FAC6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3F7A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0488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98FB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202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370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B7A4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24E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A01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A212D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2F1A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9DF6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1CFF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5D73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167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373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BF3A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2C7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E4B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54DE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A41C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C8F6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C77D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4FCF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5635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5A4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666D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FC7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8BC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0EFD6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CF83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28D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F9DA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7659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9E9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628B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493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9BD0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5FC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C0560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7797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F27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1D52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FE96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BF8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381C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42D8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66BA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FD6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D53F45">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63EC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92F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6932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7E05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6A5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821C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3B4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755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178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68643D">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788F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CA1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8DB2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1A54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612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7D1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EBB0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2B83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CF6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98836C">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1F88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57C2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6102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F4A3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18B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F8BE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BDF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438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CAD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74A03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ECBC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ECD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60F4D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4E89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827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62F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211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D64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23C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F802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9AA2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92E3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1B15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9B47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C8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30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E50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03C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D93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14A3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959C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53D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48B3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3AE0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565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7B0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33A1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1A5C5">
            <w:pPr>
              <w:spacing w:beforeLines="0" w:afterLines="0"/>
              <w:jc w:val="right"/>
              <w:rPr>
                <w:rFonts w:hint="eastAsia" w:ascii="宋体" w:hAnsi="宋体" w:eastAsia="宋体" w:cs="宋体"/>
                <w:color w:val="000000"/>
                <w:sz w:val="22"/>
                <w:szCs w:val="22"/>
              </w:rPr>
            </w:pPr>
          </w:p>
        </w:tc>
      </w:tr>
      <w:tr w14:paraId="7AD4F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0AEB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8A6B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8D60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5838C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79F8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F9D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0BF7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F29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B2ACE">
            <w:pPr>
              <w:spacing w:beforeLines="0" w:afterLines="0"/>
              <w:jc w:val="right"/>
              <w:rPr>
                <w:rFonts w:hint="eastAsia" w:ascii="宋体" w:hAnsi="宋体" w:eastAsia="宋体" w:cs="宋体"/>
                <w:color w:val="000000"/>
                <w:sz w:val="22"/>
                <w:szCs w:val="22"/>
              </w:rPr>
            </w:pPr>
          </w:p>
        </w:tc>
      </w:tr>
      <w:tr w14:paraId="602EF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38C0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45EE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256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C81D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4912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C687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E615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F6C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95D76">
            <w:pPr>
              <w:spacing w:beforeLines="0" w:afterLines="0"/>
              <w:jc w:val="right"/>
              <w:rPr>
                <w:rFonts w:hint="eastAsia" w:ascii="宋体" w:hAnsi="宋体" w:eastAsia="宋体" w:cs="宋体"/>
                <w:color w:val="000000"/>
                <w:sz w:val="22"/>
                <w:szCs w:val="22"/>
              </w:rPr>
            </w:pPr>
          </w:p>
        </w:tc>
      </w:tr>
      <w:tr w14:paraId="1A241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3D0D6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4B26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232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F8CE7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08FB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35D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D20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94F3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B2D5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E60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616FF3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56C7617A">
            <w:pPr>
              <w:spacing w:beforeLines="0" w:afterLines="0"/>
              <w:jc w:val="left"/>
              <w:rPr>
                <w:rFonts w:hint="eastAsia" w:ascii="宋体" w:hAnsi="宋体" w:eastAsia="宋体" w:cs="宋体"/>
                <w:color w:val="000000"/>
                <w:sz w:val="20"/>
                <w:szCs w:val="20"/>
              </w:rPr>
            </w:pPr>
          </w:p>
        </w:tc>
      </w:tr>
    </w:tbl>
    <w:p w14:paraId="288CF30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7A83F2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6"/>
        <w:gridCol w:w="526"/>
        <w:gridCol w:w="526"/>
        <w:gridCol w:w="7648"/>
        <w:gridCol w:w="2314"/>
        <w:gridCol w:w="2314"/>
        <w:gridCol w:w="2315"/>
      </w:tblGrid>
      <w:tr w14:paraId="29FCC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B2791A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A385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C90708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F543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1FD32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652C3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291CCA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254868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1B361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21BD4E8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0" w:type="auto"/>
            <w:gridSpan w:val="2"/>
            <w:tcBorders>
              <w:top w:val="nil"/>
              <w:left w:val="nil"/>
              <w:bottom w:val="nil"/>
              <w:right w:val="nil"/>
              <w:tl2br w:val="nil"/>
              <w:tr2bl w:val="nil"/>
            </w:tcBorders>
            <w:shd w:val="clear" w:color="auto" w:fill="FFFFFF"/>
            <w:noWrap/>
            <w:vAlign w:val="bottom"/>
          </w:tcPr>
          <w:p w14:paraId="3FE585B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CB88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1BEA0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F71E9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60878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EB400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D3FD8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75133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5FF99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F944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75DF0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11FCDF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DFD640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54362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AB599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616B4E">
            <w:pPr>
              <w:spacing w:beforeLines="0" w:afterLines="0"/>
              <w:jc w:val="center"/>
              <w:rPr>
                <w:rFonts w:hint="eastAsia" w:ascii="宋体" w:hAnsi="宋体" w:eastAsia="宋体" w:cs="宋体"/>
                <w:color w:val="000000"/>
                <w:sz w:val="22"/>
                <w:szCs w:val="22"/>
              </w:rPr>
            </w:pPr>
          </w:p>
        </w:tc>
      </w:tr>
      <w:tr w14:paraId="6F62C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0543CA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93F704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D51F4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207938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DF3D2E">
            <w:pPr>
              <w:spacing w:beforeLines="0" w:afterLines="0"/>
              <w:jc w:val="center"/>
              <w:rPr>
                <w:rFonts w:hint="eastAsia" w:ascii="宋体" w:hAnsi="宋体" w:eastAsia="宋体" w:cs="宋体"/>
                <w:color w:val="000000"/>
                <w:sz w:val="22"/>
                <w:szCs w:val="22"/>
              </w:rPr>
            </w:pPr>
          </w:p>
        </w:tc>
      </w:tr>
      <w:tr w14:paraId="72EAF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A0DC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848A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FFC2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FE96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2AEA8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A4F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CF97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2,103.20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9156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1,276.79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31310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826.41</w:t>
            </w:r>
          </w:p>
        </w:tc>
      </w:tr>
      <w:tr w14:paraId="5FE28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DCF2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9D74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CC06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EDB2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3B5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5.45</w:t>
            </w:r>
          </w:p>
        </w:tc>
      </w:tr>
      <w:tr w14:paraId="72D12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FA99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4FD1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7FB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2A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91D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79C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60AB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46A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0CF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C0C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2343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27E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64C7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D07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138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9757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2DD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3.54</w:t>
            </w:r>
          </w:p>
        </w:tc>
      </w:tr>
      <w:tr w14:paraId="09AE5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5441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DE9F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6AC1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CF5A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A2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3.54</w:t>
            </w:r>
          </w:p>
        </w:tc>
      </w:tr>
      <w:tr w14:paraId="7710A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5CDB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D544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58D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5E3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D9F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r>
      <w:tr w14:paraId="24A5F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614E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5501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479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0DE2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1B93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r>
      <w:tr w14:paraId="72F43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B9DD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B80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F28F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3809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AC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w:t>
            </w:r>
          </w:p>
        </w:tc>
      </w:tr>
      <w:tr w14:paraId="35DB1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ABA1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B96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C98C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4904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955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w:t>
            </w:r>
          </w:p>
        </w:tc>
      </w:tr>
      <w:tr w14:paraId="0DBC6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2D68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F9F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C1A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489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F06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13B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4A34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AF4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F1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163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9AF3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4DC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E462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7C52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5FB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D10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D3DD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D77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7D33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445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5B4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926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B9B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r>
      <w:tr w14:paraId="069E1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04D7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FB23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自然生态保护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78B0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BEC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CC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r>
      <w:tr w14:paraId="68AA8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F395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5C0D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其他自然生态保护支出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6F0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A9B3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6C8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86.00</w:t>
            </w:r>
          </w:p>
        </w:tc>
      </w:tr>
      <w:tr w14:paraId="22BA2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31DB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8AB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58D4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1,875.40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2FD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1,184.54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A77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690.86</w:t>
            </w:r>
          </w:p>
        </w:tc>
      </w:tr>
      <w:tr w14:paraId="38A02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ADDE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3138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DA96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13D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075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r>
      <w:tr w14:paraId="714D6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6A6C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6BF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农垦运行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70F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49C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C28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10.26</w:t>
            </w:r>
          </w:p>
        </w:tc>
      </w:tr>
      <w:tr w14:paraId="646E4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F04A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504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林业和草原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4577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1,865.14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DE16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1,184.54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2953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680.60</w:t>
            </w:r>
          </w:p>
        </w:tc>
      </w:tr>
      <w:tr w14:paraId="6F0C1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7F78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8106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F06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1,109.56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ED3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1,109.56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72D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A7F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3AD2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F42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CAA8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6B3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980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155.14</w:t>
            </w:r>
          </w:p>
        </w:tc>
      </w:tr>
      <w:tr w14:paraId="65D5E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79C8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4A3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森林资源培育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DC9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496.30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D49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06B4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496.30</w:t>
            </w:r>
          </w:p>
        </w:tc>
      </w:tr>
      <w:tr w14:paraId="5A705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CCAB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3A5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森林生态效益补偿</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734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26D2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14CE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14.17</w:t>
            </w:r>
          </w:p>
        </w:tc>
      </w:tr>
      <w:tr w14:paraId="400FC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66DF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372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执法与监督</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40E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F66C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22F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BE0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1E74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2130299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13A8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其他林业和草原支出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293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EF2A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B94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r>
      <w:tr w14:paraId="5AE3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275C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A5A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789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CDD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1516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r>
      <w:tr w14:paraId="781DF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3FB1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293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955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C33C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293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r>
      <w:tr w14:paraId="3A9E7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CA8C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545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0FF6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0F9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C866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20.00</w:t>
            </w:r>
          </w:p>
        </w:tc>
      </w:tr>
      <w:tr w14:paraId="4B314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5054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444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B6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923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A2BC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24.11</w:t>
            </w:r>
          </w:p>
        </w:tc>
      </w:tr>
      <w:tr w14:paraId="4E2F9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E35C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A55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9A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037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13D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24.11</w:t>
            </w:r>
          </w:p>
        </w:tc>
      </w:tr>
      <w:tr w14:paraId="303F8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0B33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FEB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0BA1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F59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6229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24.11</w:t>
            </w:r>
          </w:p>
        </w:tc>
      </w:tr>
      <w:tr w14:paraId="04A77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3FCA59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56B712E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C7143AF">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3C4530BE">
        <w:tblPrEx>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32E75E4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5EBE4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43E598F2">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401966C6">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6445D5DD">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28A22923">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12AC86A5">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141E5281">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EF92FDB">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19F07F48">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358DA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1F643F8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1695" w:type="pct"/>
            <w:gridSpan w:val="2"/>
            <w:tcBorders>
              <w:top w:val="nil"/>
              <w:left w:val="nil"/>
              <w:bottom w:val="nil"/>
              <w:right w:val="nil"/>
              <w:tl2br w:val="nil"/>
              <w:tr2bl w:val="nil"/>
            </w:tcBorders>
            <w:shd w:val="clear" w:color="auto" w:fill="FFFFFF"/>
            <w:noWrap/>
            <w:vAlign w:val="bottom"/>
          </w:tcPr>
          <w:p w14:paraId="12135087">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2A169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1BFA5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B6A1B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45AAF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876B5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824C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A818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9B561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6125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C745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ECA9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7BF7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603E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71F0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CE6B936">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C1FD5B">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352FA9">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BB1A6A">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24EBE71">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8A055B">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2DF8053">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19F7C0">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1503E9">
            <w:pPr>
              <w:spacing w:beforeLines="0" w:afterLines="0"/>
              <w:jc w:val="center"/>
              <w:rPr>
                <w:rFonts w:hint="eastAsia" w:ascii="宋体" w:hAnsi="宋体" w:eastAsia="宋体" w:cs="宋体"/>
                <w:color w:val="000000"/>
                <w:sz w:val="22"/>
                <w:szCs w:val="22"/>
              </w:rPr>
            </w:pPr>
          </w:p>
        </w:tc>
      </w:tr>
      <w:tr w14:paraId="2A399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8A98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FF2B2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0CBC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1,180.04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80E9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8EBE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76396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476B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849F6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AE958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6E1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72EE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77D2A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55EA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726.59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BA60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4EE9B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17E48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91AE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6069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12B7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736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1AF7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05E83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B166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768E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85941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07C26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691C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ABA0E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5D95D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03883B">
        <w:tblPrEx>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87D5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9D12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7DAF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ADBA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B528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7E5B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7BC2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610CA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D4D2B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6.00</w:t>
            </w:r>
          </w:p>
        </w:tc>
      </w:tr>
      <w:tr w14:paraId="3E6FA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261A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C9D30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CB629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5621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3FB45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B4D1F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1891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FFF52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D8601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0E7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8413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5A36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C6AB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3A5E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4A9C9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DCC24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5E4D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D81EF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9CB03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6.00</w:t>
            </w:r>
          </w:p>
        </w:tc>
      </w:tr>
      <w:tr w14:paraId="73EB8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DC5C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DEF8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061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90.83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DD60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D3FB1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3739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E0DB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B3D1C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2CD42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413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DFE0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3B2BC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861B5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9F343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D2C11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471B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2C93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8974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88767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375CD2">
        <w:tblPrEx>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4A5F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A6E6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13B7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6271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DF328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00A9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EAA2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B88F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36883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A64EC1">
        <w:tblPrEx>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5FC7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5F7E0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BCB32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B1CD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6AE5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DCCC5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9C50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F5445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5C94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53E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0C41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234D9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E0BD2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1FC4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5C95D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9D7C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9B7F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0793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5CAD2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6B9C20">
        <w:tblPrEx>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E1AE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CCB5C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821F0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9154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8BE3E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C42CA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F70D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7953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C1528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6F0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B022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30193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521DC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E1EF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34D4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85C1A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AD3B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F75B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C5B30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382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AA6B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B780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6C1E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6D54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D47A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D30F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7B8B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4B68D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05E6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66CA12">
        <w:tblPrEx>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ACEE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D2261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B36DA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9510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9B9F7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BD75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7A44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DA0DE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22870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178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9342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C01F8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78A1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E7A6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A37FB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D9C89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127F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5D86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808E5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D2A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7EB1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4887C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4DA2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BA79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10819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B439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95CC7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7AB2D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F3AA0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E60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7922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BFC9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9AA23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4E58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F3D8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35273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2B01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FE47E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577B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499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27FE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7310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F580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DD04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08E1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EACC1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86C0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2F69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F946E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F93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EB6E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CC5F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FCD15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BB0E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9E4B9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B1EF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F86A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DA419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0EEE7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5CBC59">
        <w:tblPrEx>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CC65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CF6C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AF8B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2458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D2D87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4142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A78D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557BC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DBC77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AE1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F053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A4868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DBDCC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A393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DDA69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DD45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4A92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DD49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474BC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F46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B33D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3E3DA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4D26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EE6C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0D950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E1FDD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3C99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3E93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AAC1C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F3F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A173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7C6C7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A3C9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30F7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DDE0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56831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17E6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CD54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A026E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4E1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D9EE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4C28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3EB1A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1EC3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C0D2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A7DD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7DF1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F68B6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12993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C01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9817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C2A36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BB5C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5726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1E506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8E878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36A8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E510C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5DB9D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7DE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395E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2FA46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DC4E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8E11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CCA22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42DC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8EED2A">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C6F30EF">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DEB8F61">
            <w:pPr>
              <w:spacing w:beforeLines="0" w:afterLines="0"/>
              <w:jc w:val="right"/>
              <w:rPr>
                <w:rFonts w:hint="eastAsia" w:ascii="宋体" w:hAnsi="宋体" w:eastAsia="宋体" w:cs="宋体"/>
                <w:color w:val="000000"/>
                <w:sz w:val="22"/>
                <w:szCs w:val="22"/>
              </w:rPr>
            </w:pPr>
          </w:p>
        </w:tc>
      </w:tr>
      <w:tr w14:paraId="2A343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2B1C62">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FDED841">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1221C0">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E43B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C63A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16EA2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D12207">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EE327C">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77580DF">
            <w:pPr>
              <w:spacing w:beforeLines="0" w:afterLines="0"/>
              <w:jc w:val="right"/>
              <w:rPr>
                <w:rFonts w:hint="eastAsia" w:ascii="宋体" w:hAnsi="宋体" w:eastAsia="宋体" w:cs="宋体"/>
                <w:color w:val="000000"/>
                <w:sz w:val="22"/>
                <w:szCs w:val="22"/>
              </w:rPr>
            </w:pPr>
          </w:p>
        </w:tc>
      </w:tr>
      <w:tr w14:paraId="1FA1F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0488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1958E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1,213.91</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326A06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25517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62.88</w:t>
            </w:r>
          </w:p>
        </w:tc>
      </w:tr>
      <w:tr w14:paraId="12451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5F3E91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681570E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7F86FC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F720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062B67E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64F68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08D113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F1806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E4DA7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8C25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556DB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23A5D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DBD51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8C4C9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73764B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58259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733F2FA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0" w:type="auto"/>
            <w:gridSpan w:val="2"/>
            <w:tcBorders>
              <w:top w:val="nil"/>
              <w:left w:val="nil"/>
              <w:bottom w:val="nil"/>
              <w:right w:val="nil"/>
              <w:tl2br w:val="nil"/>
              <w:tr2bl w:val="nil"/>
            </w:tcBorders>
            <w:shd w:val="clear" w:color="auto" w:fill="FFFFFF"/>
            <w:noWrap/>
            <w:vAlign w:val="bottom"/>
          </w:tcPr>
          <w:p w14:paraId="5C57A97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E16C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D86FB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3A832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EB8C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D7847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5EE51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61A51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93DE9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FA52F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0FA98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FB477F">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98B92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F006A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3BA4E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3818F8">
            <w:pPr>
              <w:spacing w:beforeLines="0" w:afterLines="0"/>
              <w:jc w:val="center"/>
              <w:rPr>
                <w:rFonts w:hint="eastAsia" w:ascii="宋体" w:hAnsi="宋体" w:eastAsia="宋体" w:cs="宋体"/>
                <w:color w:val="000000"/>
                <w:sz w:val="22"/>
                <w:szCs w:val="22"/>
              </w:rPr>
            </w:pPr>
          </w:p>
        </w:tc>
      </w:tr>
      <w:tr w14:paraId="3C0BD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159AA1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4B3B53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A6A6B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E31FC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8D448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67B42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9EBDD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34B769">
            <w:pPr>
              <w:spacing w:beforeLines="0" w:afterLines="0"/>
              <w:jc w:val="center"/>
              <w:rPr>
                <w:rFonts w:hint="eastAsia" w:ascii="宋体" w:hAnsi="宋体" w:eastAsia="宋体" w:cs="宋体"/>
                <w:color w:val="000000"/>
                <w:sz w:val="22"/>
                <w:szCs w:val="22"/>
              </w:rPr>
            </w:pPr>
          </w:p>
        </w:tc>
      </w:tr>
      <w:tr w14:paraId="199DF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770D0C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E4D20B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4BC0A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E0662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E81BB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C847A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74970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51FA96">
            <w:pPr>
              <w:spacing w:beforeLines="0" w:afterLines="0"/>
              <w:jc w:val="center"/>
              <w:rPr>
                <w:rFonts w:hint="eastAsia" w:ascii="宋体" w:hAnsi="宋体" w:eastAsia="宋体" w:cs="宋体"/>
                <w:color w:val="000000"/>
                <w:sz w:val="22"/>
                <w:szCs w:val="22"/>
              </w:rPr>
            </w:pPr>
          </w:p>
        </w:tc>
      </w:tr>
      <w:tr w14:paraId="37892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AB46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09CA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6B4B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C74F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1978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205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EB92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4B4E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1116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0194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90B0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20C43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8C856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50D9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E846C2">
            <w:pPr>
              <w:spacing w:beforeLines="0" w:afterLines="0"/>
              <w:jc w:val="right"/>
              <w:rPr>
                <w:rFonts w:hint="eastAsia" w:ascii="宋体" w:hAnsi="宋体" w:eastAsia="宋体" w:cs="宋体"/>
                <w:b/>
                <w:color w:val="000000"/>
                <w:sz w:val="22"/>
                <w:szCs w:val="22"/>
              </w:rPr>
            </w:pPr>
          </w:p>
        </w:tc>
      </w:tr>
      <w:tr w14:paraId="0026C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6991A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FEC7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06F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C21D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C968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A9F3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DC2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685AF">
            <w:pPr>
              <w:spacing w:beforeLines="0" w:afterLines="0"/>
              <w:jc w:val="right"/>
              <w:rPr>
                <w:rFonts w:hint="eastAsia" w:ascii="宋体" w:hAnsi="宋体" w:eastAsia="宋体" w:cs="宋体"/>
                <w:color w:val="000000"/>
                <w:sz w:val="22"/>
                <w:szCs w:val="22"/>
              </w:rPr>
            </w:pPr>
          </w:p>
        </w:tc>
      </w:tr>
      <w:tr w14:paraId="27E61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32AF5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ABD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149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8B4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816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07B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318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69ECE">
            <w:pPr>
              <w:spacing w:beforeLines="0" w:afterLines="0"/>
              <w:jc w:val="right"/>
              <w:rPr>
                <w:rFonts w:hint="eastAsia" w:ascii="宋体" w:hAnsi="宋体" w:eastAsia="宋体" w:cs="宋体"/>
                <w:color w:val="000000"/>
                <w:sz w:val="22"/>
                <w:szCs w:val="22"/>
              </w:rPr>
            </w:pPr>
          </w:p>
        </w:tc>
      </w:tr>
      <w:tr w14:paraId="50010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A52D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3BEED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E139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06A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399B4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FC1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2926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26A2A">
            <w:pPr>
              <w:spacing w:beforeLines="0" w:afterLines="0"/>
              <w:jc w:val="right"/>
              <w:rPr>
                <w:rFonts w:hint="eastAsia" w:ascii="宋体" w:hAnsi="宋体" w:eastAsia="宋体" w:cs="宋体"/>
                <w:color w:val="000000"/>
                <w:sz w:val="22"/>
                <w:szCs w:val="22"/>
              </w:rPr>
            </w:pPr>
          </w:p>
        </w:tc>
      </w:tr>
      <w:tr w14:paraId="497F7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9BBC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6CCAB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E8A91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276E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AEC9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2ACC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467E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4E901">
            <w:pPr>
              <w:spacing w:beforeLines="0" w:afterLines="0"/>
              <w:jc w:val="right"/>
              <w:rPr>
                <w:rFonts w:hint="eastAsia" w:ascii="宋体" w:hAnsi="宋体" w:eastAsia="宋体" w:cs="宋体"/>
                <w:color w:val="000000"/>
                <w:sz w:val="22"/>
                <w:szCs w:val="22"/>
              </w:rPr>
            </w:pPr>
          </w:p>
        </w:tc>
      </w:tr>
      <w:tr w14:paraId="70DD4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4657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C946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FB9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DDA3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8FEC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39B3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757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C1677">
            <w:pPr>
              <w:spacing w:beforeLines="0" w:afterLines="0"/>
              <w:jc w:val="right"/>
              <w:rPr>
                <w:rFonts w:hint="eastAsia" w:ascii="宋体" w:hAnsi="宋体" w:eastAsia="宋体" w:cs="宋体"/>
                <w:color w:val="000000"/>
                <w:sz w:val="22"/>
                <w:szCs w:val="22"/>
              </w:rPr>
            </w:pPr>
          </w:p>
        </w:tc>
      </w:tr>
      <w:tr w14:paraId="7C2FC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2191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060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5486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D9D6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9FBA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461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213B4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5A6CEC">
            <w:pPr>
              <w:spacing w:beforeLines="0" w:afterLines="0"/>
              <w:jc w:val="right"/>
              <w:rPr>
                <w:rFonts w:hint="eastAsia" w:ascii="宋体" w:hAnsi="宋体" w:eastAsia="宋体" w:cs="宋体"/>
                <w:color w:val="000000"/>
                <w:sz w:val="22"/>
                <w:szCs w:val="22"/>
              </w:rPr>
            </w:pPr>
          </w:p>
        </w:tc>
      </w:tr>
      <w:tr w14:paraId="1A0AF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EED83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211E6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14F275B5">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18C775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FAE1C7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4B62B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6BD3222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08B54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32EB7B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D481E7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76DB1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471DF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D298B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BA0DB9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596D4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A10486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0" w:type="auto"/>
            <w:gridSpan w:val="2"/>
            <w:tcBorders>
              <w:top w:val="nil"/>
              <w:left w:val="nil"/>
              <w:bottom w:val="nil"/>
              <w:right w:val="nil"/>
              <w:tl2br w:val="nil"/>
              <w:tr2bl w:val="nil"/>
            </w:tcBorders>
            <w:shd w:val="clear" w:color="auto" w:fill="FFFFFF"/>
            <w:noWrap/>
            <w:vAlign w:val="bottom"/>
          </w:tcPr>
          <w:p w14:paraId="69A9A7C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A63D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45C03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25F32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2CB7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10CD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D747D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73DF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D9108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DF8C4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189E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D5055E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B7270C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F245B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E7456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FB3AD8">
            <w:pPr>
              <w:spacing w:beforeLines="0" w:afterLines="0"/>
              <w:jc w:val="center"/>
              <w:rPr>
                <w:rFonts w:hint="eastAsia" w:ascii="宋体" w:hAnsi="宋体" w:eastAsia="宋体" w:cs="宋体"/>
                <w:color w:val="000000"/>
                <w:sz w:val="22"/>
                <w:szCs w:val="22"/>
              </w:rPr>
            </w:pPr>
          </w:p>
        </w:tc>
      </w:tr>
      <w:tr w14:paraId="45AB1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37897C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BAD3BA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EAED4A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A84B9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8D9134">
            <w:pPr>
              <w:spacing w:beforeLines="0" w:afterLines="0"/>
              <w:jc w:val="center"/>
              <w:rPr>
                <w:rFonts w:hint="eastAsia" w:ascii="宋体" w:hAnsi="宋体" w:eastAsia="宋体" w:cs="宋体"/>
                <w:color w:val="000000"/>
                <w:sz w:val="22"/>
                <w:szCs w:val="22"/>
              </w:rPr>
            </w:pPr>
          </w:p>
        </w:tc>
      </w:tr>
      <w:tr w14:paraId="35EE1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7B7E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9FC2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A5DA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E0CF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080B8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6E3E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E2CA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F760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36BC1B">
            <w:pPr>
              <w:spacing w:beforeLines="0" w:afterLines="0"/>
              <w:jc w:val="right"/>
              <w:rPr>
                <w:rFonts w:hint="eastAsia" w:ascii="宋体" w:hAnsi="宋体" w:eastAsia="宋体" w:cs="宋体"/>
                <w:b/>
                <w:color w:val="000000"/>
                <w:sz w:val="22"/>
                <w:szCs w:val="22"/>
              </w:rPr>
            </w:pPr>
          </w:p>
        </w:tc>
      </w:tr>
      <w:tr w14:paraId="75768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40B32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A4D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804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D58A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06C03">
            <w:pPr>
              <w:spacing w:beforeLines="0" w:afterLines="0"/>
              <w:jc w:val="right"/>
              <w:rPr>
                <w:rFonts w:hint="eastAsia" w:ascii="宋体" w:hAnsi="宋体" w:eastAsia="宋体" w:cs="宋体"/>
                <w:color w:val="000000"/>
                <w:sz w:val="22"/>
                <w:szCs w:val="22"/>
              </w:rPr>
            </w:pPr>
          </w:p>
        </w:tc>
      </w:tr>
      <w:tr w14:paraId="288FD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E0B3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C4DC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12EB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F3E3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323A4">
            <w:pPr>
              <w:spacing w:beforeLines="0" w:afterLines="0"/>
              <w:jc w:val="right"/>
              <w:rPr>
                <w:rFonts w:hint="eastAsia" w:ascii="宋体" w:hAnsi="宋体" w:eastAsia="宋体" w:cs="宋体"/>
                <w:color w:val="000000"/>
                <w:sz w:val="22"/>
                <w:szCs w:val="22"/>
              </w:rPr>
            </w:pPr>
          </w:p>
        </w:tc>
      </w:tr>
      <w:tr w14:paraId="23D53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4DAB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CA0F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2BFC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1E3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7FD0F">
            <w:pPr>
              <w:spacing w:beforeLines="0" w:afterLines="0"/>
              <w:jc w:val="right"/>
              <w:rPr>
                <w:rFonts w:hint="eastAsia" w:ascii="宋体" w:hAnsi="宋体" w:eastAsia="宋体" w:cs="宋体"/>
                <w:color w:val="000000"/>
                <w:sz w:val="22"/>
                <w:szCs w:val="22"/>
              </w:rPr>
            </w:pPr>
          </w:p>
        </w:tc>
      </w:tr>
      <w:tr w14:paraId="3DF84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6CE36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4562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756D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861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987FD">
            <w:pPr>
              <w:spacing w:beforeLines="0" w:afterLines="0"/>
              <w:jc w:val="right"/>
              <w:rPr>
                <w:rFonts w:hint="eastAsia" w:ascii="宋体" w:hAnsi="宋体" w:eastAsia="宋体" w:cs="宋体"/>
                <w:color w:val="000000"/>
                <w:sz w:val="22"/>
                <w:szCs w:val="22"/>
              </w:rPr>
            </w:pPr>
          </w:p>
        </w:tc>
      </w:tr>
      <w:tr w14:paraId="197B1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B33ED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D0C9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286C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729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C2D105">
            <w:pPr>
              <w:spacing w:beforeLines="0" w:afterLines="0"/>
              <w:jc w:val="right"/>
              <w:rPr>
                <w:rFonts w:hint="eastAsia" w:ascii="宋体" w:hAnsi="宋体" w:eastAsia="宋体" w:cs="宋体"/>
                <w:color w:val="000000"/>
                <w:sz w:val="22"/>
                <w:szCs w:val="22"/>
              </w:rPr>
            </w:pPr>
          </w:p>
        </w:tc>
      </w:tr>
      <w:tr w14:paraId="65877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CDFC8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65FB0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D204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7AC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87BA30">
            <w:pPr>
              <w:spacing w:beforeLines="0" w:afterLines="0"/>
              <w:jc w:val="right"/>
              <w:rPr>
                <w:rFonts w:hint="eastAsia" w:ascii="宋体" w:hAnsi="宋体" w:eastAsia="宋体" w:cs="宋体"/>
                <w:color w:val="000000"/>
                <w:sz w:val="22"/>
                <w:szCs w:val="22"/>
              </w:rPr>
            </w:pPr>
          </w:p>
        </w:tc>
      </w:tr>
      <w:tr w14:paraId="473BC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45CFB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3ECAF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469E75A0">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F7AE45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1BCA1BF">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08CDC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3444EC71">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562BC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dxa"/>
          <w:trHeight w:val="264" w:hRule="atLeast"/>
        </w:trPr>
        <w:tc>
          <w:tcPr>
            <w:tcW w:w="0" w:type="auto"/>
            <w:tcBorders>
              <w:top w:val="nil"/>
              <w:left w:val="nil"/>
              <w:bottom w:val="nil"/>
              <w:right w:val="nil"/>
              <w:tl2br w:val="nil"/>
              <w:tr2bl w:val="nil"/>
            </w:tcBorders>
            <w:shd w:val="clear" w:color="auto" w:fill="FFFFFF"/>
            <w:noWrap/>
            <w:vAlign w:val="bottom"/>
          </w:tcPr>
          <w:p w14:paraId="76CA6F7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81BA02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B5F3F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B4B67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1F736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2D0C8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F77AD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02388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36FA0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D7BC6C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B07A8D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649C1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dxa"/>
          <w:trHeight w:val="264" w:hRule="atLeast"/>
        </w:trPr>
        <w:tc>
          <w:tcPr>
            <w:tcW w:w="0" w:type="auto"/>
            <w:gridSpan w:val="10"/>
            <w:tcBorders>
              <w:top w:val="nil"/>
              <w:left w:val="nil"/>
              <w:bottom w:val="nil"/>
              <w:right w:val="nil"/>
              <w:tl2br w:val="nil"/>
              <w:tr2bl w:val="nil"/>
            </w:tcBorders>
            <w:shd w:val="clear" w:color="auto" w:fill="FFFFFF"/>
            <w:noWrap/>
            <w:vAlign w:val="bottom"/>
          </w:tcPr>
          <w:p w14:paraId="76D9B9F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部门：怀化市鹤城区林业局</w:t>
            </w:r>
          </w:p>
        </w:tc>
        <w:tc>
          <w:tcPr>
            <w:tcW w:w="0" w:type="auto"/>
            <w:gridSpan w:val="2"/>
            <w:tcBorders>
              <w:top w:val="nil"/>
              <w:left w:val="nil"/>
              <w:bottom w:val="nil"/>
              <w:right w:val="nil"/>
              <w:tl2br w:val="nil"/>
              <w:tr2bl w:val="nil"/>
            </w:tcBorders>
            <w:shd w:val="clear" w:color="auto" w:fill="FFFFFF"/>
            <w:noWrap/>
            <w:vAlign w:val="bottom"/>
          </w:tcPr>
          <w:p w14:paraId="3426664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8621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dxa"/>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3C38B3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E570F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D220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dxa"/>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F6172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83C9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5D24C9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A9FD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6680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7C071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3C4C8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C742B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3B70A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dxa"/>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A489FB7">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0B2EC5">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424F9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62BD8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37150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120007">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50D91BB">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2CAEBE">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E826D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7C260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16B47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B4C934">
            <w:pPr>
              <w:spacing w:beforeLines="0" w:afterLines="0"/>
              <w:jc w:val="center"/>
              <w:rPr>
                <w:rFonts w:hint="eastAsia" w:ascii="宋体" w:hAnsi="宋体" w:eastAsia="宋体" w:cs="宋体"/>
                <w:color w:val="000000"/>
                <w:sz w:val="22"/>
                <w:szCs w:val="22"/>
              </w:rPr>
            </w:pPr>
          </w:p>
        </w:tc>
      </w:tr>
      <w:tr w14:paraId="04A4F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dxa"/>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AAF01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C17EE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9A3F6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4CBD2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86BDA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E0F27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3CA2B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7AA14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EF4DD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4FDEC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FD859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CE47C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33036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dxa"/>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43A0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80AF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E1B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A63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401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E787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EAC5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462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15F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4F86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8DB8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38F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3.16</w:t>
            </w:r>
          </w:p>
        </w:tc>
      </w:tr>
      <w:tr w14:paraId="48FED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33CAD6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42963AD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BB54D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CE702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390903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2103.20</w:t>
      </w:r>
      <w:r>
        <w:rPr>
          <w:rFonts w:ascii="宋体" w:hAnsi="宋体" w:eastAsia="宋体" w:cs="宋体"/>
          <w:color w:val="000000"/>
          <w:sz w:val="28"/>
        </w:rPr>
        <w:t>万元。与上年相比，减少756.32万元，减少26.45%，主要是因为人员经费及项目资金减少。</w:t>
      </w:r>
    </w:p>
    <w:p w14:paraId="5FBDE7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2103.20</w:t>
      </w:r>
      <w:r>
        <w:rPr>
          <w:rFonts w:ascii="宋体" w:hAnsi="宋体" w:eastAsia="宋体" w:cs="宋体"/>
          <w:color w:val="000000"/>
          <w:sz w:val="28"/>
        </w:rPr>
        <w:t>万元。与上年相比，</w:t>
      </w:r>
      <w:r>
        <w:rPr>
          <w:rFonts w:ascii="宋体" w:hAnsi="宋体" w:eastAsia="宋体" w:cs="宋体"/>
          <w:sz w:val="28"/>
        </w:rPr>
        <w:t>减少756.32万元</w:t>
      </w:r>
      <w:r>
        <w:rPr>
          <w:rFonts w:ascii="宋体" w:hAnsi="宋体" w:eastAsia="宋体" w:cs="宋体"/>
          <w:color w:val="000000"/>
          <w:sz w:val="28"/>
        </w:rPr>
        <w:t>，</w:t>
      </w:r>
      <w:r>
        <w:rPr>
          <w:rFonts w:ascii="宋体" w:hAnsi="宋体" w:eastAsia="宋体" w:cs="宋体"/>
          <w:sz w:val="28"/>
        </w:rPr>
        <w:t>减少26.45%</w:t>
      </w:r>
      <w:r>
        <w:rPr>
          <w:rFonts w:ascii="宋体" w:hAnsi="宋体" w:eastAsia="宋体" w:cs="宋体"/>
          <w:color w:val="000000"/>
          <w:sz w:val="28"/>
        </w:rPr>
        <w:t>，主要是因为人员经费及项目资金减少。</w:t>
      </w:r>
    </w:p>
    <w:p w14:paraId="5F121F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780439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2022年度本年收入合计2103.20万元，其中：财政拨款收入2103.20万元，占100.00%；上级补助收入0万元，占0%；事业收入0万元，占0%；经营收入0万元，占0%；附属单位上缴收入0万元，占0%；其他收入0万元，占0%。</w:t>
      </w:r>
    </w:p>
    <w:p w14:paraId="29D7D8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CFBC4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2022年度本年支出合计2103.20万元，其中：基本支出1276.79万元，占60.71%；项目支出826.41万元，占39.29%；上缴上级支出0万元，占0%；经营支出0万元，占0%；对附属单位补助支出0万元，占0%。</w:t>
      </w:r>
    </w:p>
    <w:p w14:paraId="6719B3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4AD76A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2022年度财政拨款收入总计2103.20万元，与上年相比，减少756.32万元，减少26.45%，主要是因为人员经费及项目资金减少。</w:t>
      </w:r>
    </w:p>
    <w:p w14:paraId="06947D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2022年度财政拨款支出总计2103.20万元，与上年相比，减少756.32万元，减少26.45%，主要是因为项目减少。</w:t>
      </w:r>
    </w:p>
    <w:p w14:paraId="67CBCB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3E1522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2174BC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2022年度财政拨款支出2103.20万元，占本年支出合计的100.00%，与上年相比，财政拨款支出减少756.32万元，减少26.45%，主要是因为人员经费及项目资金增加。</w:t>
      </w:r>
    </w:p>
    <w:p w14:paraId="6C3237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3FFECD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2103.20万元，主要用于以下方面：社会保障和就业支出（类）50.18万元，占2.39%；卫生健康支出（类）17.81万元，占0.85%；节能环保支出（类）86万元，占4.09%；农林水支出（类）1875.4万元，占89.17%；交通运输支出（类）20万元，占0.95%；</w:t>
      </w:r>
    </w:p>
    <w:p w14:paraId="76DBC5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37E970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2022年度财政拨款支出年初预算数为3069.69万元，支出决算数为</w:t>
      </w:r>
      <w:r>
        <w:rPr>
          <w:rFonts w:ascii="宋体" w:hAnsi="宋体" w:eastAsia="宋体" w:cs="宋体"/>
          <w:sz w:val="28"/>
        </w:rPr>
        <w:t>2103.20</w:t>
      </w:r>
      <w:r>
        <w:rPr>
          <w:rFonts w:ascii="宋体" w:hAnsi="宋体" w:eastAsia="宋体" w:cs="宋体"/>
          <w:color w:val="000000"/>
          <w:sz w:val="28"/>
        </w:rPr>
        <w:t>万元，完成年初预算的68.52%，其中：</w:t>
      </w:r>
    </w:p>
    <w:p w14:paraId="63978B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6DE22E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年初预算为0万元，支出决算为34.06万元，因年初预算金额为0万元，无法计算百分比。决算数大于年初预算数的主要原因是：正常人员及项目开支。</w:t>
      </w:r>
    </w:p>
    <w:p w14:paraId="2ACD6E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2、社会保障和就业支出（类）企业改革补助（款）企业关闭破产补助（项）。</w:t>
      </w:r>
    </w:p>
    <w:p w14:paraId="77EDD0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年初预算为0万元，支出决算为12.11万元，因年初预算金额为0万元，无法计算百分比。决算数大于年初预算数的主要原因是：正常人员及项目开支。</w:t>
      </w:r>
    </w:p>
    <w:p w14:paraId="68D941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3、社会保障和就业支出（类）社会福利（款）其他社会福利支出（项）。</w:t>
      </w:r>
    </w:p>
    <w:p w14:paraId="0C67A6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年初预算为0万元，支出决算为0.56万元，因年初预算金额为0万元，无法计算百分比。决算数大于年初预算数的主要原因是：正常人员及项目开支。</w:t>
      </w:r>
    </w:p>
    <w:p w14:paraId="197E9E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4、社会保障和就业支出（类）其他社会保障和就业支出（款）其他社会保障和就业支出（项）。</w:t>
      </w:r>
    </w:p>
    <w:p w14:paraId="66ED70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年初预算为0万元，支出决算为3.45万元，因年初预算金额为0万元，无法计算百分比。决算数大于年初预算数的主要原因是：正常人员及项目开支。</w:t>
      </w:r>
    </w:p>
    <w:p w14:paraId="76AB2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5、卫生健康支出（类）行政事业单位医疗（款）行政单位医疗（项）。</w:t>
      </w:r>
    </w:p>
    <w:p w14:paraId="34364A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年初预算为0万元，支出决算为17.81万元，因年初预算金额为0万元，无法计算百分比。决算数大于年初预算数的主要原因是：正常人员及项目开支。</w:t>
      </w:r>
    </w:p>
    <w:p w14:paraId="3E4890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6、节能环保支出（类）自然生态保护（款）其他自然生态保护支出（项）。</w:t>
      </w:r>
    </w:p>
    <w:p w14:paraId="0AD02D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年初预算为0万元，支出决算为86万元，因年初预算金额为0万元，无法计算百分比。决算数大于年初预算数的主要原因是：正常人员及项目开支。</w:t>
      </w:r>
    </w:p>
    <w:p w14:paraId="043009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7、农林水支出（类）农业农村（款）农垦运行（项）。</w:t>
      </w:r>
    </w:p>
    <w:p w14:paraId="3711AA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年初预算为0万元，支出决算为10.26万元，因年初预算金额为0万元，无法计算百分比。决算数大于年初预算数的主要原因是：正常人员及项目开支。</w:t>
      </w:r>
    </w:p>
    <w:p w14:paraId="715C79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8、农林水支出（类）林业和草原（款）行政运行（项）。</w:t>
      </w:r>
    </w:p>
    <w:p w14:paraId="5F3825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年初预算为3069.69万元，支出决算为1109.56万元，完成预算的36.15%。决算数小于年初预算数的主要原因是：正常人员及项目开支。</w:t>
      </w:r>
    </w:p>
    <w:p w14:paraId="554ABF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9、农林水支出（类）林业和草原（款）一般行政管理事务（项）。</w:t>
      </w:r>
    </w:p>
    <w:p w14:paraId="793A09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年初预算为0万元，支出决算为155.14万元，因年初预算金额为0万元，无法计算百分比。决算数大于年初预算数的主要原因是：正常人员及项目开支。</w:t>
      </w:r>
    </w:p>
    <w:p w14:paraId="54481B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10、农林水支出（类）林业和草原（款）森林资源培育（项）。</w:t>
      </w:r>
    </w:p>
    <w:p w14:paraId="36325E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年初预算为0万元，支出决算为496.3万元，因年初预算金额为0万元，无法计算百分比。决算数大于年初预算数的主要原因是：正常人员及项目开支。</w:t>
      </w:r>
    </w:p>
    <w:p w14:paraId="0D374A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11、农林水支出（类）林业和草原（款）森林生态效益补偿（项）。</w:t>
      </w:r>
    </w:p>
    <w:p w14:paraId="08A629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年初预算为0万元，支出决算为14.17万元，因年初预算金额为0万元，无法计算百分比。决算数大于年初预算数的主要原因是：正常人员及项目开支。</w:t>
      </w:r>
    </w:p>
    <w:p w14:paraId="168BD8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12、农林水支出（类）林业和草原（款）执法与监督（项）。</w:t>
      </w:r>
    </w:p>
    <w:p w14:paraId="1DF180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年初预算为0万元，支出决算为74.98万元，因年初预算金额为0万元，无法计算百分比。决算数大于年初预算数的主要原因是：正常人员及项目开支。</w:t>
      </w:r>
    </w:p>
    <w:p w14:paraId="572C91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13、农林水支出（类）林业和草原（款）其他林业和草原支出（项）。</w:t>
      </w:r>
    </w:p>
    <w:p w14:paraId="20BC9B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年初预算为0万元，支出决算为15万元，因年初预算金额为0万元，无法计算百分比。决算数大于年初预算数的主要原因是：正常人员及项目开支。</w:t>
      </w:r>
    </w:p>
    <w:p w14:paraId="101D90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14、交通运输支出（类）公路水路运输（款）公路养护（项）。</w:t>
      </w:r>
    </w:p>
    <w:p w14:paraId="2DAA6E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年初预算为0万元，支出决算为20万元，因年初预算金额为0万元，无法计算百分比。决算数大于年初预算数的主要原因是：正常人员及项目开支。</w:t>
      </w:r>
    </w:p>
    <w:p w14:paraId="3BBD2F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15、其他支出（类）其他支出（款）其他支出（项）。</w:t>
      </w:r>
    </w:p>
    <w:p w14:paraId="3BD42A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年初预算为0万元，支出决算为53.82万元，因年初预算金额为0万元，无法计算百分比。决算数大于年初预算数的主要原因是：正常人员及项目开支。</w:t>
      </w:r>
    </w:p>
    <w:p w14:paraId="19BF2B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7C8586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2022年度财政拨款基本支出1276.79万元，其中：</w:t>
      </w:r>
    </w:p>
    <w:p w14:paraId="38A762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1213.91万元，占基本支出的95.08%，主要包括：基本工资、津贴补贴、奖金、伙食补助费、机关事业单位基本养老保险缴费、职工基本医疗保险缴费、其他社会保障缴费、其他工资福利支出、抚恤金、生活补助、其他对个人和家庭的补助。</w:t>
      </w:r>
    </w:p>
    <w:p w14:paraId="411715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公用经费62.88万元，占基本支出的4.92%，主要包括：办公费、印刷费、咨询费、水费、电费、邮电费、差旅费、会议费、公务接待费、劳务费、委托业务费、工会经费、其他商品和服务支出、办公设备购置。</w:t>
      </w:r>
    </w:p>
    <w:p w14:paraId="0B8B1A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47B3CF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7845F4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“三公”经费财政拨款支出预算为3.16万元，支出决算为3.16万元，完成预算的100.00%，其中：</w:t>
      </w:r>
      <w:bookmarkStart w:id="0" w:name="_GoBack"/>
      <w:bookmarkEnd w:id="0"/>
    </w:p>
    <w:p w14:paraId="339970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2C6AE4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公务接待费支出预算为3.16万元，支出决算为3.16万元，完成预算的100.00%，决算数等于预算数的主要原因是严格按预算执行，与上年相比减少0.57万元，减少主要原因是公务接待减少。</w:t>
      </w:r>
    </w:p>
    <w:p w14:paraId="4E711A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公务用车购置费支出预算为0万元，支出决算为0万元，因年初预算金额为0万元，无法计算百分比，决算数与预算数一致，与上年相比持平，持平主要原因是单位无公务用车。</w:t>
      </w:r>
    </w:p>
    <w:p w14:paraId="0516F4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公务用车运行维护费支出预算为0万元，支出决算为0万元，因年初预算金额为0万元，无法计算百分比，决算数与预算数一致，与上年相比持平，持平主要原因是单位无公务用车。</w:t>
      </w:r>
    </w:p>
    <w:p w14:paraId="52C1F6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71987F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3.16</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743177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B44CE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3.16</w:t>
      </w:r>
      <w:r>
        <w:rPr>
          <w:rFonts w:ascii="宋体" w:hAnsi="宋体" w:eastAsia="宋体" w:cs="宋体"/>
          <w:color w:val="000000"/>
          <w:sz w:val="28"/>
        </w:rPr>
        <w:t>万元，主要是全年共接待来访团组25个、来宾283人次，主要是正常公务接待发生的接待支出。</w:t>
      </w:r>
    </w:p>
    <w:p w14:paraId="40954C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3、公务用车购置费及运行维护费支出决算为0万元，其中：公务用车购置费0万元，怀化市鹤城区林业局更新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47A6CB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3295BE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93243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05EC18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本部门2022年度机关运行经费支出62.88万元，比上年决算数减少120.66万元，减少65.74%，主要原因是：人员经费及项目资金增加。</w:t>
      </w:r>
    </w:p>
    <w:p w14:paraId="120B49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2BB096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0.31</w:t>
      </w:r>
      <w:r>
        <w:rPr>
          <w:rFonts w:ascii="宋体" w:hAnsi="宋体" w:eastAsia="宋体" w:cs="宋体"/>
          <w:color w:val="000000"/>
          <w:sz w:val="28"/>
        </w:rPr>
        <w:t>万元，用于召开林长制会议，人数100人，内容为2022年度林长制工作安排部署；开支培训费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42B635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398882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D11CD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67DD33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3DA653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14A19C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35DC8C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概述项目绩效目标完成情况。我局非常重视单位内部管理制度建设及监督，加强财务管理，增强法纪观念，遵守规章制度。对各项资金的管理、经费收支审批等均作了明确规定。项目资金达40万元以上的都进行公开招投标程序，20万元以上的都进行政府采购程序，每个项目由林调队专业技术人员进行验收合格，财务才按合同进度进行付款。各项经费支出实行限额把关、严格审批制度、严格执行上级财务制度的规定。</w:t>
      </w:r>
    </w:p>
    <w:p w14:paraId="107C0E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概述本单位整体支出绩效目标实现情况，2022年，根据我局年初工作规划，围绕区委、区政府以及省、市业务主管部门的工作部署，较好地完成了年度工作目标。同时，加强财政预算收支的管理，建立健全各项管理制度，全局系统整体支出管理得到了提升2022年度整体支出绩效情况如下：</w:t>
      </w:r>
    </w:p>
    <w:p w14:paraId="43DD30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eastAsia="zh-CN"/>
        </w:rPr>
        <w:t>（</w:t>
      </w:r>
      <w:r>
        <w:rPr>
          <w:rFonts w:hint="eastAsia" w:ascii="宋体" w:hAnsi="宋体" w:eastAsia="宋体" w:cs="宋体"/>
          <w:color w:val="000000"/>
          <w:sz w:val="28"/>
          <w:lang w:val="en-US" w:eastAsia="zh-CN"/>
        </w:rPr>
        <w:t>1</w:t>
      </w:r>
      <w:r>
        <w:rPr>
          <w:rFonts w:hint="eastAsia" w:ascii="宋体" w:hAnsi="宋体" w:eastAsia="宋体" w:cs="宋体"/>
          <w:color w:val="000000"/>
          <w:sz w:val="28"/>
          <w:lang w:eastAsia="zh-CN"/>
        </w:rPr>
        <w:t>）</w:t>
      </w:r>
      <w:r>
        <w:rPr>
          <w:rFonts w:ascii="宋体" w:hAnsi="宋体" w:eastAsia="宋体" w:cs="宋体"/>
          <w:color w:val="000000"/>
          <w:sz w:val="28"/>
        </w:rPr>
        <w:t>2022年预算配置控制较好，财政供养人员控制在预算编制以内，实际在职人数与编制数相同；“三公”经费支出没有超过预算。</w:t>
      </w:r>
    </w:p>
    <w:p w14:paraId="4A776B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eastAsia="zh-CN"/>
        </w:rPr>
        <w:t>（</w:t>
      </w:r>
      <w:r>
        <w:rPr>
          <w:rFonts w:hint="eastAsia" w:ascii="宋体" w:hAnsi="宋体" w:eastAsia="宋体" w:cs="宋体"/>
          <w:color w:val="000000"/>
          <w:sz w:val="28"/>
          <w:lang w:val="en-US" w:eastAsia="zh-CN"/>
        </w:rPr>
        <w:t>2</w:t>
      </w:r>
      <w:r>
        <w:rPr>
          <w:rFonts w:hint="eastAsia" w:ascii="宋体" w:hAnsi="宋体" w:eastAsia="宋体" w:cs="宋体"/>
          <w:color w:val="000000"/>
          <w:sz w:val="28"/>
          <w:lang w:eastAsia="zh-CN"/>
        </w:rPr>
        <w:t>）</w:t>
      </w:r>
      <w:r>
        <w:rPr>
          <w:rFonts w:ascii="宋体" w:hAnsi="宋体" w:eastAsia="宋体" w:cs="宋体"/>
          <w:color w:val="000000"/>
          <w:sz w:val="28"/>
        </w:rPr>
        <w:t>预算执行方面，支出总额控制在预算总额以内，预算资金均按规定管理使用，能保障单位正常运转需要，分配办法科学，能基本保证人员经费支出和单位全年工作任务的完成。</w:t>
      </w:r>
    </w:p>
    <w:p w14:paraId="4D36A5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230DFB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因财政资金紧张，年初预算项目资金很难到位，项目暂缓实施，导致年初预算与执行数有偏差。 </w:t>
      </w:r>
    </w:p>
    <w:p w14:paraId="5BD73C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w:t>
      </w:r>
      <w:r>
        <w:rPr>
          <w:rFonts w:hint="eastAsia" w:ascii="宋体" w:hAnsi="宋体" w:eastAsia="宋体" w:cs="宋体"/>
          <w:color w:val="000000"/>
          <w:sz w:val="28"/>
          <w:lang w:eastAsia="zh-CN"/>
        </w:rPr>
        <w:t>、</w:t>
      </w:r>
      <w:r>
        <w:rPr>
          <w:rFonts w:ascii="宋体" w:hAnsi="宋体" w:eastAsia="宋体" w:cs="宋体"/>
          <w:color w:val="000000"/>
          <w:sz w:val="28"/>
        </w:rPr>
        <w:t xml:space="preserve">加强预算编制管理，进一步科学合理预算。进一步提高预算编制到位率，做准做全基本支出预算，做全项目支出预算，增加差额人员预算，确保预算更科学、更合理、更贴近实际。 </w:t>
      </w:r>
    </w:p>
    <w:p w14:paraId="558E6A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w:t>
      </w:r>
      <w:r>
        <w:rPr>
          <w:rFonts w:hint="eastAsia" w:ascii="宋体" w:hAnsi="宋体" w:eastAsia="宋体" w:cs="宋体"/>
          <w:color w:val="000000"/>
          <w:sz w:val="28"/>
          <w:lang w:eastAsia="zh-CN"/>
        </w:rPr>
        <w:t>、</w:t>
      </w:r>
      <w:r>
        <w:rPr>
          <w:rFonts w:ascii="宋体" w:hAnsi="宋体" w:eastAsia="宋体" w:cs="宋体"/>
          <w:color w:val="000000"/>
          <w:sz w:val="28"/>
        </w:rPr>
        <w:t xml:space="preserve">进一步加强项目资金管理。严格实行项目管理程序化，实现项目申报、实施、拨付、评价全流程监督与控制，规范项目和专项资金管理，提高专项资金的使用效益。 </w:t>
      </w:r>
    </w:p>
    <w:p w14:paraId="6F1E7C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w:t>
      </w:r>
      <w:r>
        <w:rPr>
          <w:rFonts w:hint="eastAsia" w:ascii="宋体" w:hAnsi="宋体" w:eastAsia="宋体" w:cs="宋体"/>
          <w:color w:val="000000"/>
          <w:sz w:val="28"/>
          <w:lang w:eastAsia="zh-CN"/>
        </w:rPr>
        <w:t>、</w:t>
      </w:r>
      <w:r>
        <w:rPr>
          <w:rFonts w:ascii="宋体" w:hAnsi="宋体" w:eastAsia="宋体" w:cs="宋体"/>
          <w:color w:val="000000"/>
          <w:sz w:val="28"/>
        </w:rPr>
        <w:t>进一步完善内部管理制度，提升管理效能，更好的履行生态文明建设职能。</w:t>
      </w:r>
    </w:p>
    <w:p w14:paraId="5CDC26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79770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25F4A5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B6627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235F31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354442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4AAC7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61AEC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3498F4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C4347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6B81C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1A42B8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A0AD7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41217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A246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0F1B1D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58EEB2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54A94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C68C2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9BB2A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5C9A0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F953C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70EF7F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EDE98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136F7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4058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E83EA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A395C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AC3C4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06E0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54011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797E1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CA429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2FF77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444181C"/>
    <w:rsid w:val="1C0667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11375</Words>
  <Characters>15374</Characters>
  <TotalTime>2</TotalTime>
  <ScaleCrop>false</ScaleCrop>
  <LinksUpToDate>false</LinksUpToDate>
  <CharactersWithSpaces>15647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2024-08-20T16:05:00Z</dcterms:created>
  <dc:creator>86135</dc:creator>
  <cp:lastModifiedBy>日月日月</cp:lastModifiedBy>
  <dcterms:modified xsi:type="dcterms:W3CDTF">2024-08-30T08:36:06Z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2A4E65300A924A2FB2CB017D3D468BB7_13</vt:lpwstr>
  </property>
</Properties>
</file>