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怀化市鹤城区黄金坳中心幼儿园</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怀化市鹤城区黄金坳中心幼儿园单位概况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0"/>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怀化市鹤城区黄金坳中心幼儿园</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怀化市鹤城区黄金坳中心幼儿园，全面贯彻党的教育方针，落实学前教育各项政策，保障幼儿收到教育的各项权利，维护全体教职工的各项权益。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（一）内设机构设置。怀化市鹤城区黄金坳中心幼儿园单位内设机构包括：</w:t>
      </w:r>
      <w:r>
        <w:rPr>
          <w:rFonts w:ascii="宋体" w:hAnsi="宋体" w:eastAsia="宋体" w:cs="宋体"/>
          <w:color w:val="000000"/>
          <w:sz w:val="28"/>
        </w:rPr>
        <w:t>内设8个职能处室办公室、教师办公室、园长办公室、总务室、工会室、财务室、教研室、保健室。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（二）决算单位构成。怀化市鹤城区黄金坳中心幼儿园单位2022年部门决算汇总公开单位构成包括：怀化市鹤城区黄金坳中心幼儿园本级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855"/>
        <w:gridCol w:w="1028"/>
        <w:gridCol w:w="1373"/>
        <w:gridCol w:w="5511"/>
        <w:gridCol w:w="1028"/>
        <w:gridCol w:w="13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156.74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156.74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156.74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32"/>
        <w:gridCol w:w="332"/>
        <w:gridCol w:w="332"/>
        <w:gridCol w:w="2451"/>
        <w:gridCol w:w="1914"/>
        <w:gridCol w:w="1914"/>
        <w:gridCol w:w="1760"/>
        <w:gridCol w:w="1836"/>
        <w:gridCol w:w="1760"/>
        <w:gridCol w:w="1760"/>
        <w:gridCol w:w="1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8016" w:type="dxa"/>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156.74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156.74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学前教育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1"/>
        <w:gridCol w:w="351"/>
        <w:gridCol w:w="351"/>
        <w:gridCol w:w="2776"/>
        <w:gridCol w:w="2159"/>
        <w:gridCol w:w="2159"/>
        <w:gridCol w:w="2071"/>
        <w:gridCol w:w="1984"/>
        <w:gridCol w:w="1984"/>
        <w:gridCol w:w="19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156.74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112.12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44.63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156.74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112.12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76.73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学前教育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76.73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850"/>
        <w:gridCol w:w="601"/>
        <w:gridCol w:w="1513"/>
        <w:gridCol w:w="4207"/>
        <w:gridCol w:w="601"/>
        <w:gridCol w:w="1022"/>
        <w:gridCol w:w="1513"/>
        <w:gridCol w:w="1386"/>
        <w:gridCol w:w="14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67"/>
        <w:gridCol w:w="867"/>
        <w:gridCol w:w="867"/>
        <w:gridCol w:w="5136"/>
        <w:gridCol w:w="2877"/>
        <w:gridCol w:w="2778"/>
        <w:gridCol w:w="27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76.73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44.63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76.73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76.73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学前教育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76.73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6"/>
        <w:gridCol w:w="3516"/>
        <w:gridCol w:w="870"/>
        <w:gridCol w:w="1077"/>
        <w:gridCol w:w="2416"/>
        <w:gridCol w:w="863"/>
        <w:gridCol w:w="1077"/>
        <w:gridCol w:w="4396"/>
        <w:gridCol w:w="8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73.87</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部门：怀化市鹤城区黄金坳中心幼儿园</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default"/>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156.74</w:t>
      </w:r>
      <w:r>
        <w:rPr>
          <w:rFonts w:ascii="宋体" w:hAnsi="宋体" w:eastAsia="宋体" w:cs="宋体"/>
          <w:color w:val="000000"/>
          <w:sz w:val="28"/>
        </w:rPr>
        <w:t>万元。与上年相比，减少191.99万元，减少55.05%，主要是因为没有房屋工程建设，没有大型设施设备采购。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156.74</w:t>
      </w:r>
      <w:r>
        <w:rPr>
          <w:rFonts w:ascii="宋体" w:hAnsi="宋体" w:eastAsia="宋体" w:cs="宋体"/>
          <w:color w:val="000000"/>
          <w:sz w:val="28"/>
        </w:rPr>
        <w:t>万元。与上年相比，</w:t>
      </w:r>
      <w:r>
        <w:rPr>
          <w:rFonts w:ascii="宋体" w:hAnsi="宋体" w:eastAsia="宋体" w:cs="宋体"/>
          <w:sz w:val="28"/>
        </w:rPr>
        <w:t>减少191.99万元</w:t>
      </w:r>
      <w:r>
        <w:rPr>
          <w:rFonts w:ascii="宋体" w:hAnsi="宋体" w:eastAsia="宋体" w:cs="宋体"/>
          <w:color w:val="000000"/>
          <w:sz w:val="28"/>
        </w:rPr>
        <w:t>，</w:t>
      </w:r>
      <w:r>
        <w:rPr>
          <w:rFonts w:ascii="宋体" w:hAnsi="宋体" w:eastAsia="宋体" w:cs="宋体"/>
          <w:sz w:val="28"/>
        </w:rPr>
        <w:t>减少55.05%</w:t>
      </w:r>
      <w:r>
        <w:rPr>
          <w:rFonts w:ascii="宋体" w:hAnsi="宋体" w:eastAsia="宋体" w:cs="宋体"/>
          <w:color w:val="000000"/>
          <w:sz w:val="28"/>
        </w:rPr>
        <w:t>，主要是因为疫情春季秋季幼儿上学时间少，在秋季学费相应大幅度减少，只收取相应天数的学费，本年度没有建设类的项目。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2022年度本年收入合计156.74万元，其中：财政拨款收入121.35万元，占77.42%；上级补助收入0万元，占0%；事业收入35.39万元，占22.58%；经营收入0万元，占0%；附属单位上缴收入0万元，占0%；其他收入0万元，占0%。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2022年度本年支出合计156.74万元，其中：基本支出112.12万元，占71.53%；项目支出44.63万元，占28.47%；上缴上级支出0万元，占0%；经营支出0万元，占0%；对附属单位补助支出0万元，占0%。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2022年度财政拨款收入总计121.35万元，与上年相比，减少227.38万元，减少65.20%，主要是因为疫情。</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2022年度财政拨款支出总计121.35万元，与上年相比，减少227.38万元，减少65.20%，主要是因为疫情。</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2022年度财政拨款支出121.35万元，占本年支出合计的100.00%，与上年相比，财政拨款支出减少227.38万元，减少65.20%，主要是因为疫情。</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2022年度财政拨款支出121.35万元，主要用于以下方面：教育支出（类）121.35万元，占100.00%；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2022年度财政拨款支出年初预算数为173.79万元，支出决算数为</w:t>
      </w:r>
      <w:r>
        <w:rPr>
          <w:rFonts w:ascii="宋体" w:hAnsi="宋体" w:eastAsia="宋体" w:cs="宋体"/>
          <w:sz w:val="28"/>
        </w:rPr>
        <w:t>121.35</w:t>
      </w:r>
      <w:r>
        <w:rPr>
          <w:rFonts w:ascii="宋体" w:hAnsi="宋体" w:eastAsia="宋体" w:cs="宋体"/>
          <w:color w:val="000000"/>
          <w:sz w:val="28"/>
        </w:rPr>
        <w:t>万元，完成年初预算的90.19%，其中：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1、教育支出（类）普通教育（款）学前教育（项）。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年初预算为173.79万元，支出决算为121.35万元，完成预算的69.83%。决算数小于年初预算数的主要原因是：疫情，幼儿入园时间减少，费用大幅度减少。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2022年度财政拨款基本支出76.72万元，其中：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人员经费73.87万元，占基本支出的96.29%，主要包括：基本工资、津贴补贴、绩效工资、机关事业单位基本养老保险缴费、职工基本医疗保险缴费、其他社会保障缴费、生活补助、助学金。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公用经费2.85万元，占基本支出的3.71%，主要包括：办公费、印刷费、电费、培训费、专用材料费。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万元，因年初预算金额为0万元，无法计算百分比，决算数与预算数一致，与上年相比持平，持平主要原因是本单位没有公务接待，也没有公务接待费用。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万元，因年初预算金额为0万元，无法计算百分比，决算数与预算数一致，与上年相比持平，持平主要原因是本单位没有公车，不产生费用。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本单位没有公务用车，就没有公务车运行维护给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3、公务用车购置费及运行维护费支出决算为0万元，其中：公务用车购置费0万元，怀化市鹤城区黄金坳中心幼儿园更新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本部门2022年度机关运行经费支出0万元，比上年决算数持平，主要原因是：本单位是事业单位，是没有机关运行经费支出。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0.09</w:t>
      </w:r>
      <w:r>
        <w:rPr>
          <w:rFonts w:ascii="宋体" w:hAnsi="宋体" w:eastAsia="宋体" w:cs="宋体"/>
          <w:color w:val="000000"/>
          <w:sz w:val="28"/>
        </w:rPr>
        <w:t>万元，用于开展10场培训，人数14人，内容为乐器培训、教师培训、食品安全培训、消防培训、安全培训；未举办节庆、晚会、论坛、赛事等，开支0万元。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2022年，我单位积极履职，强化管理，较好地完成了年度工作目标。通过加强预收支管理，不断建立健全内部管理制度，梳理内部管理流程，部门整体支出管理水平得到提升。</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财政预算与学校实际开支存在偏差，如年终各部门要求学校必须订阅报刊杂志，需购买的一些保险以及教职员工养老保险等各险种的均不在预算内。加上现代化设备的使用频率提高，致使水电费以及设施设备的维修和维护费用的支出呈增长，每年的公用经费根据单位上年底的在职在编人数和经费标准核定金额，不包括当年正式招聘入职但未进编的人数，公用经费存在缺口，一直经费比较紧张。另外财政预算资金到位比较迟缓，各项目经费支付教滞后。学校没有专门的财务人员，都是由本校教师兼职，没有专业的财务知识，但现在对财务工作要求越来越规范，导致我校的财务管理工作开展起来有一定的难度。</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fc136de1-2401-42f6-8f5e-3f43813b3569"/>
  </w:docVars>
  <w:rsids>
    <w:rsidRoot w:val="00000000"/>
    <w:rsid w:val="221E4C1E"/>
    <w:rsid w:val="414557D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22</Pages>
  <Words>7542</Words>
  <Characters>9444</Characters>
  <TotalTime>1</TotalTime>
  <ScaleCrop>false</ScaleCrop>
  <LinksUpToDate>false</LinksUpToDate>
  <CharactersWithSpaces>9634</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2024-08-26T10:33:00Z</dcterms:created>
  <dc:creator>HUAWEI</dc:creator>
  <cp:lastModifiedBy>赵奕雯</cp:lastModifiedBy>
  <dcterms:modified xsi:type="dcterms:W3CDTF">2024-08-27T07:28:18Z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08CDF48017364F53A3D292A3984C14F7_12</vt:lpwstr>
  </property>
</Properties>
</file>